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 w:val="0"/>
          <w:color w:val="000000"/>
        </w:rPr>
        <w:t>Dharmagate UIUX体验设计</w:t>
      </w:r>
    </w:p>
    <w:p>
      <w:pPr>
        <w:pStyle w:val="Subtitle"/>
      </w:pPr>
      <w:r>
        <w:rPr>
          <w:rFonts w:ascii="Noto Sans CJK SC" w:hAnsi="Noto Sans CJK SC" w:eastAsia="Noto Sans CJK SC"/>
          <w:b w:val="0"/>
          <w:color w:val="000000"/>
        </w:rPr>
        <w:t>全球佛学资料与人本修学</w:t>
      </w:r>
    </w:p>
    <w:p>
      <w:r>
        <w:rPr>
          <w:rFonts w:ascii="Noto Sans CJK SC" w:hAnsi="Noto Sans CJK SC" w:eastAsia="Noto Sans CJK SC"/>
          <w:b w:val="0"/>
          <w:color w:val="000000"/>
        </w:rPr>
        <w:t>供产品 前后端 内容许可 教研与测试团队共同评审</w:t>
        <w:br/>
        <w:t>设计提案 v0.1  2026 年 10 月 25 日</w:t>
      </w:r>
    </w:p>
    <w:p>
      <w:pPr>
        <w:pStyle w:val="Heading1"/>
      </w:pPr>
      <w:r>
        <w:t>01 设计结论与交付边界</w:t>
      </w:r>
    </w:p>
    <w:p>
      <w:r>
        <w:rPr>
          <w:rFonts w:ascii="Noto Sans CJK SC" w:hAnsi="Noto Sans CJK SC" w:eastAsia="Noto Sans CJK SC"/>
          <w:b w:val="0"/>
          <w:color w:val="000000"/>
        </w:rPr>
        <w:t>Dharmagate 应把全球佛学资料连接成可追溯、可理解、可实践的学习体验。界面先帮助用户找到出处并区分观点，再支持自愿修学与真人指导；不把 AI 包装成法师，不用资料规模、停留时长或打卡次数代表觉悟。</w:t>
      </w:r>
    </w:p>
    <w:p>
      <w:r>
        <w:rPr>
          <w:rFonts w:ascii="Noto Sans CJK SC" w:hAnsi="Noto Sans CJK SC" w:eastAsia="Noto Sans CJK SC"/>
          <w:b w:val="0"/>
          <w:color w:val="000000"/>
        </w:rPr>
        <w:t>本稿供产品、前后端、内容许可、教研与测试共同实现和评审。所有页面、路由、指标与组件均为</w:t>
      </w:r>
      <w:r>
        <w:rPr>
          <w:rFonts w:ascii="Noto Sans CJK SC" w:hAnsi="Noto Sans CJK SC" w:eastAsia="Noto Sans CJK SC"/>
          <w:b/>
          <w:color w:val="000000"/>
        </w:rPr>
        <w:t>设计提案</w:t>
      </w:r>
      <w:r>
        <w:rPr>
          <w:rFonts w:ascii="Noto Sans CJK SC" w:hAnsi="Noto Sans CJK SC" w:eastAsia="Noto Sans CJK SC"/>
          <w:b w:val="0"/>
          <w:color w:val="000000"/>
        </w:rPr>
        <w:t>，不是现网截图、已开发功能或发布验收。UI 不取代服务端的权限与版权校验。</w:t>
      </w:r>
    </w:p>
    <w:p>
      <w:pPr>
        <w:pStyle w:val="Heading2"/>
      </w:pPr>
      <w:r>
        <w:t>核心任务闭环</w:t>
      </w:r>
    </w:p>
    <w:p>
      <w:r>
        <w:rPr>
          <w:rFonts w:ascii="Noto Sans CJK SC" w:hAnsi="Noto Sans CJK SC" w:eastAsia="Noto Sans CJK SC"/>
          <w:b w:val="0"/>
          <w:color w:val="000000"/>
        </w:rPr>
        <w:t>遇见问题 → 找到有出处的解释 → 比较资料与观点 → 继续阅读或听讲 → 选择适合的练习 → 私人反思 → 必要时连接真人。每一步允许跳过、返回与退出。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464"/>
        <w:gridCol w:w="4478"/>
      </w:tblGrid>
      <w:tr>
        <w:trPr>
          <w:tblHeader/>
        </w:trPr>
        <w:tc>
          <w:tcPr>
            <w:tcW w:type="dxa" w:w="12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44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界面职责</w:t>
            </w:r>
          </w:p>
        </w:tc>
        <w:tc>
          <w:tcPr>
            <w:tcW w:type="dxa" w:w="44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明确不做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资料层</w:t>
            </w:r>
          </w:p>
        </w:tc>
        <w:tc>
          <w:tcPr>
            <w:tcW w:type="dxa" w:w="44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展示作品、版本、来源、权利与稳定定位</w:t>
            </w:r>
          </w:p>
        </w:tc>
        <w:tc>
          <w:tcPr>
            <w:tcW w:type="dxa" w:w="44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不把公开可读等同于可下载或可训练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理解层</w:t>
            </w:r>
          </w:p>
        </w:tc>
        <w:tc>
          <w:tcPr>
            <w:tcW w:type="dxa" w:w="44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区分原典、注疏、研究与 AI 导读</w:t>
            </w:r>
          </w:p>
        </w:tc>
        <w:tc>
          <w:tcPr>
            <w:tcW w:type="dxa" w:w="44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不拼接异译为原文，不虚构出处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修学层</w:t>
            </w:r>
          </w:p>
        </w:tc>
        <w:tc>
          <w:tcPr>
            <w:tcW w:type="dxa" w:w="44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提供人工审核路径与自愿记录</w:t>
            </w:r>
          </w:p>
        </w:tc>
        <w:tc>
          <w:tcPr>
            <w:tcW w:type="dxa" w:w="44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不设觉悟、业力或宗教身份评分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真人关系层</w:t>
            </w:r>
          </w:p>
        </w:tc>
        <w:tc>
          <w:tcPr>
            <w:tcW w:type="dxa" w:w="44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显示核验状态与审核责任</w:t>
            </w:r>
          </w:p>
        </w:tc>
        <w:tc>
          <w:tcPr>
            <w:tcW w:type="dxa" w:w="44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不冒充法师，不默认读取私人日记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P0</w:t>
      </w:r>
      <w:r>
        <w:rPr>
          <w:rFonts w:ascii="Noto Sans CJK SC" w:hAnsi="Noto Sans CJK SC" w:eastAsia="Noto Sans CJK SC"/>
          <w:b w:val="0"/>
          <w:color w:val="000000"/>
        </w:rPr>
        <w:t xml:space="preserve"> 先覆盖一条合法来源与 10–30 部代表资料：目录、检索、证据回答、阅读、私人书签及纠错。</w:t>
      </w:r>
      <w:r>
        <w:rPr>
          <w:rFonts w:ascii="Noto Sans CJK SC" w:hAnsi="Noto Sans CJK SC" w:eastAsia="Noto Sans CJK SC"/>
          <w:b/>
          <w:color w:val="000000"/>
        </w:rPr>
        <w:t>P1</w:t>
      </w:r>
      <w:r>
        <w:rPr>
          <w:rFonts w:ascii="Noto Sans CJK SC" w:hAnsi="Noto Sans CJK SC" w:eastAsia="Noto Sans CJK SC"/>
          <w:b w:val="0"/>
          <w:color w:val="000000"/>
        </w:rPr>
        <w:t xml:space="preserve"> 再验证影音、异译对照、修学路径与法师教师工作台。影音只用 R2＋自有播放器，不使用 Cloudflare Stream。</w:t>
      </w:r>
    </w:p>
    <w:p>
      <w:r>
        <w:rPr>
          <w:rFonts w:ascii="Noto Sans CJK SC" w:hAnsi="Noto Sans CJK SC" w:eastAsia="Noto Sans CJK SC"/>
          <w:b w:val="0"/>
          <w:color w:val="000000"/>
        </w:rPr>
        <w:t>本文件与产品定义、架构定义配套；实现任务沿用 DG-001 至 DG-045，本文页面采用 UX-01 至 UX-06，组件采用 C-01 至 C-08。既有站点与旧入口必须单独回归，不因新设计而假定迁移成功。</w:t>
      </w:r>
    </w:p>
    <w:p>
      <w:pPr>
        <w:pStyle w:val="Heading1"/>
        <w:pageBreakBefore/>
      </w:pPr>
      <w:r>
        <w:t>02 五类用户与可验证旅程</w:t>
      </w:r>
    </w:p>
    <w:p>
      <w:r>
        <w:rPr>
          <w:rFonts w:ascii="Noto Sans CJK SC" w:hAnsi="Noto Sans CJK SC" w:eastAsia="Noto Sans CJK SC"/>
          <w:b w:val="0"/>
          <w:color w:val="000000"/>
        </w:rPr>
        <w:t>以下是待验证的角色假设，不是已完成访谈的用户画像。一个人可兼具多种角色；首次访问不要求填写信仰身份，语言、主题与可用时间均可跳过或改选。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2376"/>
        <w:gridCol w:w="3398"/>
        <w:gridCol w:w="3485"/>
      </w:tblGrid>
      <w:tr>
        <w:trPr>
          <w:tblHeader/>
        </w:trPr>
        <w:tc>
          <w:tcPr>
            <w:tcW w:type="dxa" w:w="90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37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目标与情境</w:t>
            </w:r>
          </w:p>
        </w:tc>
        <w:tc>
          <w:tcPr>
            <w:tcW w:type="dxa" w:w="33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主旅程</w:t>
            </w:r>
          </w:p>
        </w:tc>
        <w:tc>
          <w:tcPr>
            <w:tcW w:type="dxa" w:w="348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失败风险与设计回应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学习者</w:t>
            </w:r>
          </w:p>
        </w:tc>
        <w:tc>
          <w:tcPr>
            <w:tcW w:type="dxa" w:w="237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从生活困惑开始，先读得懂</w:t>
            </w:r>
          </w:p>
        </w:tc>
        <w:tc>
          <w:tcPr>
            <w:tcW w:type="dxa" w:w="33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提问 → 看出处 → 阅读 → 短练习 → 私人反思</w:t>
            </w:r>
          </w:p>
        </w:tc>
        <w:tc>
          <w:tcPr>
            <w:tcW w:type="dxa" w:w="348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术语过载或被说教；先短答、可展开，不强迫练习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师者</w:t>
            </w:r>
          </w:p>
        </w:tc>
        <w:tc>
          <w:tcPr>
            <w:tcW w:type="dxa" w:w="237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法师或修学指导者审核资料</w:t>
            </w:r>
          </w:p>
        </w:tc>
        <w:tc>
          <w:tcPr>
            <w:tcW w:type="dxa" w:w="33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核验身份 → 选教材 → 审草稿 → 发布版本 → 回应主动提问</w:t>
            </w:r>
          </w:p>
        </w:tc>
        <w:tc>
          <w:tcPr>
            <w:tcW w:type="dxa" w:w="348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冒名、越权读日记；身份与审核分开标记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研究者</w:t>
            </w:r>
          </w:p>
        </w:tc>
        <w:tc>
          <w:tcPr>
            <w:tcW w:type="dxa" w:w="237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精确比较作品与异译</w:t>
            </w:r>
          </w:p>
        </w:tc>
        <w:tc>
          <w:tcPr>
            <w:tcW w:type="dxa" w:w="33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筛选版本 → 对照段落 → 看差异 → 导出引用 → 纠错</w:t>
            </w:r>
          </w:p>
        </w:tc>
        <w:tc>
          <w:tcPr>
            <w:tcW w:type="dxa" w:w="348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误合并版本；保留版本标识和不确定对齐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教师</w:t>
            </w:r>
          </w:p>
        </w:tc>
        <w:tc>
          <w:tcPr>
            <w:tcW w:type="dxa" w:w="237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兼顾课时与不同教学情境</w:t>
            </w:r>
          </w:p>
        </w:tc>
        <w:tc>
          <w:tcPr>
            <w:tcW w:type="dxa" w:w="33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选目标 → 组资料 → 编辑草案 → 审核锁版 → 授课</w:t>
            </w:r>
          </w:p>
        </w:tc>
        <w:tc>
          <w:tcPr>
            <w:tcW w:type="dxa" w:w="348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机器改动已审课件；新修改产生新版本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机构</w:t>
            </w:r>
          </w:p>
        </w:tc>
        <w:tc>
          <w:tcPr>
            <w:tcW w:type="dxa" w:w="237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寺院或馆藏单位维护授权资料</w:t>
            </w:r>
          </w:p>
        </w:tc>
        <w:tc>
          <w:tcPr>
            <w:tcW w:type="dxa" w:w="33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提交元数据与权利 → 审核 → 发布 → 更新或撤回</w:t>
            </w:r>
          </w:p>
        </w:tc>
        <w:tc>
          <w:tcPr>
            <w:tcW w:type="dxa" w:w="348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授权范围被扩大；默认最小权限并留回执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关键跨角色交接</w:t>
      </w:r>
    </w:p>
    <w:p>
      <w:r>
        <w:rPr>
          <w:rFonts w:ascii="Noto Sans CJK SC" w:hAnsi="Noto Sans CJK SC" w:eastAsia="Noto Sans CJK SC"/>
          <w:b w:val="0"/>
          <w:color w:val="000000"/>
        </w:rPr>
        <w:t>学习者在“分享这一条笔记”中选择具体对象、用途与期限；师者只能看到被授权的副本。机构只看到自己资料的汇总使用信息，不获得个人修学轨迹。研究者的纠错进入编辑审核，不直接覆盖原典。</w:t>
      </w:r>
    </w:p>
    <w:p>
      <w:pPr>
        <w:pStyle w:val="Heading2"/>
      </w:pPr>
      <w:r>
        <w:t>首次使用与返回体验</w:t>
      </w:r>
    </w:p>
    <w:p>
      <w:r>
        <w:rPr>
          <w:rFonts w:ascii="Noto Sans CJK SC" w:hAnsi="Noto Sans CJK SC" w:eastAsia="Noto Sans CJK SC"/>
          <w:b w:val="0"/>
          <w:color w:val="000000"/>
        </w:rPr>
        <w:t>首次只问“现在想理解什么”“这次有多少时间”“偏好语言或资料范围”，全部可跳过。返回时优先恢复上次阅读位置；不公开连续学习天数，不用断签或排名制造压力。</w:t>
      </w:r>
    </w:p>
    <w:p>
      <w:pPr>
        <w:pStyle w:val="Heading2"/>
      </w:pPr>
      <w:r>
        <w:t>研究验证</w:t>
      </w:r>
    </w:p>
    <w:p>
      <w:r>
        <w:rPr>
          <w:rFonts w:ascii="Noto Sans CJK SC" w:hAnsi="Noto Sans CJK SC" w:eastAsia="Noto Sans CJK SC"/>
          <w:b w:val="0"/>
          <w:color w:val="000000"/>
        </w:rPr>
        <w:t>P0 原型先验证找出处、恢复阅读、保存私人笔记、找到旧应用四项任务。后续试点建议覆盖五类角色及低视力、键盘操作用户；DG-039 的 30–50 人为招募建议，不代表已开展研究。</w:t>
      </w:r>
    </w:p>
    <w:p>
      <w:pPr>
        <w:pStyle w:val="Heading1"/>
        <w:pageBreakBefore/>
      </w:pPr>
      <w:r>
        <w:t>03 信息架构与导航规则</w:t>
      </w:r>
    </w:p>
    <w:p>
      <w:r>
        <w:rPr>
          <w:rFonts w:ascii="Noto Sans CJK SC" w:hAnsi="Noto Sans CJK SC" w:eastAsia="Noto Sans CJK SC"/>
          <w:b w:val="0"/>
          <w:color w:val="000000"/>
        </w:rPr>
        <w:t>导航按用户任务组织，不按云产品或 AI 模型分类。公开浏览与私人书房分开，管理员和教师功能不挤占普通学习者的主导航。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3816"/>
        <w:gridCol w:w="2534"/>
      </w:tblGrid>
      <w:tr>
        <w:trPr>
          <w:tblHeader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空间与层级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建议路由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可见性与阶段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首页 → 搜索入口与继续学习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公开；UX-01；P0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资料馆 → 作品 → 版本 → 段落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/catalog → /works/:id → /read/:editionId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公开元数据；正文依授权；UX-03；P0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搜索 → 资料结果与证据导读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/search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公开可用；答案依资料权限；UX-02；P0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阅读与听讲 → 媒体与时间码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/media/:id?t=750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按资源授权；UX-04；P1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修学路径 → 单元 → 练习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/learn → /learn/:pathId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公开目录；记录登录可用；UX-05；P1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我的书房 → 书签 笔记 最近阅读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/library → /notes/:id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仅本人；最小书房 P0，分享 P1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法师教师工作台 → 草稿 审核 课程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/workspace/teaching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经角色授权；UX-06；P1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研究工具 → 对照与引用导出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/research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公开可用工具；资料依授权；P1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机构工作台 → 授权 提交 撤回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/workspace/institution</w:t>
            </w:r>
          </w:p>
        </w:tc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机构租户内授权；P1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桌面与移动导航</w:t>
      </w:r>
    </w:p>
    <w:p>
      <w:r>
        <w:rPr>
          <w:rFonts w:ascii="Noto Sans CJK SC" w:hAnsi="Noto Sans CJK SC" w:eastAsia="Noto Sans CJK SC"/>
          <w:b w:val="0"/>
          <w:color w:val="000000"/>
        </w:rPr>
        <w:t>桌面主导航为“资料馆、修学、我的书房”，搜索常驻；“更多”含研究工具、工作台、帮助与旧版应用。移动底栏固定“探索、搜索、修学、书房”，工作台在账号菜单中。未开放的 P1 入口隐藏或明确标“尚未开放”，不可呈现空壳可点击入口。</w:t>
      </w:r>
    </w:p>
    <w:p>
      <w:r>
        <w:rPr>
          <w:rFonts w:ascii="Noto Sans CJK SC" w:hAnsi="Noto Sans CJK SC" w:eastAsia="Noto Sans CJK SC"/>
          <w:b w:val="0"/>
          <w:color w:val="000000"/>
        </w:rPr>
        <w:t>非敏感筛选条件可写入 URL；问题文本通过请求体传递，不进入 URL 或分析日志。返回通过会话状态恢复查询与滚动位置。私人笔记与访问令牌不得进入 URL；引用深链携带作品版本与定位，不以标题作唯一标识。</w:t>
      </w:r>
    </w:p>
    <w:p>
      <w:r>
        <w:rPr>
          <w:rFonts w:ascii="Noto Sans CJK SC" w:hAnsi="Noto Sans CJK SC" w:eastAsia="Noto Sans CJK SC"/>
          <w:b w:val="0"/>
          <w:color w:val="000000"/>
        </w:rPr>
        <w:t>新旧入口通过已审核路由映射兼容，不在本稿指定或替换旧站真实地址。页内面包屑、浏览器返回、移动返回行为必须一致；对应 DG-002、DG-022、DG-023。</w:t>
      </w:r>
    </w:p>
    <w:p>
      <w:pPr>
        <w:pStyle w:val="Heading1"/>
        <w:pageBreakBefore/>
      </w:pPr>
      <w:r>
        <w:t>04 首页设计 UX 01</w:t>
      </w:r>
    </w:p>
    <w:p>
      <w:r>
        <w:rPr>
          <w:rFonts w:ascii="Noto Sans CJK SC" w:hAnsi="Noto Sans CJK SC" w:eastAsia="Noto Sans CJK SC"/>
          <w:b w:val="0"/>
          <w:color w:val="000000"/>
        </w:rPr>
        <w:t>目标是在不注册的情况下完成第一次资料发现。主搜索接受问题、经名、人物、主题或原文片段；搜索与继续学习比推广内容优先。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1" name="Picture 1" descr="UX-01 首页低保真提案，左侧桌面右侧移动，突出搜索、探索资料、开始修学、继续学习及来源权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1 首页关键区域。示例内容为原创占位；移动端保持同一任务优先级，不照搬桌面多列。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22"/>
        <w:gridCol w:w="3989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实现约束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提交搜索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Enter 与按钮等效；输入保留，先展示资料结果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未登录可找公开资料，不先弹注册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继续学习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仅对登录用户展示本人上次位置；访客展示浏览目录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不暴露其他账号或公共设备的记录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学习入口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时间与偏好可跳过，默认不建立敏感画像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可返回资料馆，不强迫完成问卷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资料卡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展示类型、语言、来源与权利；不承诺全量收藏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仅链接资源按钮为“前往原站”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状态与降级：</w:t>
      </w:r>
      <w:r>
        <w:rPr>
          <w:rFonts w:ascii="Noto Sans CJK SC" w:hAnsi="Noto Sans CJK SC" w:eastAsia="Noto Sans CJK SC"/>
          <w:b w:val="0"/>
          <w:color w:val="000000"/>
        </w:rPr>
        <w:t xml:space="preserve"> 首次无记录显示“从资料馆开始”；推荐失败保留搜索与目录。加载使用骨架，不展示虚构条目或虚构数量。旧版入口须可从更多菜单在两次操作内找到。对应 DG-022、DG-024。</w:t>
      </w:r>
    </w:p>
    <w:p>
      <w:pPr>
        <w:pStyle w:val="Heading1"/>
        <w:pageBreakBefore/>
      </w:pPr>
      <w:r>
        <w:t>05 搜索与证据回答 UX 02</w:t>
      </w:r>
    </w:p>
    <w:p>
      <w:r>
        <w:rPr>
          <w:rFonts w:ascii="Noto Sans CJK SC" w:hAnsi="Noto Sans CJK SC" w:eastAsia="Noto Sans CJK SC"/>
          <w:b w:val="0"/>
          <w:color w:val="000000"/>
        </w:rPr>
        <w:t>资料结果与 AI 导读是两个不同视图。默认先提供可验证结果；导读明确标识“AI 生成，可能有误”，事实性论断链接到支持该论断的具体证据。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2" name="Picture 2" descr="UX-02 搜索与证据回答低保真提案，桌面结果和导读并列，手机分标签展示；引用抽屉显示版本与段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2 并列示意有证据与资料不足状态，非同一查询的真实结果。引用可回到原段落；不足时不生成确定答案。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22"/>
        <w:gridCol w:w="3989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实现约束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筛选与排序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语言、传统、类型、权利、来源可组合；显示已选条件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无结果可逐个撤销筛选，不静默扩大范围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打开引用 [1]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展示来源、作品、版本、定位、摘录与访问权利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打开原段/时间码后能返回同一答案位置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生成导读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仅使用用户可访问证据；原典与机器解释不混排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来源失效时该句标待核验，不留下假引用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纠错与反馈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区分误引、错字、许可问题；附版本与片段 ID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反馈原文不自动公开，可查看处理状态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数据契约：</w:t>
      </w:r>
      <w:r>
        <w:rPr>
          <w:rFonts w:ascii="Noto Sans CJK SC" w:hAnsi="Noto Sans CJK SC" w:eastAsia="Noto Sans CJK SC"/>
          <w:b w:val="0"/>
          <w:color w:val="000000"/>
        </w:rPr>
        <w:t xml:space="preserve"> 前端引用 DTO 使用 canonical_id、edition_id、segment_id、locator，以及独立的 content_version、rights_version；来源保留 source_url、provenance。rights_scope 只是服务端授权后 rights 的展示摘要；segment_id 为稳定证据实体，不是模型临时切片 ID。无充分证据则明确资料不足。对应 DG-017 至 DG-023、DG-025。</w:t>
      </w:r>
    </w:p>
    <w:p>
      <w:pPr>
        <w:pStyle w:val="Heading1"/>
        <w:pageBreakBefore/>
      </w:pPr>
      <w:r>
        <w:t>06 原典异译阅读 UX 03</w:t>
      </w:r>
    </w:p>
    <w:p>
      <w:r>
        <w:rPr>
          <w:rFonts w:ascii="Noto Sans CJK SC" w:hAnsi="Noto Sans CJK SC" w:eastAsia="Noto Sans CJK SC"/>
          <w:b w:val="0"/>
          <w:color w:val="000000"/>
        </w:rPr>
        <w:t>P0 先完成单版本阅读；P1 扩展异译并排与人工确认对照。作品、版本、译者与来源在正文前可见，读者不会把不同版本的拼接误认成一部原典。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3" name="Picture 3" descr="UX-03 原典异译阅读低保真提案，桌面并排两个版本，手机单列切换对应段落；机器对齐明确待复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3 异译对照是可检查的关系，不是等价承诺。示例正文为占位，不代表第三方原典内容。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22"/>
        <w:gridCol w:w="3989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实现约束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切换版本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保留作品关系；有人工对应则定位，无对应则提示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缺段显示“未找到对应段落”，不填造文本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选段引用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引用包含版本、段落或页码；允许复制许可范围内内容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导出后仍可定位，引用与私人笔记分储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注释与 AI 解释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原文、注释、机器译文、AI 导读有独立标签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关闭辅助层后原典不变，不自动改写原文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书签与纠错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登录后保存本人位置；纠错引用原片段与版本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草稿未保存时离开提示，返回不丢输入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移动与状态：</w:t>
      </w:r>
      <w:r>
        <w:rPr>
          <w:rFonts w:ascii="Noto Sans CJK SC" w:hAnsi="Noto Sans CJK SC" w:eastAsia="Noto Sans CJK SC"/>
          <w:b w:val="0"/>
          <w:color w:val="000000"/>
        </w:rPr>
        <w:t xml:space="preserve"> 不强制双列横向滚动，使用“版本 A／版本 B”切换与“看对应段”。字号 18–22 px 可调，正文建议 28–40 汉字行宽。授权撤回时停止正文显示并给出状态说明；不沿用过期缓存。对应 DG-018、DG-023、DG-024、DG-033。</w:t>
      </w:r>
    </w:p>
    <w:p>
      <w:pPr>
        <w:pStyle w:val="Heading1"/>
        <w:pageBreakBefore/>
      </w:pPr>
      <w:r>
        <w:t>07 音视频与时间码 UX 04</w:t>
      </w:r>
    </w:p>
    <w:p>
      <w:r>
        <w:rPr>
          <w:rFonts w:ascii="Noto Sans CJK SC" w:hAnsi="Noto Sans CJK SC" w:eastAsia="Noto Sans CJK SC"/>
          <w:b w:val="0"/>
          <w:color w:val="000000"/>
        </w:rPr>
        <w:t xml:space="preserve">本页为 P1。媒体采用 </w:t>
      </w:r>
      <w:r>
        <w:rPr>
          <w:rFonts w:ascii="Noto Sans CJK SC" w:hAnsi="Noto Sans CJK SC" w:eastAsia="Noto Sans CJK SC"/>
          <w:b/>
          <w:color w:val="000000"/>
        </w:rPr>
        <w:t>R2＋自有播放器</w:t>
      </w:r>
      <w:r>
        <w:rPr>
          <w:rFonts w:ascii="Noto Sans CJK SC" w:hAnsi="Noto Sans CJK SC" w:eastAsia="Noto Sans CJK SC"/>
          <w:b w:val="0"/>
          <w:color w:val="000000"/>
        </w:rPr>
        <w:t>，不依赖 Cloudflare Stream。授权、转码与转写是独立能力；播放器不把“文件存在”误标为“内容已全部可检索”。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4" name="Picture 4" descr="UX-04 音视频时间码低保真提案，桌面播放器与字幕联动，手机播放器和字幕标签；许可决定下载按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4 播放位置、字幕片段和引文共用时间码。低置信度术语明确待核验，不冒充已校正原话。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22"/>
        <w:gridCol w:w="3989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实现约束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首次播放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不自动播放；支持字幕、速度、静音与键盘控制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移动端手势启动，播放状态不靠颜色表达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点时间码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定位到片段起点并高亮字幕；保留原语言标识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跳转误差建议 ≤2 秒，实测后定门槛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字幕与搜索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无字幕显示“仅标题与简介可搜索”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ASR 草稿不显示人工校正徽标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下载与分享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仅允许范围提供下载；分享应用链接而非私有裸地址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权限过期可重新验证，不暴露签名或令牌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故障与恢复：</w:t>
      </w:r>
      <w:r>
        <w:rPr>
          <w:rFonts w:ascii="Noto Sans CJK SC" w:hAnsi="Noto Sans CJK SC" w:eastAsia="Noto Sans CJK SC"/>
          <w:b w:val="0"/>
          <w:color w:val="000000"/>
        </w:rPr>
        <w:t xml:space="preserve"> 缓冲保留播放位置；断网可重试，刷新授权后恢复位置。无转码版本时提供支持格式或原站入口，不声称 R2 自动转码。受限媒体拒绝访问时不显示私有字幕；Range、CORS 与缓存隔离由架构验收。对应 DG-030 至 DG-032。</w:t>
      </w:r>
    </w:p>
    <w:p>
      <w:pPr>
        <w:pStyle w:val="Heading1"/>
        <w:pageBreakBefore/>
      </w:pPr>
      <w:r>
        <w:t>08 个人修学与私人书房 UX 05</w:t>
      </w:r>
    </w:p>
    <w:p>
      <w:r>
        <w:rPr>
          <w:rFonts w:ascii="Noto Sans CJK SC" w:hAnsi="Noto Sans CJK SC" w:eastAsia="Noto Sans CJK SC"/>
          <w:b w:val="0"/>
          <w:color w:val="000000"/>
        </w:rPr>
        <w:t>P0 的书房只保存书签、位置与简短笔记；P1 的修学路径连接“理解、练习、生活反思”。用户可以暂停、跳过或结束，不以连续打卡施压。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5" name="Picture 5" descr="UX-05 个人修学低保真提案，桌面显示学习路径、继续阅读与仅本人笔记，手机聚焦单次任务与可跳过实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ud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5 “仅本人”是可验证权限，不是口号。分享是一条独立、可撤回的操作，不随加入课程自动发生。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22"/>
        <w:gridCol w:w="3989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实现约束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选择路径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显示目标、时长、审核者、资料与适用边界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未审核内容不得冒用“老师已审核”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练习与反思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询问观察和行动，不评价证悟；支持只读不练习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不出现业力分数、修行排名或羞辱文案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保存与同步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显示保存中、已保存、失败；本机草稿有明确说明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冲突保留两个版本，不静默覆盖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分享一条笔记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确认对象、内容、用途、期限与撤回方式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默认不选全书房，不向老师开放其他笔记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边界：</w:t>
      </w:r>
      <w:r>
        <w:rPr>
          <w:rFonts w:ascii="Noto Sans CJK SC" w:hAnsi="Noto Sans CJK SC" w:eastAsia="Noto Sans CJK SC"/>
          <w:b w:val="0"/>
          <w:color w:val="000000"/>
        </w:rPr>
        <w:t xml:space="preserve"> 私人笔记不进入共享 RAG 或共享模型训练。严重困扰不归因于业障、开悟或特殊使命；界面支持暂停修习与寻求合适真人帮助，不提供诊断或高风险练习。导出、删除与授权撤回入口放在书房设置。对应 DG-024、DG-026、DG-035。</w:t>
      </w:r>
    </w:p>
    <w:p>
      <w:pPr>
        <w:pStyle w:val="Heading1"/>
        <w:pageBreakBefore/>
      </w:pPr>
      <w:r>
        <w:t>09 法师教师工作台 UX 06</w:t>
      </w:r>
    </w:p>
    <w:p>
      <w:r>
        <w:rPr>
          <w:rFonts w:ascii="Noto Sans CJK SC" w:hAnsi="Noto Sans CJK SC" w:eastAsia="Noto Sans CJK SC"/>
          <w:b w:val="0"/>
          <w:color w:val="000000"/>
        </w:rPr>
        <w:t>本页为 P1。师者与教师可共用审核能力，但身份、机构归属与可发布范围分别授权。“已核验身份”不代表每条内容已被审核，更不代表平台认可其一切观点。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0800" cy="3627120"/>
            <wp:docPr id="6" name="Picture 6" descr="UX-06 法师教师工作台低保真提案，桌面草稿列表与审核面板，手机逐项核查证据；审核与发布分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ac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6 AI 草稿、人工审核、已发布为不同状态；内容版本和审核者始终可追溯。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522"/>
        <w:gridCol w:w="3989"/>
      </w:tblGrid>
      <w:tr>
        <w:trPr>
          <w:tblHeader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实现约束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验收点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创建课程草稿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选择资料范围、课时与受众；输出标 AI 草稿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不得自动以老师第一人称对外发布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审核与锁版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逐项检查出处、适用性与练习边界，记录审核人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修改已审文本产生新版本并重新审核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发布确认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确认版本、可见范围、引用权利与变更摘要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无权限时服务器拒绝；不得仅灰掉按钮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学员问题</w:t>
            </w:r>
          </w:p>
        </w:tc>
        <w:tc>
          <w:tcPr>
            <w:tcW w:type="dxa" w:w="45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仅显示主动提交或明确授权的内容</w:t>
            </w:r>
          </w:p>
        </w:tc>
        <w:tc>
          <w:tcPr>
            <w:tcW w:type="dxa" w:w="398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不展示未分享日记，不跨课程租户泄漏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状态机：</w:t>
      </w:r>
      <w:r>
        <w:rPr>
          <w:rFonts w:ascii="Noto Sans CJK SC" w:hAnsi="Noto Sans CJK SC" w:eastAsia="Noto Sans CJK SC"/>
          <w:b w:val="0"/>
          <w:color w:val="000000"/>
        </w:rPr>
        <w:t xml:space="preserve"> 草稿 → 待审核 → 退回修改或已审核 → 待发布确认 → 已发布 → 已撤回。身份待核验时可保存私人草稿，不展示“认证法师”标识。移动端支持逐项审核，复杂编排建议桌面完成但不阻断阅读。对应 DG-006、DG-034。</w:t>
      </w:r>
    </w:p>
    <w:p>
      <w:pPr>
        <w:pStyle w:val="Heading1"/>
        <w:pageBreakBefore/>
      </w:pPr>
      <w:r>
        <w:t>10 视觉设计令牌与阅读规范</w:t>
      </w:r>
    </w:p>
    <w:p>
      <w:r>
        <w:rPr>
          <w:rFonts w:ascii="Noto Sans CJK SC" w:hAnsi="Noto Sans CJK SC" w:eastAsia="Noto Sans CJK SC"/>
          <w:b w:val="0"/>
          <w:color w:val="000000"/>
        </w:rPr>
        <w:t>产品采用安静、清晰、非神秘化的视觉语言。不给 AI 使用法师肖像、仿真声音或人格化法号；来源可信度靠可展开证据，不靠金色徽章或权威暗示。以下为可直接映射为 CSS 变量的建议值。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8"/>
        <w:gridCol w:w="3672"/>
        <w:gridCol w:w="3816"/>
      </w:tblGrid>
      <w:tr>
        <w:trPr>
          <w:tblHeader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令牌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建议值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color.canvas / surface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#F7F7F2 / #FFFFFF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画布与正文背景；不靠纹理承载文字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color.text / muted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#202624 / #52625A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正文与次级文字；禁止降低到难读灰度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color.primary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#235747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主动作底色配白字；链接同时加下划线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color.border / focus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#77867E / #1D4ED8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控件边界与 3 px 焦点环；焦点外偏移 2 px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color.warning / danger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#7A4300 / #9A2E2E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白底文字；同时配标签或图标，不只用颜色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font.ui / reading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Noto Sans CJK SC / Noto Serif CJK SC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系统字体回退；按语种选字形，不强制中文字体覆盖全部文字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type.body / reading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16 px / 18–22 px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行高 1.6 / 1.8；字号可调，不锁浏览器缩放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type.label / heading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14 px / 24–36 px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说明可到 14 px，关键版权与权限不可藏成微字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space / radius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 8 12 16 24 32 48 px / 8 px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四点基线；卡片圆角不承担状态语义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layout / target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最大 1280 px / 常用目标 ≥44 px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阅读最大约 720 px；移动边距 16 px，桌面 24–40 px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motion / elevation</w:t>
            </w:r>
          </w:p>
        </w:tc>
        <w:tc>
          <w:tcPr>
            <w:tcW w:type="dxa" w:w="367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120–180 ms / 0 或轻阴影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尊重减少动态偏好；抽屉不闪烁，不自动滚动长文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内容排版与国际化</w:t>
      </w:r>
    </w:p>
    <w:p>
      <w:r>
        <w:rPr>
          <w:rFonts w:ascii="Noto Sans CJK SC" w:hAnsi="Noto Sans CJK SC" w:eastAsia="Noto Sans CJK SC"/>
          <w:b w:val="0"/>
          <w:color w:val="000000"/>
        </w:rPr>
        <w:t>中文正文不强制两端拉伸；原文允许保留原标点与换行。界面语言、内容语言、译文语言分别存储；语言菜单使用本族语名称。预留英文扩展和长标题换行空间；未来右到左语言须单独验收，不能宣称当前全语种适配。</w:t>
      </w:r>
    </w:p>
    <w:p>
      <w:r>
        <w:rPr>
          <w:rFonts w:ascii="Noto Sans CJK SC" w:hAnsi="Noto Sans CJK SC" w:eastAsia="Noto Sans CJK SC"/>
          <w:b w:val="0"/>
          <w:color w:val="000000"/>
        </w:rPr>
        <w:t>静态令牌计算：白底正文对比度 15.39:1、次级字 6.45:1、主色白字 8.31:1、控件边界 3.82:1。仍须在真实状态中复查。目标为 WCAG 2.2 AA，不是已获得合规认证。</w:t>
      </w:r>
    </w:p>
    <w:p>
      <w:pPr>
        <w:pStyle w:val="Heading1"/>
        <w:pageBreakBefore/>
      </w:pPr>
      <w:r>
        <w:t>11 组件契约与空错状态</w:t>
      </w:r>
    </w:p>
    <w:p>
      <w:r>
        <w:rPr>
          <w:rFonts w:ascii="Noto Sans CJK SC" w:hAnsi="Noto Sans CJK SC" w:eastAsia="Noto Sans CJK SC"/>
          <w:b w:val="0"/>
          <w:color w:val="000000"/>
        </w:rPr>
        <w:t>组件使用真实数据状态驱动，不通过“看起来禁用”代替权限。状态名与文案集中管理，日志记录错误代码而非私人内容；错误消息给用户可采取的下一步。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5011"/>
        <w:gridCol w:w="2995"/>
      </w:tblGrid>
      <w:tr>
        <w:trPr>
          <w:tblHeader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必要属性与交互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C-01 搜索框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label、query、scope、submit；保留输入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idle / loading / success / empty / error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C-02 资料卡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type、title、edition、source、rights；标题为主链接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可读 / 仅链接 / 受限 / 已撤回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C-03 证据抽屉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answerId、citationId、locator；打开后聚焦标题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已验证 / 待核验 / 不支持该句 / 失效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C-04 版本切换器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editionId、语言、对应关系；切换不拼接正文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已对齐 / 机器对齐 / 缺段 / 无权限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C-05 媒体控制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position、duration、caption、permission；可键盘操作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未播放 / 缓冲 / 播放 / 暂停 / 错误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C-06 私人编辑器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noteId、revision、saveState；保护未保存输入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本机草稿 / 保存中 / 已保存 / 冲突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C-07 权利与审核标记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rights、status、reviewer、内容/权利版本；可展开解释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仅元数据 / 仅链接 / 授权全文；AI 或人工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C-08 确认对话框</w:t>
            </w:r>
          </w:p>
        </w:tc>
        <w:tc>
          <w:tcPr>
            <w:tcW w:type="dxa" w:w="501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对象、范围、后果、取消；明确主次按钮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待确认 / 执行中 / 成功 / 可重试失败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917"/>
        <w:gridCol w:w="4234"/>
      </w:tblGrid>
      <w:tr>
        <w:trPr>
          <w:tblHeader/>
        </w:trPr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推荐文案</w:t>
            </w:r>
          </w:p>
        </w:tc>
        <w:tc>
          <w:tcPr>
            <w:tcW w:type="dxa" w:w="42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恢复动作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无结果</w:t>
            </w:r>
          </w:p>
        </w:tc>
        <w:tc>
          <w:tcPr>
            <w:tcW w:type="dxa" w:w="3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没有找到符合这些条件的资料</w:t>
            </w:r>
          </w:p>
        </w:tc>
        <w:tc>
          <w:tcPr>
            <w:tcW w:type="dxa" w:w="42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移除某个筛选或修改关键词；不改写用户问题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不足</w:t>
            </w:r>
          </w:p>
        </w:tc>
        <w:tc>
          <w:tcPr>
            <w:tcW w:type="dxa" w:w="3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当前资料不足以支持这个结论</w:t>
            </w:r>
          </w:p>
        </w:tc>
        <w:tc>
          <w:tcPr>
            <w:tcW w:type="dxa" w:w="42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查看已有证据、缩小问题；不造答案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无权限或过期</w:t>
            </w:r>
          </w:p>
        </w:tc>
        <w:tc>
          <w:tcPr>
            <w:tcW w:type="dxa" w:w="3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这项内容当前不可访问</w:t>
            </w:r>
          </w:p>
        </w:tc>
        <w:tc>
          <w:tcPr>
            <w:tcW w:type="dxa" w:w="42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重新登录或查看公开目录；不暴露私有标题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断网与保存失败</w:t>
            </w:r>
          </w:p>
        </w:tc>
        <w:tc>
          <w:tcPr>
            <w:tcW w:type="dxa" w:w="3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尚未同步，你的输入仍在本机</w:t>
            </w:r>
          </w:p>
        </w:tc>
        <w:tc>
          <w:tcPr>
            <w:tcW w:type="dxa" w:w="42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重试或复制草稿；清楚说明本机保存边界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限额或服务故障</w:t>
            </w:r>
          </w:p>
        </w:tc>
        <w:tc>
          <w:tcPr>
            <w:tcW w:type="dxa" w:w="391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暂时无法生成导读，资料检索仍可使用</w:t>
            </w:r>
          </w:p>
        </w:tc>
        <w:tc>
          <w:tcPr>
            <w:tcW w:type="dxa" w:w="42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继续阅读、稍后重试；不无限自动重试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  <w:t>基础控件统一 default、hover、focus、pressed、disabled、loading 六态。主按钮每个任务区至多一个；次按钮用描边，危险动作使用明确动词与再次确认。禁用须给原因，不只降透明度；加载中保留按钮宽度，屏蔽重复提交。</w:t>
      </w:r>
    </w:p>
    <w:p>
      <w:r>
        <w:rPr>
          <w:rFonts w:ascii="Noto Sans CJK SC" w:hAnsi="Noto Sans CJK SC" w:eastAsia="Noto Sans CJK SC"/>
          <w:b w:val="0"/>
          <w:color w:val="000000"/>
        </w:rPr>
        <w:t>表单标签常驻，不以占位符替代。错误紧邻字段并说明改法，提交失败聚焦首个错误；保留用户已填内容。加载可显示骨架，超时给取消或重试。成功消息用状态区域播报，不抢焦点；删除前展示精确对象与后果。</w:t>
      </w:r>
    </w:p>
    <w:p>
      <w:pPr>
        <w:pStyle w:val="Heading1"/>
        <w:pageBreakBefore/>
      </w:pPr>
      <w:r>
        <w:t>12 隐私版权与审核标记</w:t>
      </w:r>
    </w:p>
    <w:p>
      <w:r>
        <w:rPr>
          <w:rFonts w:ascii="Noto Sans CJK SC" w:hAnsi="Noto Sans CJK SC" w:eastAsia="Noto Sans CJK SC"/>
          <w:b w:val="0"/>
          <w:color w:val="000000"/>
        </w:rPr>
        <w:t>资料权利、内容性质、审核状态是三个独立维度，不压成一个“可信”徽标。每个标记可展开解释来源与作用范围；缺记录时默认限制，不从页面可访问推导额外许可。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888"/>
        <w:gridCol w:w="4046"/>
      </w:tblGrid>
      <w:tr>
        <w:trPr>
          <w:tblHeader/>
        </w:trPr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8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可见标签</w:t>
            </w:r>
          </w:p>
        </w:tc>
        <w:tc>
          <w:tcPr>
            <w:tcW w:type="dxa" w:w="4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按钮与行为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访问与使用权利</w:t>
            </w:r>
          </w:p>
        </w:tc>
        <w:tc>
          <w:tcPr>
            <w:tcW w:type="dxa" w:w="38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仅元数据／仅链接／授权全文／受限／已撤回</w:t>
            </w:r>
          </w:p>
        </w:tc>
        <w:tc>
          <w:tcPr>
            <w:tcW w:type="dxa" w:w="4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分别显示查看目录、前往原站、阅读；下载另按许可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内容性质</w:t>
            </w:r>
          </w:p>
        </w:tc>
        <w:tc>
          <w:tcPr>
            <w:tcW w:type="dxa" w:w="38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原典／注疏／研究／机器转写／AI 导读</w:t>
            </w:r>
          </w:p>
        </w:tc>
        <w:tc>
          <w:tcPr>
            <w:tcW w:type="dxa" w:w="4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始终贴近内容标题，复制时保留性质说明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身份与审核</w:t>
            </w:r>
          </w:p>
        </w:tc>
        <w:tc>
          <w:tcPr>
            <w:tcW w:type="dxa" w:w="38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身份待核验／身份已核验；AI 草稿／人工已审核</w:t>
            </w:r>
          </w:p>
        </w:tc>
        <w:tc>
          <w:tcPr>
            <w:tcW w:type="dxa" w:w="4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分别显示核验范围、审核人、版本和时间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个人可见性</w:t>
            </w:r>
          </w:p>
        </w:tc>
        <w:tc>
          <w:tcPr>
            <w:tcW w:type="dxa" w:w="388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仅本人／已分享给指定对象／授权已撤回</w:t>
            </w:r>
          </w:p>
        </w:tc>
        <w:tc>
          <w:tcPr>
            <w:tcW w:type="dxa" w:w="404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编辑器旁常驻；共享前后有明确状态回执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最小权限矩阵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2016"/>
        <w:gridCol w:w="2995"/>
        <w:gridCol w:w="2995"/>
      </w:tblGrid>
      <w:tr>
        <w:trPr>
          <w:tblHeader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本人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老师或机构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公开与共享 AI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私人笔记与阅读位置</w:t>
            </w:r>
          </w:p>
        </w:tc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可读写 导出 删除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默认不可读；仅按单项授权读取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不公开，不进入共享 RAG 或模型训练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主动提交的课程问题</w:t>
            </w:r>
          </w:p>
        </w:tc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可查看与撤回授权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指定课程授权者可读；处理须有边界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默认不公开，不自动转作语料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授权资料</w:t>
            </w:r>
          </w:p>
        </w:tc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按该资源许可访问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按租户角色与权利处理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仅经权利闸门可索引、摘录或展示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机构统计</w:t>
            </w:r>
          </w:p>
        </w:tc>
        <w:tc>
          <w:tcPr>
            <w:tcW w:type="dxa" w:w="20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仅相关个人自己的记录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仅最小必要聚合，避免小样本反识别</w:t>
            </w:r>
          </w:p>
        </w:tc>
        <w:tc>
          <w:tcPr>
            <w:tcW w:type="dxa" w:w="299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不公开个人宗教身份或修学轨迹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分享确认内容：</w:t>
      </w:r>
      <w:r>
        <w:rPr>
          <w:rFonts w:ascii="Noto Sans CJK SC" w:hAnsi="Noto Sans CJK SC" w:eastAsia="Noto Sans CJK SC"/>
          <w:b w:val="0"/>
          <w:color w:val="000000"/>
        </w:rPr>
        <w:t xml:space="preserve"> 精确笔记或摘录、接收对象、用途、有效期、是否允许下载，以及撤回后已导出副本无法保证收回。不要用默认全选或捆绑同意扩大范围。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撤回与外部处理：</w:t>
      </w:r>
      <w:r>
        <w:rPr>
          <w:rFonts w:ascii="Noto Sans CJK SC" w:hAnsi="Noto Sans CJK SC" w:eastAsia="Noto Sans CJK SC"/>
          <w:b w:val="0"/>
          <w:color w:val="000000"/>
        </w:rPr>
        <w:t xml:space="preserve"> 权利撤回后新请求立即阻断，并传播到引用、索引、缓存与衍生物。调用外部模型前说明传输范围并最小化内容；不能仅凭“生成”按钮视为无限授权。界面不显示内部令牌或私有对象地址。对应 DG-009、DG-011、DG-026、DG-038。</w:t>
      </w:r>
    </w:p>
    <w:p>
      <w:pPr>
        <w:pStyle w:val="Heading1"/>
        <w:pageBreakBefore/>
      </w:pPr>
      <w:r>
        <w:t>13 响应式与可访问性验收</w:t>
      </w:r>
    </w:p>
    <w:p>
      <w:r>
        <w:rPr>
          <w:rFonts w:ascii="Noto Sans CJK SC" w:hAnsi="Noto Sans CJK SC" w:eastAsia="Noto Sans CJK SC"/>
          <w:b w:val="0"/>
          <w:color w:val="000000"/>
        </w:rPr>
        <w:t>目标是同一任务在桌面、移动、键盘与辅助技术下均可完成。下列为设计与测试要求；须在真实实现中逐项验证，不以线框或自动扫描宣称通过。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040"/>
        <w:gridCol w:w="3542"/>
      </w:tblGrid>
      <w:tr>
        <w:trPr>
          <w:tblHeader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断点建议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布局行为</w:t>
            </w:r>
          </w:p>
        </w:tc>
        <w:tc>
          <w:tcPr>
            <w:tcW w:type="dxa" w:w="35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不允许的退化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&lt;768 px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单列；底栏四入口；筛选和引用用抽屉；阅读版本切换</w:t>
            </w:r>
          </w:p>
        </w:tc>
        <w:tc>
          <w:tcPr>
            <w:tcW w:type="dxa" w:w="35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正文水平溢出、把核心权限文案折叠消失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768–1199 px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双区按内容决定；侧栏可收起；阅读可选对照</w:t>
            </w:r>
          </w:p>
        </w:tc>
        <w:tc>
          <w:tcPr>
            <w:tcW w:type="dxa" w:w="35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强行挤成三栏，依赖悬停才能操作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≥1200 px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最大 1280 px；结果与证据并列；留阅读行宽</w:t>
            </w:r>
          </w:p>
        </w:tc>
        <w:tc>
          <w:tcPr>
            <w:tcW w:type="dxa" w:w="35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整屏超长文本行或无限放大卡片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必须覆盖的测试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键盘与焦点：</w:t>
      </w:r>
      <w:r>
        <w:rPr>
          <w:rFonts w:ascii="Noto Sans CJK SC" w:hAnsi="Noto Sans CJK SC" w:eastAsia="Noto Sans CJK SC"/>
          <w:b w:val="0"/>
          <w:color w:val="000000"/>
        </w:rPr>
        <w:t xml:space="preserve"> 跳转主内容、导航、筛选、播放、保存均可无鼠标完成。焦点清晰且不被固定栏遮挡；模态抽屉内循环 Tab，Escape 关闭，返回触发控件。非模态侧栏不捕获焦点。[S2]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视觉与重排：</w:t>
      </w:r>
      <w:r>
        <w:rPr>
          <w:rFonts w:ascii="Noto Sans CJK SC" w:hAnsi="Noto Sans CJK SC" w:eastAsia="Noto Sans CJK SC"/>
          <w:b w:val="0"/>
          <w:color w:val="000000"/>
        </w:rPr>
        <w:t xml:space="preserve"> 普通文字对比度至少 4.5:1，大字及关键非文本控件按 3:1 检查。200% 文本缩放与 320 CSS px 窄视口下不丢信息；正文无需双向滚动。目标 AA 的完整范围仍须按标准评审。[S1]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触控与动态：</w:t>
      </w:r>
      <w:r>
        <w:rPr>
          <w:rFonts w:ascii="Noto Sans CJK SC" w:hAnsi="Noto Sans CJK SC" w:eastAsia="Noto Sans CJK SC"/>
          <w:b w:val="0"/>
          <w:color w:val="000000"/>
        </w:rPr>
        <w:t xml:space="preserve"> 项目默认常用控件至少 44×44 CSS px；这高于 WCAG 2.2 AA 的 24×24 最小目标或间距例外要求。不要把 44 px 误写为 AA 硬性门槛。尊重减少动态设置。[S3]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语义与媒体：</w:t>
      </w:r>
      <w:r>
        <w:rPr>
          <w:rFonts w:ascii="Noto Sans CJK SC" w:hAnsi="Noto Sans CJK SC" w:eastAsia="Noto Sans CJK SC"/>
          <w:b w:val="0"/>
          <w:color w:val="000000"/>
        </w:rPr>
        <w:t xml:space="preserve"> 标题层级、表头、标签、错误关联、状态播报可由读屏识别；图标有可访问名称。音视频提供授权范围内字幕或转写，并按内容需要提供替代说明；不自动播放。登录允许粘贴与密码管理器，不增加无替代方式的认知测试。</w:t>
      </w:r>
    </w:p>
    <w:p>
      <w:pPr>
        <w:spacing w:after="120" w:line="252" w:lineRule="auto"/>
      </w:pPr>
      <w:hyperlink r:id="rId17">
        <w:r>
          <w:rPr>
            <w:rFonts w:ascii="Noto Sans CJK SC" w:eastAsia="Noto Sans CJK SC"/>
            <w:sz w:val="19"/>
            <w:color w:val="1F4E79"/>
          </w:rPr>
          <w:t>[S1] W3C WCAG 2.2 正式规范 访问日期 2026-10-25</w:t>
        </w:r>
      </w:hyperlink>
    </w:p>
    <w:p>
      <w:pPr>
        <w:spacing w:after="120" w:line="252" w:lineRule="auto"/>
      </w:pPr>
      <w:hyperlink r:id="rId18">
        <w:r>
          <w:rPr>
            <w:rFonts w:ascii="Noto Sans CJK SC" w:eastAsia="Noto Sans CJK SC"/>
            <w:sz w:val="19"/>
            <w:color w:val="1F4E79"/>
          </w:rPr>
          <w:t>[S2] W3C ARIA 模态对话框模式 访问日期 2026-10-25</w:t>
        </w:r>
      </w:hyperlink>
    </w:p>
    <w:p>
      <w:pPr>
        <w:spacing w:after="120" w:line="252" w:lineRule="auto"/>
      </w:pPr>
      <w:hyperlink r:id="rId19">
        <w:r>
          <w:rPr>
            <w:rFonts w:ascii="Noto Sans CJK SC" w:eastAsia="Noto Sans CJK SC"/>
            <w:sz w:val="19"/>
            <w:color w:val="1F4E79"/>
          </w:rPr>
          <w:t>[S3] W3C 最小目标尺寸说明 访问日期 2026-10-25</w:t>
        </w:r>
      </w:hyperlink>
    </w:p>
    <w:p>
      <w:pPr>
        <w:pStyle w:val="Heading1"/>
        <w:pageBreakBefore/>
      </w:pPr>
      <w:r>
        <w:t>14 开发交接与验收清单</w:t>
      </w:r>
    </w:p>
    <w:p>
      <w:r>
        <w:rPr>
          <w:rFonts w:ascii="Noto Sans CJK SC" w:hAnsi="Noto Sans CJK SC" w:eastAsia="Noto Sans CJK SC"/>
          <w:b w:val="0"/>
          <w:color w:val="000000"/>
        </w:rPr>
        <w:t>实现前先对账既有成果；设计页面不等于新的独立应用，也不要求重建全部旧站。产品确认范围，设计交互复核，内容团队确认来源与许可，工程实现权限与状态，测试提供实际回执。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3"/>
        <w:gridCol w:w="2347"/>
        <w:gridCol w:w="5486"/>
      </w:tblGrid>
      <w:tr>
        <w:trPr>
          <w:tblHeader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关联 backlog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建议通过条件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找资料并打开出处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DG-017 至 DG-023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用户从问题进入资料，能区分 AI 与原典并定位同一版本片段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继续阅读并存笔记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DG-024、DG-026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跨设备恢复；他人账户无法读取笔记；失败不静默丢输入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报告误引或权利问题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DG-025、DG-038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携带原版本与片段，状态可追踪；撤回后新请求被阻断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打开旧版应用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DG-001 至 DG-004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旧入口兼容、关键路由回归通过，有发布与回退回执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 时间码与对照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DG-030 至 DG-033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播放、字幕、时间码一致；缺段与机器对齐标签正确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 审核与修学</w:t>
            </w:r>
          </w:p>
        </w:tc>
        <w:tc>
          <w:tcPr>
            <w:tcW w:type="dxa" w:w="234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DG-034、DG-035</w:t>
            </w:r>
          </w:p>
        </w:tc>
        <w:tc>
          <w:tcPr>
            <w:tcW w:type="dxa" w:w="548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草稿不能绕过审核发布；学习者可退出且私人日记不外泄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任务测试与阻塞项</w:t>
      </w:r>
    </w:p>
    <w:p>
      <w:r>
        <w:rPr>
          <w:rFonts w:ascii="Noto Sans CJK SC" w:hAnsi="Noto Sans CJK SC" w:eastAsia="Noto Sans CJK SC"/>
          <w:b w:val="0"/>
          <w:color w:val="000000"/>
        </w:rPr>
        <w:t>建议以未受训练的目标用户验证四项 P0 任务，目标任务成功率 ≥90%；记录失败路径，不把样本结果外推为全体用户。预发布引用定位目标 ≥99%，人工抽检支持性目标 ≥95%，与 DG-021 共用评测集。以上均为建议门槛，不是实测成绩。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任何一项即阻塞上线：</w:t>
      </w:r>
      <w:r>
        <w:rPr>
          <w:rFonts w:ascii="Noto Sans CJK SC" w:hAnsi="Noto Sans CJK SC" w:eastAsia="Noto Sans CJK SC"/>
          <w:b w:val="0"/>
          <w:color w:val="000000"/>
        </w:rPr>
        <w:t xml:space="preserve"> 跨账户或跨机构泄漏、虚构出处、失效权利仍可访问、AI 冒充真人审核、不可恢复的数据丢失、旧核心入口回归失败。不能用平均得分掩盖这些问题。</w:t>
      </w:r>
    </w:p>
    <w:p>
      <w:pPr>
        <w:pStyle w:val="Heading2"/>
      </w:pPr>
      <w:r>
        <w:t>交付与待确认决策</w:t>
      </w:r>
    </w:p>
    <w:p>
      <w:r>
        <w:rPr>
          <w:rFonts w:ascii="Noto Sans CJK SC" w:hAnsi="Noto Sans CJK SC" w:eastAsia="Noto Sans CJK SC"/>
          <w:b w:val="0"/>
          <w:color w:val="000000"/>
        </w:rPr>
        <w:t>交付含本设计说明、6 个桌面与移动组合线框的 SVG／PNG、可编辑 Word 与 PDF。SVG 是设计资产，PNG 用于文档与 GitHub 预览；不含第三方全文、私人笔记或内部配置。</w:t>
      </w:r>
    </w:p>
    <w:p>
      <w:r>
        <w:rPr>
          <w:rFonts w:ascii="Noto Sans CJK SC" w:hAnsi="Noto Sans CJK SC" w:eastAsia="Noto Sans CJK SC"/>
          <w:b w:val="0"/>
          <w:color w:val="000000"/>
        </w:rPr>
        <w:t>开发前待确认：首批资料与语言、身份核验责任方、各权利标签映射、对齐与字幕的人工审核规则、笔记保留与删除政策、旧路由清单。功能上线须走 DG-028 的真实验收与批准流程。</w:t>
      </w:r>
    </w:p>
    <w:p>
      <w:r>
        <w:rPr>
          <w:rFonts w:ascii="Noto Sans CJK SC" w:hAnsi="Noto Sans CJK SC" w:eastAsia="Noto Sans CJK SC"/>
          <w:b w:val="0"/>
          <w:color w:val="000000"/>
        </w:rPr>
        <w:t>依据：同项目产品定义、架构定义、45 项 backlog 与人本体验治理说明；外部可访问性依据见第 13 节。当前版本 v0.1，2026 年 10 月 25 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设计提案  2026 年 10 月 25 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DHARMAGATE  UIUX体验设计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40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w3.org/TR/WCAG22/" TargetMode="External"/><Relationship Id="rId18" Type="http://schemas.openxmlformats.org/officeDocument/2006/relationships/hyperlink" Target="https://www.w3.org/WAI/ARIA/apg/patterns/dialog-modal/" TargetMode="External"/><Relationship Id="rId19" Type="http://schemas.openxmlformats.org/officeDocument/2006/relationships/hyperlink" Target="https://www.w3.org/WAI/WCAG22/Understanding/target-size-minimu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Dharmagate UIUX体验设计</dc:title>
  <dc:subject>全球联合目录 合法保存 证据人工智能 人本修学</dc:subject>
  <dc:creator>Dharmagate 方案设计</dc:creator>
  <cp:keywords>Dharmagate,Cloudflare,佛学,联合目录,RAG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