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鸠摩罗什深度研究</w:t>
      </w:r>
    </w:p>
    <w:p>
      <w:pPr>
        <w:pStyle w:val="Subtitle"/>
      </w:pPr>
      <w:r>
        <w:t>从龟兹求学到长安译经 多语种研究与证据辨析</w:t>
      </w:r>
    </w:p>
    <w:p>
      <w:r>
        <w:t>研究截止：2026年10月17日。本文是综合研究报告，不是古籍全译，也不是对全部学术文献的穷尽书目。正文以中文写成，直接核读汉文原典，并比较中文、日文、英文及可取得的法文研究。引文保留原语；古汉语随后解释，外语短引随后中译。文中“罗什译”通常指以其为核心形成的译传成果，不预设他独立写出每一个汉字。</w:t>
      </w:r>
    </w:p>
    <w:p>
      <w:pPr>
        <w:pStyle w:val="Heading1"/>
      </w:pPr>
      <w:r>
        <w:t>摘要</w:t>
      </w:r>
    </w:p>
    <w:p>
      <w:r>
        <w:t>鸠摩罗什的历史重要性，不仅在于译出若干部广为诵读的佛经，更在于把中亚及印度佛教的学问、汉地已有译经传统、后秦的政治资源和长安僧众的语言与解释能力连接起来。他的学习经历包含部派经论、戒律、般若与中观、禅修，以及跨语言的口头教学。大乘思想的转向没有使他与原有戒律和师友网络完全断绝；长安译场也不是现代意义的单人翻译工作室。</w:t>
      </w:r>
    </w:p>
    <w:p>
      <w:r>
        <w:t>现存证据能确立龟兹成长、跨地区求学、吕氏控制下的河西岁月、弘始三年岁末入长安及其后密集译经这一基本顺序，却不能确立毫无争议的生卒年。409与413之外，日本研究还提出约411年卒的重建。译经序记往往比后出传记更适合核查具体项目；僧传和正史则必须连同其叙事目的阅读。政治强迫的记载应正面交代，但既不能浪漫化，也不能将神异故事转换为确证的私生活。</w:t>
      </w:r>
    </w:p>
    <w:p>
      <w:r>
        <w:t>本报告的核心判断是：应同时保留罗什的个人学术贡献与协作者的历史能动性。不同译本的差异可能来自底本、解释、口述、笔受或后续修订，不能一律归为“意译”或“删节”。其汉文经典塑造了东亚佛教的长期阅读与修行，但后来宗派的祖师谱系不等于五世纪已经存在的组织事实。</w:t>
      </w:r>
    </w:p>
    <w:p>
      <w:pPr>
        <w:pStyle w:val="Heading1"/>
      </w:pPr>
      <w:r>
        <w:t>一 研究方法与材料边界</w:t>
      </w:r>
    </w:p>
    <w:p>
      <w:r>
        <w:t>本报告把证据分为四层。第一层是现存经典及译经序、后记、目录，尤其《出三藏记集》保存的僧叡等人文字，可核查翻译项目、参与者和工作过程。序文也可能赞颂赞助人，且经历传抄，并非天然无误。第二层是《出三藏记集》卷十四与《高僧传》卷二的生平叙述：二书距罗什生活已有时日，材料相互承袭，不能算作两份完全独立的证词。第三层是《晋书》、悼文及后世目录、注疏，用于交叉核查或研究接受史。第四层是现代研究，它们提出新问题和考证，却也会沿用错误或作出有争议的解释。[P1—P4]</w:t>
      </w:r>
    </w:p>
    <w:p>
      <w:r>
        <w:t>“史料记载”只表示某文本确实如此写，不等于事情已获独立证实。“较强”指有接近当时的具体记录或多种性质不同的材料相合；“中等”指基本顺序可信而细节依赖后出叙述；“较弱或未决”指证据单一、版本冲突、归属可疑或必须增加假设。这样的分层不贬低宗教传统，而是把可研究的信仰记忆与可重建的事件区分开。</w:t>
      </w:r>
    </w:p>
    <w:p>
      <w:r>
        <w:t>检索以人物名及其异写为轴，结合年代、译经、般若、中观、《维摩》《智论》《心经》、受容等专题词；日文重点利用J-STAGE、CiNii、INBUDS和大学机构库，英文及法文优先采用期刊、大学研究项目、出版社和作者机构存档。书目逐项标记“全文核读”“取得全文、选读相关部分”“仅目录或摘要”。书名出现在参考文献中，不表示本报告已读该书全部。未取得的原典或研究只作线索，不以二手转引冒充直接阅读。</w:t>
      </w:r>
    </w:p>
    <w:p>
      <w:pPr>
        <w:pStyle w:val="Heading1"/>
      </w:pPr>
      <w:r>
        <w:t>二 连续生平</w:t>
      </w:r>
    </w:p>
    <w:p>
      <w:r>
        <w:t>鸠摩罗什（Kumārajīva），又称罗什、童寿，活跃于四至五世纪之交。出生年常见约344与350，卒年有409、413及约411等研究主张；以下不把童年年龄机械换成唯一公历年份。</w:t>
      </w:r>
    </w:p>
    <w:p>
      <w:pPr>
        <w:pStyle w:val="Heading2"/>
      </w:pPr>
      <w:r>
        <w:t>一 出生于龟兹 一个连接印度与中亚的家庭</w:t>
      </w:r>
    </w:p>
    <w:p>
      <w:r>
        <w:t>鸠摩罗什出生的龟兹，在今天新疆库车一带。当时它是具有自身王室、语言与文化的绿洲王国，也是丝路北道上的交通中心。因此，说他出生于今天中国境内，并不意味着可以把现代国籍直接套到四世纪的人身上。</w:t>
      </w:r>
    </w:p>
    <w:p>
      <w:r>
        <w:t>僧祐《出三藏记集》和慧皎《高僧传》都把他的父亲称作鸠摩炎，记述其家族在天竺世代担任国相。按传记叙述，鸠摩炎原本可以继承相位，却选择出家，越过葱岭来到龟兹，受到国王礼遇。国王的妹妹看中他，王室促成了这段婚姻，随后生下鸠摩罗什。母亲名耆婆，属于龟兹王族。《高僧传》还记载，他有一个弟弟，名弗沙提婆。</w:t>
      </w:r>
    </w:p>
    <w:p>
      <w:r>
        <w:t>这些记载说明，早期佛教传统把罗什的成长放在印度学术传承与龟兹王室赞助的交会处。不过，父母婚姻的具体经过没有独立档案可供复核；传记中关于母亲怀孕时突然通晓天竺语等叙述，属于塑造圣童形象的宗教故事，不能作为语言学或生理事实。</w:t>
      </w:r>
    </w:p>
    <w:p>
      <w:pPr>
        <w:pStyle w:val="Heading2"/>
      </w:pPr>
      <w:r>
        <w:t>二 母亲出家 他在七岁左右进入佛教教育</w:t>
      </w:r>
    </w:p>
    <w:p>
      <w:r>
        <w:t>母亲对罗什的人生起了决定性作用。《高僧传》说，她曾请求出家，起初遭到丈夫反对，后来以拒绝进食表明决心，才得到允许。传记把鸠摩罗什随母出家的年龄记为七岁。</w:t>
      </w:r>
    </w:p>
    <w:p>
      <w:r>
        <w:t>他的初期学习包括背诵经典和学习阿毗昙，即分析身心经验、修行过程与诸法分类的佛教论学。早期传记以惊人的记诵数量突出他的聪慧，但那些数字带有高僧传记的赞颂色彩，不宜按现代学校成绩般精确理解。比较稳妥的判断是：他很早接受了系统的僧院教育，尤其重视诵读、记忆、解释与辩论。</w:t>
      </w:r>
    </w:p>
    <w:p>
      <w:r>
        <w:t>母亲随后带他离开龟兹。传记给出的一个理由是，王族身份带来的供养与尊崇过多，妨碍清静修学。这次离开使他接触到不同地区的学术传统，而不是只在本地寺院成长。</w:t>
      </w:r>
    </w:p>
    <w:p>
      <w:pPr>
        <w:pStyle w:val="Heading2"/>
      </w:pPr>
      <w:r>
        <w:t>三 九岁至少年时期 罽宾 沙勒与思想转向</w:t>
      </w:r>
    </w:p>
    <w:p>
      <w:r>
        <w:t>按《高僧传》，罗什九岁时随母亲渡过辛头河，进入罽宾，从槃头达多学习。辛头河一般指印度河；罽宾通常联系于克什米尔及其周边，但古代地名的范围并不始终固定，不能把他的路线画得像现代旅行记录一样精确。</w:t>
      </w:r>
    </w:p>
    <w:p>
      <w:r>
        <w:t>槃头达多是一位熟悉经、律、论的学者。罗什在他门下学习《中阿含》《长阿含》等经典及相关教义。就学术传统而言，他早期主要置身于说一切有部等部派佛教的教育环境。古代大乘传记把这称作“小乘”；这里保留这一历史用语的背景，不把它当作对今天某一佛教传统的价值判断。</w:t>
      </w:r>
    </w:p>
    <w:p>
      <w:r>
        <w:t>传记说，他十二岁左右随母返程，途中在沙勒停留。沙勒一般对应今天喀什一带。他在那里继续学习阿毗昙，也接触佛教之外的知识，包括语言、论辩及印度传统学问。少年登坛说法、与其他学者辩论的故事，反映他较早获得了教学声望；至于每次辩论的对白与压倒性胜利，则不能逐项验证。</w:t>
      </w:r>
    </w:p>
    <w:p>
      <w:r>
        <w:t>这一时期最重要的变化，是他接触了大乘佛教。早期传记提到一位出身莎车王族的僧人须利耶苏摩，名字有不同音译。罗什最初不能接受其关于诸法空的解释，担心这会把经验世界与佛教修行一并否定。经过反复讨论，他逐渐转向大乘，深入学习与龙树、提婆相关的中观思想。</w:t>
      </w:r>
    </w:p>
    <w:p>
      <w:r>
        <w:t>这里的“空”并不简单等于什么都不存在，而是反对把事物看成独立、固定、自足的存在。这种思想后来成为他在长安讲解、翻译佛典的重要内容。传记还说，他在此阶段受学《中论》《百论》《十二门论》等；具体书名、版本与学习次序，仍应理解为后来的传记对其学术形成过程的整理。</w:t>
      </w:r>
    </w:p>
    <w:p>
      <w:pPr>
        <w:pStyle w:val="Heading2"/>
      </w:pPr>
      <w:r>
        <w:t>四 返回龟兹 受戒 讲学 成为西域名僧</w:t>
      </w:r>
    </w:p>
    <w:p>
      <w:r>
        <w:t>罗什与母亲经温宿返回龟兹后，受到王室欢迎，开始广泛讲说大乘经典。传记记载，他二十岁时受具足戒，成为正式比丘，并从卑摩罗叉学习《十诵律》。这说明他虽然思想上转向大乘，仍在具体的部派戒律传统中受戒和生活，不能把大乘与部派佛教想成两套完全隔绝的组织。</w:t>
      </w:r>
    </w:p>
    <w:p>
      <w:r>
        <w:t>母亲后来前往天竺，罗什留在龟兹继续研读、教学。关于母亲此后的生活，材料很少；传记所写她证得不同修行果位，属于佛教内部的宗教评价，不能还原为可验证的个人履历。</w:t>
      </w:r>
    </w:p>
    <w:p>
      <w:r>
        <w:t>这一时期，罗什进一步研读般若经典，并尝试向原来的老师槃头达多讲解大乘。两部早期传记在会面地点和过程上并非完全一致：《出三藏记集》说他前往罽宾，《高僧传》则展开了老师来到龟兹的叙述。共同的核心是：传统认为他曾反过来影响自己的老师，建立起跨地区的学术声望。</w:t>
      </w:r>
    </w:p>
    <w:p>
      <w:r>
        <w:t>龟兹时期是他从学生成为讲学者的阶段，但现存材料没有留下完整的课程表、著作目录或逐年行踪。我们知道他已经闻名西域，名声也传到关中；不能据此填补出一份没有空白的青年年谱。</w:t>
      </w:r>
    </w:p>
    <w:p>
      <w:r>
        <w:t>以上早年经历主要见于</w:t>
      </w:r>
      <w:hyperlink r:id="rId9">
        <w:r>
          <w:rPr>
            <w:color w:val="24485B"/>
            <w:rFonts w:eastAsia="Noto Serif CJK SC"/>
          </w:rPr>
          <w:t>《出三藏记集》卷十四</w:t>
        </w:r>
      </w:hyperlink>
      <w:r>
        <w:t>与</w:t>
      </w:r>
      <w:hyperlink r:id="rId10">
        <w:r>
          <w:rPr>
            <w:color w:val="24485B"/>
            <w:rFonts w:eastAsia="Noto Serif CJK SC"/>
          </w:rPr>
          <w:t>《高僧传》卷二</w:t>
        </w:r>
      </w:hyperlink>
      <w:r>
        <w:t>。两书有密切的材料承袭关系，不能简单算作两份互不相关的目击证词。</w:t>
      </w:r>
    </w:p>
    <w:p>
      <w:pPr>
        <w:pStyle w:val="Heading2"/>
      </w:pPr>
      <w:r>
        <w:t>五 战争改变人生 从龟兹被带往河西</w:t>
      </w:r>
    </w:p>
    <w:p>
      <w:r>
        <w:t>罗什东行不是玄奘式的主动求法旅程，而与十六国时代的军事扩张直接相关。当时苻坚统治前秦，首都在长安，既有经营西域的政治目标，也重视佛教人才。早期传记记述，苻坚特别要求西征将领吕光获得罗什后把他送往长安。但不能因此把一场涉及土地、交通和地区控制的战争，解释成仅仅为了抢夺一名僧人。</w:t>
      </w:r>
    </w:p>
    <w:p>
      <w:r>
        <w:t>西征的部署、出发和攻陷龟兹并非同一时间，资料因此常出现382、383、384年等不同年份。较审慎的叙述是：382—384年前后，前秦组织并实施西征，吕光攻破龟兹，罗什落入其控制。关于龟兹王的结局，僧传有被杀之说，《晋书·吕光载记》则记其逃走，这也提醒我们不要把不同史料硬拼成一个毫无矛盾的故事。</w:t>
      </w:r>
    </w:p>
    <w:p>
      <w:r>
        <w:t>《高僧传》记载，吕光起初不尊重罗什，以强迫他与龟兹王女结合、灌酒关入密室以及令其骑乘难以驾驭的牲畜等方式羞辱他。此类情节有早期传记依据，却缺少当事双方留下的独立说明。可以报告“传记如此记载”，不能改写为浪漫爱情，也不宜为戏剧效果添加人物心理和细节。</w:t>
      </w:r>
    </w:p>
    <w:p>
      <w:r>
        <w:t>战争同时改变了吕光的处境。383年苻坚在淝水之战中失败，前秦随后陷入分裂；385年苻坚被姚苌杀害。吕光东返后控制凉州，后来建立后凉。罗什因此没有按原计划抵达前秦长安，也未能与苻坚、道安相见。</w:t>
      </w:r>
      <w:hyperlink r:id="rId11">
        <w:r>
          <w:rPr>
            <w:color w:val="24485B"/>
            <w:rFonts w:eastAsia="Noto Serif CJK SC"/>
          </w:rPr>
          <w:t>《晋书》卷一百二十二</w:t>
        </w:r>
      </w:hyperlink>
      <w:r>
        <w:t>与</w:t>
      </w:r>
      <w:hyperlink r:id="rId10">
        <w:r>
          <w:rPr>
            <w:color w:val="24485B"/>
            <w:rFonts w:eastAsia="Noto Serif CJK SC"/>
          </w:rPr>
          <w:t>《高僧传》卷二</w:t>
        </w:r>
      </w:hyperlink>
      <w:r/>
    </w:p>
    <w:p>
      <w:pPr>
        <w:pStyle w:val="Heading2"/>
      </w:pPr>
      <w:r>
        <w:t>六 凉州岁月 长期受制于人 而非成熟译场的主持者</w:t>
      </w:r>
    </w:p>
    <w:p>
      <w:r>
        <w:t>罗什在吕氏控制下度过了漫长岁月，活动中心是凉州姑臧，即今甘肃武威一带。通俗文章常写“被囚十七年”“十八年”或“十九年”，这些数字的起算点并不统一，有的从西征算，有的从被俘或抵达河西算。能够确定的是，他直到401年才获得东入关中的机会，人生中相当长的一段被消耗在这一政治处境里。</w:t>
      </w:r>
    </w:p>
    <w:p>
      <w:r>
        <w:t>“受控制”不必理解为始终被关在监牢中。他可能有接触僧人、参与宫廷生活和提出意见的空间，却不能自由决定去留。《高僧传》说，姚苌与姚兴曾先后求请罗什，吕氏担心其才智帮助对手，不肯放行。传记中的他常以判断政治形势、劝诫统治者的形象出现，也夹杂占验灾异的故事。政治环境可以讨论，所谓每次预言准确应验则不应当作实证。</w:t>
      </w:r>
    </w:p>
    <w:p>
      <w:r>
        <w:t>这一时期可能为他接触汉语和汉地社会提供了条件，但不能进一步断言，他已独自精通全部汉文写作。长安译经同时代的序文仍显示，他需要汉地僧人的记录、讨论与修辞协作。因此，凉州岁月既不是一片完全无所事事的空白，也不能被想象成已有成熟国家译场的阶段。</w:t>
      </w:r>
      <w:hyperlink r:id="rId10">
        <w:r>
          <w:rPr>
            <w:color w:val="24485B"/>
            <w:rFonts w:eastAsia="Noto Serif CJK SC"/>
          </w:rPr>
          <w:t>《高僧传》卷二</w:t>
        </w:r>
      </w:hyperlink>
      <w:r>
        <w:t>；语言能力的不同学术判断详见第五节。</w:t>
      </w:r>
    </w:p>
    <w:p>
      <w:pPr>
        <w:pStyle w:val="Heading2"/>
      </w:pPr>
      <w:r>
        <w:t>七 进入长安 把个人学问变成集体翻译事业</w:t>
      </w:r>
    </w:p>
    <w:p>
      <w:r>
        <w:t>401年，后秦姚兴派姚硕德进攻后凉，吕隆战败归附，罗什终于得以进入关中。《高僧传》记其抵达长安为弘始三年十二月二十日，通常归入公元401年；古代岁末日期与公历年份不能机械等同，所以部分西文学术叙述写到402年初。也不应把此事写成401年后凉已彻底灭亡。</w:t>
      </w:r>
    </w:p>
    <w:p>
      <w:r>
        <w:t>姚兴以国师之礼接待他，给予场所、人员和物资支持。逍遥园、西明阁、长安大寺等，成为译经与讲学的重要地点。罗什生命中最有连续文献记录、也最能确定实际成果的时期，由此开始。</w:t>
      </w:r>
    </w:p>
    <w:p>
      <w:r>
        <w:t>这并不是一个人独坐书房，把整部梵文经典写成汉文。以僧叡的《大品经序》为例，译场由罗什持原本讲说，姚兴参照旧译，僧众共同讨论义理和措辞，之后才记录定文。403年开始的《大品般若》翻译，还经历次年校核，并随着《大智度论》的译出继续修订。可见翻译、讲解、校订和传播是相互交织的过程。</w:t>
      </w:r>
    </w:p>
    <w:p>
      <w:r>
        <w:t>参与者包括僧叡、僧肇，以及道恒、道标等众多僧人；不同项目又有不同的协作者。传记中数百、上千的参与数字，通常包含听讲、问难和受学者，不能直接等同于全职翻译人员。罗什的独特作用在于提供原典知识、解释复杂教义并主持讨论；汉地僧人对最终文字的形成同样重要。</w:t>
      </w:r>
    </w:p>
    <w:p>
      <w:r>
        <w:t>他既重译已有经典，也介绍新的论书，逐步使般若、空、中道等思想获得更有系统的汉文表达。但旧译并非全无价值，新译也不是在现代标准下每处都毫无问题。不同底本、口头讲解、删节和编订，都可能影响今天看到的文本。</w:t>
      </w:r>
      <w:hyperlink r:id="rId12">
        <w:r>
          <w:rPr>
            <w:color w:val="24485B"/>
            <w:rFonts w:eastAsia="Noto Serif CJK SC"/>
          </w:rPr>
          <w:t>《出三藏记集》所收译经序记，台大佛学数位图书馆藏本</w:t>
        </w:r>
      </w:hyperlink>
      <w:r/>
    </w:p>
    <w:p>
      <w:pPr>
        <w:pStyle w:val="Heading2"/>
      </w:pPr>
      <w:r>
        <w:t>八 译经以外 讲学 答问 以及王权干预</w:t>
      </w:r>
    </w:p>
    <w:p>
      <w:r>
        <w:t>罗什在长安并不只承担翻译。他讲解经典，回应弟子的疑问，也与庐山慧远进行书信问答。这些问题涉及佛身、菩萨、禅定与修行等，后来保存为《大乘大义章》，又称《鸠摩罗什法师大义》。它们让我们看到，当时的僧人不是简单接受新名词，而是在努力理解这些观念之间的关系。</w:t>
      </w:r>
    </w:p>
    <w:p>
      <w:r>
        <w:t>僧肇、僧叡、道生等与他有密切学术联系，后来的思想发展因此受到影响；不过，各人有各人的学术经历，不能把他们的全部观点都归于罗什。传记还提到他为姚兴作《实相论》，但今人无法据此获得一部完整、可靠流传的原著来逐章分析。</w:t>
      </w:r>
    </w:p>
    <w:p>
      <w:r>
        <w:t>王室支持也不等于个人自由。《高僧传》称，姚兴以不愿其才智无后为由，强迫他接受十名伎女，并使他离开通常的僧人住处，另居廨舍。这一记载牵涉政治权力、性关系和僧团戒律，应以克制方式说明：这是早期僧传对强迫事件的叙述，不是可以自由增饰的宫廷秘闻；受牵涉女性的姓名、意愿和后来经历，材料基本没有保留下来。</w:t>
      </w:r>
    </w:p>
    <w:p>
      <w:r>
        <w:t>传记随后写他以泥中莲花作比，劝听众取其教法，不以其生活处境为榜样。这同时反映了传记作者需要处理的难题：如何维护一位重要译师的宗教权威，又解释其与僧侣规范不一致的生活。至于把这些记录化约为“主动还俗”“风流高僧”，都超出了材料能够稳妥支持的范围。</w:t>
      </w:r>
      <w:hyperlink r:id="rId10">
        <w:r>
          <w:rPr>
            <w:color w:val="24485B"/>
            <w:rFonts w:eastAsia="Noto Serif CJK SC"/>
          </w:rPr>
          <w:t>《高僧传》卷二</w:t>
        </w:r>
      </w:hyperlink>
      <w:r>
        <w:t>；</w:t>
      </w:r>
      <w:hyperlink r:id="rId13">
        <w:r>
          <w:rPr>
            <w:color w:val="24485B"/>
            <w:rFonts w:eastAsia="Noto Serif CJK SC"/>
          </w:rPr>
          <w:t>《鸠摩罗什法师大义》</w:t>
        </w:r>
      </w:hyperlink>
      <w:r/>
    </w:p>
    <w:p>
      <w:pPr>
        <w:pStyle w:val="Heading2"/>
      </w:pPr>
      <w:r>
        <w:t>九 最后岁月与去世 确有遗产 也确有年代疑案</w:t>
      </w:r>
    </w:p>
    <w:p>
      <w:r>
        <w:t>传记记述，罗什晚年患病，病势加重后与僧众告别，强调希望所译经论继续流传，并提及《十诵律》尚有未及整理之处。这一记载与译场的实际情况相合：《十诵律》的传译涉及弗若多罗、昙摩流支和罗什，后来又有卑摩罗叉整理，并非一人一时完成。</w:t>
      </w:r>
    </w:p>
    <w:p>
      <w:r>
        <w:t>关于死亡日期，《高僧传》正文记弘始十一年八月二十日，即409年，末尾还明确指出各书对其卒年说法不同。另有学者根据关联事件重建约411年卒，详见第六节。另一项重要材料是《广弘明集》所收、题为僧肇作的《鸠摩罗什法师诔》，其中记癸丑年、年七十、四月十三日卒于大寺。按通常解释，癸丑是413年，再按传统年龄计算上推，便得到344年前后的出生年。因此，344—413并非毫无依据，但也不能据一篇传世悼文宣布全部分歧都已解决。</w:t>
      </w:r>
    </w:p>
    <w:p>
      <w:r>
        <w:t>他的去世地点可稳妥说是在长安。传记说遗体在逍遥园火化，并讲述火化后舌头未毁的故事。前者是丧葬叙述，后者是用来证明译经可信的宗教神异叙事；“舌不坏”不能作为现代意义上已经验证的历史事实，更不能据此认定每一部题名罗什译的作品都一定出自他手。</w:t>
      </w:r>
      <w:hyperlink r:id="rId10">
        <w:r>
          <w:rPr>
            <w:color w:val="24485B"/>
            <w:rFonts w:eastAsia="Noto Serif CJK SC"/>
          </w:rPr>
          <w:t>《高僧传》卷二</w:t>
        </w:r>
      </w:hyperlink>
      <w:r>
        <w:t>；</w:t>
      </w:r>
      <w:hyperlink r:id="rId14">
        <w:r>
          <w:rPr>
            <w:color w:val="24485B"/>
            <w:rFonts w:eastAsia="Noto Serif CJK SC"/>
          </w:rPr>
          <w:t>《鸠摩罗什法师诔》</w:t>
        </w:r>
      </w:hyperlink>
      <w:r/>
    </w:p>
    <w:p>
      <w:r>
        <w:t>如果把传奇放在一旁，罗什一生的主线仍然非常清楚：他在多语言的丝路世界受教育，由部派论学进入大乘思想，成长为西域讲学者；战争和政权争夺使他长期失去迁徙自由；最终在长安，他与一大批学者把多年积累转化为持续流传的汉文经典。他最重要的历史成就，不是某一个神迹，而是参与建立了一套此后东亚佛教反复阅读、解释与实践的文本基础。</w:t>
      </w:r>
    </w:p>
    <w:p>
      <w:pPr>
        <w:pStyle w:val="Heading1"/>
      </w:pPr>
      <w:r>
        <w:t>三 学习过程的历史结构</w:t>
      </w:r>
    </w:p>
    <w:p>
      <w:pPr>
        <w:pStyle w:val="Heading2"/>
      </w:pPr>
      <w:r>
        <w:t>1 多语世界与地域身份</w:t>
      </w:r>
    </w:p>
    <w:p>
      <w:r>
        <w:t>龟兹位于今天新疆库车一带，但四世纪的王国、语言与人口认同不能直接用现代国籍概念替代。父亲来自天竺、母亲属于龟兹王室，是僧传给出的家庭框架；“龟兹人”“天竺人”在不同史籍中可能强调出生地、父系来源或文化身份，并非彼此必然排斥。把罗什称作某一现代民族的代表，超过这些材料的精度。[P1、P2、P3]</w:t>
      </w:r>
    </w:p>
    <w:p>
      <w:r>
        <w:t>龟兹及其周边有梵语佛典、当地语言、商旅和多地区僧人的交流。吐火罗语文献有助于认识这一环境，但大量现存写本年代晚于罗什，不能据之复原他个人说过的每一种语言，更不能把某座壁画中的僧人直接认作他。Walter的研究可作为龟兹佛教语言与文献背景的入口；其中个别罗什传记年代、地点并不可靠，本文不采用其个人生平数字。[E-W，选读pp.1–9、相关文献讨论]</w:t>
      </w:r>
    </w:p>
    <w:p>
      <w:r>
        <w:t>一个比宏大“丝路融合”说法更具体的材料，是《出三藏记集》卷十一《比丘尼戒本所出本末序》。它记龟兹王新僧伽蓝有“年少沙門字烏摩羅”，称其“大乘學”，而老师舌弥为“阿含學者”；又列出比丘尼寺及其与男僧的戒法关系。将“乌摩罗”认作罗什是有意义的识别，却仍应保留音写辨认的余地。至少，这份材料直接说明，当地大乘学习、阿含传统、王室寺院与女性出家生活能够同处一个制度网络，而非互不来往的两个世界。[P2，卷十一该序，T55，79c—80a]</w:t>
      </w:r>
    </w:p>
    <w:p>
      <w:pPr>
        <w:pStyle w:val="Heading2"/>
      </w:pPr>
      <w:r>
        <w:t>2 从部派教育到大乘 不等于离开一切旧传统</w:t>
      </w:r>
    </w:p>
    <w:p>
      <w:r>
        <w:t>按早期传记，罗什先学阿毗昙、阿含经和辩论，后与须利耶苏摩讨论空义，再研读般若与中观经典。将此过程写成一次突然的“宗派改宗”容易误导：大乘首先涉及经典、理想和解释取向，并不自动提供另一套独立具足戒制度。罗什仍从卑摩罗叉学《十诵律》，后来在长安召集、求助于不同专长的西域僧人，正显示知识网络的延续。[P1、P2]</w:t>
      </w:r>
    </w:p>
    <w:p>
      <w:r>
        <w:t>早期传记把他的转向写成由浅入深、破除旧执的觉悟叙事。其中辩论对白、老师向学生致敬等情节，也在建构大乘知识的正当性。能够保留的历史核心是他掌握多种学问，并日益重视般若与中观；不能进一步证明传记里的每段话都是现场实录。所谓从龙树、提婆一路无间断传到须利耶苏摩、再传罗什的单线师承，也须与现存早期证据分开。[E3，Robinson 1967，p.73]</w:t>
      </w:r>
    </w:p>
    <w:p>
      <w:pPr>
        <w:pStyle w:val="Heading2"/>
      </w:pPr>
      <w:r>
        <w:t>3 学习不是只为哲学 亦包括戒律与实践</w:t>
      </w:r>
    </w:p>
    <w:p>
      <w:r>
        <w:t>《坐禅三昧经》、相关禅经序记及《十诵律》的协作，说明他的知识不止是抽象的“空”。戒律规定僧团共同生活，禅法处理训练方法，般若和中观讨论认识与执著。把罗什只塑造成文学翻译家，会遮蔽其宗教教师身份；把他只塑造成中观哲学家，也会遗漏当时听众对修行与制度的需求。[P2，卷九《关中出禅经序》；卷十四相关传记]</w:t>
      </w:r>
    </w:p>
    <w:p>
      <w:pPr>
        <w:pStyle w:val="Heading1"/>
      </w:pPr>
      <w:r>
        <w:t>四 王权 战争与传记中的强迫</w:t>
      </w:r>
    </w:p>
    <w:p>
      <w:pPr>
        <w:pStyle w:val="Heading2"/>
      </w:pPr>
      <w:r>
        <w:t>1 战争带来迁移 但战争不只为一位僧人</w:t>
      </w:r>
    </w:p>
    <w:p>
      <w:r>
        <w:t>《高僧传》保存苻坚重视罗什、要求吕光送人的叙述；《晋书》则把西征放在军事扩张与西域诸国关系之中。因此“才学使他成为统治者争取的对象”可以成立，“七万大军仅为抢一名和尚”则是将传记焦点误当作战争的全部原因。军队部署、实际出发和龟兹陷落分属不同节点，382、383、384并非只能有一个正确年份。[P1；P3，卷一二二]</w:t>
      </w:r>
    </w:p>
    <w:p>
      <w:r>
        <w:t>河西时期应称长期受政治控制，不应无证据地想成连续十七年牢狱。反过来，占验、劝谏等故事也不证明他拥有自由。传记所述活动空间与不能离开的处境可以同时存在。401年吕隆归附而罗什东行，与后凉403年最终退出历史舞台，应予区分。</w:t>
      </w:r>
    </w:p>
    <w:p>
      <w:pPr>
        <w:pStyle w:val="Heading2"/>
      </w:pPr>
      <w:r>
        <w:t>2 两类强迫记载与第三种叙事</w:t>
      </w:r>
    </w:p>
    <w:p>
      <w:r>
        <w:t>《高僧传》写吕光“乃飲以醇酒，同閉密室”，又写姚兴“乃以妓女十人逼令受之”。就文本意思说，作者明确将其表述为强迫。这里不宜改写为自愿恋爱，也不宜用“生育天才后代”当成已经得到双方证实的政治计划。我们只有男性编者的叙述，没有相关女性的自述、姓名及生活记录。[P1，卷二《鸠摩罗什传》]</w:t>
      </w:r>
    </w:p>
    <w:p>
      <w:r>
        <w:t>较晚的《晋书》卷九十五《艺术传》在沿用强迫故事之外，又加上罗什讲经时自称有二小儿登肩、需要妇人，随后生二子以及吞针阻止诸僧效仿的故事。原文“欲鄣須婦人”与“聚針盈缽”明确处在神异叙事中。这与僧传把他置于戒律困境的叙述不是同一解释框架。不能从中摘出“双胞胎”当作独立生育档案，却把相邻的神异背景悄悄删去。[P3，卷九十五《鸠摩罗什》段]</w:t>
      </w:r>
    </w:p>
    <w:p>
      <w:r>
        <w:t>本报告的判断是：罗什的僧人身份与政治支配之间确有值得严肃研究的冲突；每项性关系及后代细节的证实程度则较低。既不能仅因记载涉及性就判定为污蔑，也不能仅因载于正史就视作无可怀疑的事实。Lu Yang强调不同传记塑造权威、缺陷与超凡能力的方式，其提醒有用；但关于作者心理、某篇悼文必为伪作的进一步判断，仍属学者解释而非定论。[E-L，2004，pp.23–30、42–43]</w:t>
      </w:r>
    </w:p>
    <w:p>
      <w:pPr>
        <w:pStyle w:val="Heading2"/>
      </w:pPr>
      <w:r>
        <w:t>3 佛陀跋陀罗事件不宜写成个人嫉妒剧</w:t>
      </w:r>
    </w:p>
    <w:p>
      <w:r>
        <w:t>《高僧传》记佛陀跋陀罗到长安，与罗什往来、讨论，后来因僧团对其言行及弟子问题的判断而被要求离开。材料点名有关僧人，未直接说罗什下令驱逐。于是，“二人所代表的禅学和僧团权威有张力”可以研究；“罗什嫉妒对手而驱逐他”缺少直接依据。慧观后来与佛陀跋陀罗合作，更说明学人会跨越后世想象的固定派别。[P1，卷二《佛陀跋陀罗传》，T50，335a—b；E-L，pp.38–40]</w:t>
      </w:r>
    </w:p>
    <w:p>
      <w:pPr>
        <w:pStyle w:val="Heading1"/>
      </w:pPr>
      <w:r>
        <w:t>五 长安译场如何工作</w:t>
      </w:r>
    </w:p>
    <w:p>
      <w:pPr>
        <w:pStyle w:val="Heading2"/>
      </w:pPr>
      <w:r>
        <w:t>1 可核查的工作链条</w:t>
      </w:r>
    </w:p>
    <w:p>
      <w:r>
        <w:t>僧叡《大品经序》写：“法師手執胡本，口宣秦言。兩釋異音，交辯文旨。秦王躬覽舊經，驗其得失。”意思是罗什持原文口头讲译，围绕异音和意义辨析，姚兴参看旧译；随后众人讨论义旨和文句，再写定。这里可以确认口述、旧译比较、问难和记录的结合，却不宜把每个参加者都称作现代全职译员。[P2，卷八《大品经序》，T55，53a19—b16]</w:t>
      </w:r>
    </w:p>
    <w:p>
      <w:r>
        <w:t>同一序又说：“是以隨出其論，隨而正之。”经文与解释论书互相校正；并说“定之未已，已有寫而傳者”。也就是说，校订未完成，文本已经被抄出流传。今天某处文字不同，不一定是一个确定作者的一次决定，还可能反映先后稿本、讲义进入译文或传写差异。序文能支持这个过程模型，但不能直接证明任何一个现存异文具体产生在哪个环节。</w:t>
      </w:r>
    </w:p>
    <w:p>
      <w:pPr>
        <w:pStyle w:val="Heading2"/>
      </w:pPr>
      <w:r>
        <w:t>2 核心贡献与协作者</w:t>
      </w:r>
    </w:p>
    <w:p>
      <w:r>
        <w:t>罗什的关键位置在于理解、记忆和解释印度佛教文献，比较异义，并为汉地受众建立教学情境；僧叡等人的贡献包括笔受、问难、组织文字和撰写序记。僧肇在经典注释及理论表达中具有自己的思想能动性。道生等人后来的观点也不能全部算作老师的原意。</w:t>
      </w:r>
    </w:p>
    <w:p>
      <w:r>
        <w:t>《十诵律》尤其能显示“一人译经”的概括有多粗。弗若多罗承担诵出律本，罗什译传；前者去世后，昙摩流支参与续成；卑摩罗叉后来再作整理，卷数亦随之变化。完整历史对象是跨人员、跨时段形成的文本，而不是某日罗什一人完成的一部书。[P1，卷二弗若多罗、昙摩流支、卑摩罗叉诸传]</w:t>
      </w:r>
    </w:p>
    <w:p>
      <w:r>
        <w:t>佛陀耶舍是罗什重要的学术同道，但他与竺佛念等译《四分律》《长阿含经》，不能因同在后秦获得支持便全部算到罗什名下。慧远身在庐山，通过书信、请求译律及讨论教义参与跨地区交流，也不是天天坐在长安译场的助手。把人物角色和具体项目分开，才能重建真正的协作网络。[P1、P2相关传记；P6]</w:t>
      </w:r>
    </w:p>
    <w:p>
      <w:pPr>
        <w:pStyle w:val="Heading2"/>
      </w:pPr>
      <w:r>
        <w:t>3 个人与集体作者</w:t>
      </w:r>
    </w:p>
    <w:p>
      <w:r>
        <w:t>Felbur 的价值在于改变问题：不仅问“他译了哪些经”，还问某些文本为什么后来全都被命名为“鸠摩罗什译”。他把口授、解释、笔受、修辞加工及经序的经典化功能连在一起，提醒读者“作者”可能分布于多人、多次修订之间。其简短表述是 “a diffused but nonetheless effective kind of authorship”，意为“分散而有效的作者作用”（2019/2020，p.9）。但这属于解释模型，不是各译本均有同样分工的证明。把全部中文品质一概归于汉人，也超出了现存证据能排他的范围。其若干历史细节还有硬伤，必须与原典交叉核对，不能让新理论替代史实校勘。[E1]</w:t>
      </w:r>
    </w:p>
    <w:p>
      <w:r>
        <w:t>Zürcher 的讨论提供较宽的历史坐标：外国僧人、中国文士与既有汉译传统之间存在不对称合作；传记史料又偏重受宫廷支持的精英译师。因而“罗什改变中国佛教”最好解释为他所主持的组合改变了可供使用的经典、语言与论辩资源，而非佛教此前全然不通、此后突然准确。他对罗什写作仍保留“本人写或让别人记录”的双重可能，不应被援为绝对否定汉语能力的证据（2012 重刊，pp.19–22）。[E4]</w:t>
      </w:r>
    </w:p>
    <w:p>
      <w:pPr>
        <w:pStyle w:val="Heading2"/>
      </w:pPr>
      <w:r>
        <w:t>4 汉语能力没有单一结论</w:t>
      </w:r>
    </w:p>
    <w:p>
      <w:r>
        <w:t>现有研究并没有“罗什不能写中文”的一致结论。Funayama 原文称他“fluent in written as well as spoken Chinese”，即“书面与口头汉语均熟练”（2006，p.47）；Felbur 则把雅致定稿更强地归于中国合作者。两者对同类材料作了不同推断。能够讲说、能够参与术语选择、能够亲写文言、能否独力写出今存文本，是四个不同问题。</w:t>
      </w:r>
    </w:p>
    <w:p>
      <w:r>
        <w:t>Radich 以《大乘大义章》、标作“什曰”的《注维摩诘经》及僧肇文字作语言比较，尝试分离个人与译场的声音。结果能够辨出若干作者间差异，却未能从罗什相关作品中提取一个可与整个译经群区分的个人指纹。短语 “a clear stylistic signature” 可译为“清晰的文体指纹”（2019，p.142）。这项阴性结果首先可能仅反映方法和工具的局限；即使具有历史意义，也仍容许几种解释：个人文字经过团队加工；团队受主译强烈塑造；或共同的经典文体掩盖了个人差异。作者并未据此证明罗什没有写作能力。最稳妥的结论是归属边界尚不清楚，而不是能力已被否证。[E2、E8]</w:t>
      </w:r>
    </w:p>
    <w:p>
      <w:pPr>
        <w:pStyle w:val="Heading2"/>
      </w:pPr>
      <w:r>
        <w:t>5 译经也是宗教活动</w:t>
      </w:r>
    </w:p>
    <w:p>
      <w:r>
        <w:t>Hureau 的法文研究把序、记与供养题记比较，提出翻译也是 “l’offrande de la Loi”，即“法施”（2010，§38）。她尤其重视开译、校订、抄写日期与斋日的联系。这样，听众不只是旁观者，施主不只是出钱者；翻译和讲经可以共同构成宗教实践。须保留她的谨慎：与中亚供养题记的关联、某些斋日安排的扩大，属于提出的解释，不是均已有直接证明；所谓仪式也不是说整部经典在一天内译完（§§19–20、27–39）。[E6]</w:t>
      </w:r>
    </w:p>
    <w:p>
      <w:r>
        <w:t>Funayama 给出文本层面的配合证据：《坐禅三昧经》《禅法要解》不宜一律设想为对某一现成梵本的逐句翻译，而应考虑讲授、选编及中国听众的参与；相关个人归属仍有不同意见（pp.47–48）。这不是将其简单贬为“伪经”，而是说明“翻译／汉地创作”二分容纳不了所有文本。[E8]</w:t>
      </w:r>
    </w:p>
    <w:p>
      <w:pPr>
        <w:pStyle w:val="Heading2"/>
      </w:pPr>
      <w:r>
        <w:t>6 底本与翻译的区别</w:t>
      </w:r>
    </w:p>
    <w:p>
      <w:r>
        <w:t>“在龟兹成长”“会某种中亚语言”“所译每一部经的底本语言”不能互相替代。僧传中的“胡”“梵”也必须结合篇章语境解释，不能凭标签就把所有材料认定为同一种标准梵语，更不能由籍贯认定其底本皆为吐火罗语。这是本稿的方法限定，不是已经逐经复原出的语种结论。</w:t>
      </w:r>
    </w:p>
    <w:p>
      <w:r>
        <w:t>判断罗什是否删节，还应先排除印度文本自身版本不同的可能。Robinson 在讨论翻译原则时已意识到版本差异（pp.77–79）；Harrison 利用新发现梵文材料检验《金刚经》《维摩诘经》，构成必须参考的专门路径。但本次未充分取得其论文全文，不把其全部细节转述为确定结论。[E3、E9]</w:t>
      </w:r>
    </w:p>
    <w:p>
      <w:r>
        <w:t>特别提醒：Nattier 1992，pp.186、188 的论题是《心经》归属，不能用来证明“罗什所有短译都保存较早原本”。她在该文 pp.168–169 反而仍讨论罗什缩约倾向。把两个问题合为一个，会制造错误引证。[E7]</w:t>
      </w:r>
    </w:p>
    <w:p>
      <w:pPr>
        <w:pStyle w:val="Heading2"/>
      </w:pPr>
      <w:r>
        <w:t>7 草稿 定本与译年</w:t>
      </w:r>
    </w:p>
    <w:p>
      <w:r>
        <w:t>木村宣彰1986年的长文把“罗什译”从个人天才作品改放回姚秦的集体工作环境。已选读的分类与结论部分显示：重新翻译旧有大乘经典，回应中土僧团和姚兴的需要；引进《中论》《百论》等论书，体现新的义学方向；禅法汇编及律典，则涉及来源汇集与多人协作。其意义在于把讲解、问难、笔录、比较旧译与定稿视为连续环节，而不是罗什一次口授就产生今日文本。[J3]</w:t>
      </w:r>
    </w:p>
    <w:p>
      <w:r>
        <w:t>木村尤其强调“草稿訳と治定訳”（页124，中译：草稿译与定本译）。例如，他解释《成实论》的406、412两种年代，是早期翻译与后来整理的不同层次，并提出《法华经》也经历草稿和修订。这里应写成木村的文本史解释，不能把所有经录冲突一律如此消解。但它提醒传记作者：一部书的“译出年”、修订年、编次年以及流通本形成年，可能不是同一年；由译年反推译者卒年尤其需要谨慎。[J3]</w:t>
      </w:r>
    </w:p>
    <w:p>
      <w:pPr>
        <w:pStyle w:val="Heading2"/>
      </w:pPr>
      <w:r>
        <w:t>8 注释署名与作品思想须分别考证</w:t>
      </w:r>
    </w:p>
    <w:p>
      <w:r>
        <w:t>池丽梅2005年比较敦煌僧肇单注本与后世合注本《注维摩诘经》，找出注释归属和内容的移动。以经文“是即具足”为例，单注本属于僧肇的解释，在合注本中变成罗什说；另有《涅槃经》引文在不同系统中出现或缺失。她并非宣称全部罗什注都不可信，而是证明现存“什曰／肇曰”标签经过编辑、传抄，不能不校版本就据此重建某一次讲经现场或个人思想。这也使传记中的“罗什说过”应分为原典署名、早期见证与现代归属判断三层。[J4]</w:t>
      </w:r>
    </w:p>
    <w:p>
      <w:r>
        <w:t>都河阳介2019年比较罗什所译《十住毘婆沙论》《大智度论》的般舟三昧，指出它们分别强调菩萨修行行动及佛力加持，所处修道阶位也不同。这项研究可用于限制一种常见概括：不能把“罗什译出的所有论书”直接合成为他的单一思想体系，必须保留每部作品的论题、传统与叙述语境。[J5]</w:t>
      </w:r>
    </w:p>
    <w:p>
      <w:pPr>
        <w:pStyle w:val="Heading2"/>
      </w:pPr>
      <w:r>
        <w:t>9 可重做的原文对勘 从离贪到离相</w:t>
      </w:r>
    </w:p>
    <w:p>
      <w:r>
        <w:t>维摩诘纠正目犍连为居士说法时，连续说明应如何理解“法”。以下选取同一位置，而非任意拼合几个相似词。古汉语保留原字，标点为阅读方便所加；梵文依范慕尤2016引用，未冒称本次独立校读梵本全书。[C1，pp.101–103；P5]</w:t>
      </w:r>
    </w:p>
    <w:tbl>
      <w:tblPr>
        <w:tblW w:type="auto" w:w="0"/>
        <w:jc w:val="center"/>
        <w:tblLayout w:type="fixed"/>
        <w:tblLook w:firstColumn="1" w:firstRow="1" w:lastColumn="0" w:lastRow="0" w:noHBand="0" w:noVBand="1" w:val="04A0"/>
      </w:tblPr>
      <w:tblGrid>
        <w:gridCol w:w="1656"/>
        <w:gridCol w:w="4392"/>
        <w:gridCol w:w="3888"/>
      </w:tblGrid>
      <w:tr>
        <w:trPr>
          <w:cantSplit/>
          <w:tblHeader/>
        </w:trPr>
        <w:tc>
          <w:tcPr>
            <w:tcW w:type="dxa" w:w="1656"/>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E7EEF2"/>
          </w:tcPr>
          <w:p>
            <w:pPr>
              <w:spacing w:line="288" w:lineRule="auto" w:after="40" w:before="40"/>
            </w:pPr>
            <w:r>
              <w:rPr>
                <w:b/>
                <w:sz w:val="20"/>
              </w:rPr>
              <w:t>文本</w:t>
            </w:r>
          </w:p>
        </w:tc>
        <w:tc>
          <w:tcPr>
            <w:tcW w:type="dxa" w:w="439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E7EEF2"/>
          </w:tcPr>
          <w:p>
            <w:pPr>
              <w:spacing w:line="288" w:lineRule="auto" w:after="40" w:before="40"/>
            </w:pPr>
            <w:r>
              <w:rPr>
                <w:b/>
                <w:sz w:val="20"/>
              </w:rPr>
              <w:t>原文</w:t>
            </w:r>
          </w:p>
        </w:tc>
        <w:tc>
          <w:tcPr>
            <w:tcW w:type="dxa" w:w="3888"/>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E7EEF2"/>
          </w:tcPr>
          <w:p>
            <w:pPr>
              <w:spacing w:line="288" w:lineRule="auto" w:after="40" w:before="40"/>
            </w:pPr>
            <w:r>
              <w:rPr>
                <w:b/>
                <w:sz w:val="20"/>
              </w:rPr>
              <w:t>定位</w:t>
            </w:r>
          </w:p>
        </w:tc>
      </w:tr>
      <w:tr>
        <w:trPr>
          <w:cantSplit/>
        </w:trPr>
        <w:tc>
          <w:tcPr>
            <w:tcW w:type="dxa" w:w="1656"/>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现存梵文平行本</w:t>
            </w:r>
          </w:p>
        </w:tc>
        <w:tc>
          <w:tcPr>
            <w:tcW w:type="dxa" w:w="439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virāgo ’nārambaṇagatikaḥ</w:t>
            </w:r>
          </w:p>
        </w:tc>
        <w:tc>
          <w:tcPr>
            <w:tcW w:type="dxa" w:w="3888"/>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《维摩经》§3-6，依范文p.101</w:t>
            </w:r>
          </w:p>
        </w:tc>
      </w:tr>
      <w:tr>
        <w:trPr>
          <w:cantSplit/>
        </w:trPr>
        <w:tc>
          <w:tcPr>
            <w:tcW w:type="dxa" w:w="1656"/>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支谦译</w:t>
            </w:r>
          </w:p>
        </w:tc>
        <w:tc>
          <w:tcPr>
            <w:tcW w:type="dxa" w:w="439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不以婬，為無罣礙。</w:t>
            </w:r>
          </w:p>
        </w:tc>
        <w:tc>
          <w:tcPr>
            <w:tcW w:type="dxa" w:w="3888"/>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T14，521c19，T474卷上</w:t>
            </w:r>
          </w:p>
        </w:tc>
      </w:tr>
      <w:tr>
        <w:trPr>
          <w:cantSplit/>
        </w:trPr>
        <w:tc>
          <w:tcPr>
            <w:tcW w:type="dxa" w:w="1656"/>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罗什译</w:t>
            </w:r>
          </w:p>
        </w:tc>
        <w:tc>
          <w:tcPr>
            <w:tcW w:type="dxa" w:w="439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法離於相，無所緣故。</w:t>
            </w:r>
          </w:p>
        </w:tc>
        <w:tc>
          <w:tcPr>
            <w:tcW w:type="dxa" w:w="3888"/>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T14，540a7，T475卷上</w:t>
            </w:r>
          </w:p>
        </w:tc>
      </w:tr>
      <w:tr>
        <w:trPr>
          <w:cantSplit/>
        </w:trPr>
        <w:tc>
          <w:tcPr>
            <w:tcW w:type="dxa" w:w="1656"/>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玄奘译</w:t>
            </w:r>
          </w:p>
        </w:tc>
        <w:tc>
          <w:tcPr>
            <w:tcW w:type="dxa" w:w="4392"/>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法離貪著，無所緣故。</w:t>
            </w:r>
          </w:p>
        </w:tc>
        <w:tc>
          <w:tcPr>
            <w:tcW w:type="dxa" w:w="3888"/>
            <w:vAlign w:val="center"/>
            <w:tcMar>
              <w:top w:w="110" w:type="dxa"/>
              <w:bottom w:w="110" w:type="dxa"/>
              <w:left w:w="110" w:type="dxa"/>
              <w:right w:w="110" w:type="dxa"/>
            </w:tcMar>
            <w:tcBorders>
              <w:top w:val="single" w:sz="4" w:color="D9D9D9"/>
              <w:bottom w:val="single" w:sz="4" w:color="D9D9D9"/>
              <w:left w:val="single" w:sz="4" w:color="D9D9D9"/>
              <w:right w:val="single" w:sz="4" w:color="D9D9D9"/>
            </w:tcBorders>
            <w:shd w:fill="FFFFFF"/>
          </w:tcPr>
          <w:p>
            <w:pPr>
              <w:spacing w:line="288" w:lineRule="auto" w:after="40" w:before="40"/>
            </w:pPr>
            <w:r>
              <w:rPr>
                <w:b w:val="0"/>
                <w:sz w:val="20"/>
              </w:rPr>
              <w:t>T14，561c4–5，T476卷二</w:t>
            </w:r>
          </w:p>
        </w:tc>
      </w:tr>
    </w:tbl>
    <w:p>
      <w:pPr>
        <w:spacing w:after="0"/>
      </w:pPr>
    </w:p>
    <w:p>
      <w:r>
        <w:t>梵文大意是“离贪，不以所缘为趋向”，virāga指离贪欲。支谦的“婬”、玄奘的“贪著”与这一语义接近；罗什的“相”则把注意力转向被执取的相。概念重心确有不同，不只是语句长短或文风差别。范慕尤结合注释，将其解释为“中道實相”的思想倾向。[C1，pp.101–103]</w:t>
      </w:r>
    </w:p>
    <w:p>
      <w:r>
        <w:t>证据的界线也同样重要：译文差异可直接核查，有意改写则是学者解释。现存梵写本不是已证明的罗什底本，异本、口头传承、译场问答均不能排除。因此，本报告的判断是：汉语读者在罗什本读到的重点，与现存梵本及另外两译不同；尚不能由此证明主译当时具体如何决定。</w:t>
      </w:r>
    </w:p>
    <w:p>
      <w:r>
        <w:t>另一例能防止过快的“中国化”推论。廖桂兰用“邁向讀者”讨论罗什译法，并以“示以忠孝”分析归化。但支谦本《善权品》已有“以孝寬仁率化薄俗”。汉地伦理措辞至少有前史，不能说它必由罗什个人首次加入。廖氏提供的是现代翻译理论解释，并非罗什自述。[C5，pp.99–100；C11支谦卷上]</w:t>
      </w:r>
    </w:p>
    <w:p>
      <w:r>
        <w:t>对勘的原文入口：</w:t>
      </w:r>
      <w:hyperlink r:id="rId15">
        <w:r>
          <w:rPr>
            <w:color w:val="24485B"/>
            <w:rFonts w:eastAsia="Noto Serif CJK SC"/>
          </w:rPr>
          <w:t>支谦卷上</w:t>
        </w:r>
      </w:hyperlink>
      <w:r>
        <w:t>、</w:t>
      </w:r>
      <w:hyperlink r:id="rId16">
        <w:r>
          <w:rPr>
            <w:color w:val="24485B"/>
            <w:rFonts w:eastAsia="Noto Serif CJK SC"/>
          </w:rPr>
          <w:t>罗什卷上</w:t>
        </w:r>
      </w:hyperlink>
      <w:r>
        <w:t>、</w:t>
      </w:r>
      <w:hyperlink r:id="rId17">
        <w:r>
          <w:rPr>
            <w:color w:val="24485B"/>
            <w:rFonts w:eastAsia="Noto Serif CJK SC"/>
          </w:rPr>
          <w:t>玄奘卷二</w:t>
        </w:r>
      </w:hyperlink>
      <w:r>
        <w:t>。这些页面允许复查句子；正式文本校勘仍须回到大正藏影印、校记及各语言版本。</w:t>
      </w:r>
    </w:p>
    <w:p>
      <w:pPr>
        <w:pStyle w:val="Heading1"/>
      </w:pPr>
      <w:r>
        <w:t>六 生卒年代的证据与分歧</w:t>
      </w:r>
    </w:p>
    <w:p>
      <w:r>
        <w:t>《高僧传》卷二正文给出弘始十一年八月二十日，即409年，并在传末保留其他书的异说；《法师诔》则写“癸丑之年，年七十，四月十三日薨乎大寺”，通常对应413年。后者若按虚岁倒推，形成344年出生说。因此，两套出生与死亡数字不是四份彼此独立的证据，往往是同一组材料的不同组合。[P1、P4]</w:t>
      </w:r>
    </w:p>
    <w:p>
      <w:r>
        <w:t>日本研究的重要贡献不是提供另一个标准答案，而是揭示各个年代的证据来源。塚本善隆1955年依据吕光入龟兹的384年和传记所载“三十五岁”倒推350年出生，并倾向409年卒；但他也认为预言破戒的故事具有护教性质，最后明说“卒年は確でない”，即“卒年并不确定”（页608）。因此，350年并非有出生记录支持的硬事实，344年同样不能仅凭通行工具书写成定论。[J1]</w:t>
      </w:r>
    </w:p>
    <w:p>
      <w:r>
        <w:t>斉藤達也2000年重新区分“直接说死亡年份的史料”和“可限制死亡时间的相关事件”，提出“约411年”这一第三种解释，而不是只在409、413之间选边。他质疑署名僧肇的《鸠摩罗什法师诔》为后作；又结合《答刘遗民书》、佛驮跋陀罗与慧观南下的行程、昙邕往返使命超过十年的记载，推论罗什410年八月尚在，而最迟于412年初以前已亡。其开篇的关键原文是“四一一年頃”（页125，中译：约411年）。这是一项相对年代重建，作者也承认没有古代文献直接记载411年卒，不能改写为学界已确认。稳妥传记应并列409、413与约411三说，说明争点在文献真伪、编纂层次和行程的衔接。[J2]</w:t>
      </w:r>
    </w:p>
    <w:p>
      <w:r>
        <w:t>本报告不裁定唯一卒年。一般介绍可写“约四世纪中叶生，五世纪初卒”，需要具体时则并列主要说法。晚期经录的译出日期，也可能指重订或流通阶段，不能不分析文本形成过程就作为作者当年尚生的决定性证据。</w:t>
      </w:r>
    </w:p>
    <w:p>
      <w:pPr>
        <w:pStyle w:val="Heading1"/>
      </w:pPr>
      <w:r>
        <w:t>七 译作范围 归属与思想影响</w:t>
      </w:r>
    </w:p>
    <w:p>
      <w:pPr>
        <w:pStyle w:val="Heading2"/>
      </w:pPr>
      <w:r>
        <w:t>1 为什么译经总数会不同</w:t>
      </w:r>
    </w:p>
    <w:p>
      <w:r>
        <w:t>僧祐目录记“三十五部，凡二百九十四卷”；后出的《开元释教录》归属总数为74部384卷；吕澂校订后的现存数列为39部313卷。著录时代、存佚、重出与分卷不同，三者不是对同一清单的简单计算错误。“部”与“卷”也不是现代书籍册数。可以准确说某目录列多少，不能无条件说其中任何一个数就是罗什亲自完成的确数。[P2，卷二；C6，第五讲]</w:t>
      </w:r>
    </w:p>
    <w:p>
      <w:pPr>
        <w:pStyle w:val="Heading2"/>
      </w:pPr>
      <w:r>
        <w:t>2 大智度论 作者与汉译形成是两个问题</w:t>
      </w:r>
    </w:p>
    <w:p>
      <w:r>
        <w:t>现存《大智度论》题龙树造、罗什译。争议至少包括印度原作的作者、汉译节略的程度、译场解释是否进入正文以及经论合编方式。把问题压缩成“龙树原著”或“罗什伪作”二选一，会遮蔽不同证据所能回答的不同问题。</w:t>
      </w:r>
    </w:p>
    <w:p>
      <w:r>
        <w:t>印顺维护龙树著作说，认为“秦言”等解释可属名相夹注，并以经论合编与分卷说明篇幅记录。其原话“在古代，譯經是集體事業”强调笔受者不能忽略。但本报告同时保留限制：集体作业不排除主译增释，卷数换算也不等于失传梵本的实物证据。[C3，1991，pp.15–22；不是误标为1992初刊]</w:t>
      </w:r>
    </w:p>
    <w:p>
      <w:r>
        <w:t>周伯戡比较《大品》《放光》《光赞》与《智论》释文，发现某些论述可以说明新旧汉译术语的分歧，据此提出现本保留翻译现场说明与讨论的可能。他以“略譯決不是隨便進行”概括整理的复杂性。这是一项有文本对勘支持的形成史假说，不是整部在中国创作已经被证明。[C2，2000，pp.158–164]</w:t>
      </w:r>
    </w:p>
    <w:p>
      <w:r>
        <w:t>原始序记确实说有节略：《大智论记》说明前34卷解释初品较完整，之后省去广释；《大智释论序》还用“三分除二”等说法。可以确认汉本不是未经处理的逐字全译；至于这些数字怎样计算，不能据此精确复原失传梵本字数。[P2，卷十相关序记，T55，75a—b]</w:t>
      </w:r>
    </w:p>
    <w:p>
      <w:r>
        <w:t>2026年10月2日的Fan、Dou论文重新考察《大品》《智论》的翻译次序及异文。本次只取得摘要与第2节可读材料，未完整阅读，故仅列为这一问题仍在推进的后续线索，不拿其余结论支持本报告。[C8，§2]</w:t>
      </w:r>
    </w:p>
    <w:p>
      <w:pPr>
        <w:pStyle w:val="Heading2"/>
      </w:pPr>
      <w:r>
        <w:t>3 梵网经 归属可疑不等于起源已解决</w:t>
      </w:r>
    </w:p>
    <w:p>
      <w:r>
        <w:t>题罗什译的《梵网经》不能无保留列入可靠译著。屈大成分析序文、经录和敦煌材料，指出后期增饰以及目录承袭问题；其结论“只能置疑，未可定奪”专指所考察古文献能够支持的限度。不能证明罗什译，不会自动证明整部由中国人创作；二者也不直接决定其宗教价值。[C4，2007，公开PDF p.11，原刊pp.177–198]</w:t>
      </w:r>
    </w:p>
    <w:p>
      <w:pPr>
        <w:pStyle w:val="Heading2"/>
      </w:pPr>
      <w:r>
        <w:t>4 心经 必须先辨文本再谈译者</w:t>
      </w:r>
    </w:p>
    <w:p>
      <w:r>
        <w:t>今天常见的T251题玄奘译，题罗什译的则是T250《摩诃般若波罗蜜大明咒经》。Nattier比较早期目录、平行段落与术语，质疑T250是罗什的独立译本。她的短句“probably not the work of Kumārajīva”（p.189）可译作“很可能不是罗什之作”，用词仍保留概率判断。[E7，1992，pp.184–189]</w:t>
      </w:r>
    </w:p>
    <w:p>
      <w:r>
        <w:t>与罗什译语相似，不一定证明译者相同，也可能来自后人摘录或沿用。罗什《大品》《智论》可能参与《心经》的文字形成，与他亲自翻译独立《心经》并非一回事。更大的“《心经》是否形成于中国”问题仍须另论，不能用T250归属可疑直接完成证明。</w:t>
      </w:r>
    </w:p>
    <w:p>
      <w:pPr>
        <w:pStyle w:val="Heading1"/>
      </w:pPr>
      <w:r>
        <w:t>八 从中国到日本的接受史</w:t>
      </w:r>
    </w:p>
    <w:p>
      <w:pPr>
        <w:pStyle w:val="Heading2"/>
      </w:pPr>
      <w:r>
        <w:t>中国的经论 弟子与后世宗派</w:t>
      </w:r>
    </w:p>
    <w:p>
      <w:r>
        <w:t>罗什影响中国佛教，最直接的途径是提供反复被阅读、讲解和注释的经论。般若经典与《大智度论》扩展了教义讨论的资源；《中论》《百论》《十二门论》后来成为三论学的基本文献；《成实论》亦有自己的广泛接受，并不等于中观的附属品。吕澂以“关河所传大乘龙树学”组织这一阶段，能显示文本与学人之间的关联，但这仍是一种现代思想史框架。[C6，第五讲；P2诸序记]</w:t>
      </w:r>
    </w:p>
    <w:p>
      <w:r>
        <w:t>僧肇将新学问与汉地论辩相结合，道生等人又沿自身经历发展问题。慧远的问答显示接收者会主动提出疑难，不是被动照收新名词。《大乘大义章》的议题由提问者参与选择，因此不能把它当作罗什完整且独立规划的哲学体系。[P6；E3，pp.83–89相关思想比较]</w:t>
      </w:r>
    </w:p>
    <w:p>
      <w:r>
        <w:t>《法华》《维摩》《阿弥陀经》和般若文本后来进入天台、净土、禅等不同传统的解释与实践。这里的“进入”是长期接受史，不意味着罗什亲自创立了这些后世宗派，更不意味着他是大乘佛教第一次进入汉地的起点。三世纪以来的汉译和解释已经存在，长安译业是在这个基础上重译、补充和改变讨论方向。[P2早期译经目录与新译序；E4，pp.19–22]</w:t>
      </w:r>
    </w:p>
    <w:p>
      <w:r>
        <w:t>传承不只是保存，也会改写。敦煌注本与后世合注本的差别，说明某些“什曰”标签经历移动；现存经典的后增段落，亦可能影响今天对译师的印象。因此，接受史应区分罗什主持的原始项目、门人及后人编辑、宗派解释、诵读和公共记忆。</w:t>
      </w:r>
    </w:p>
    <w:p>
      <w:pPr>
        <w:pStyle w:val="Heading2"/>
      </w:pPr>
      <w:r>
        <w:t>日本的诵读 说法与巡礼</w:t>
      </w:r>
    </w:p>
    <w:p>
      <w:r>
        <w:t>𠮷泽秀知2020年以《观音经》说明罗什汉译如何进入日本的跨宗派诵读、观音灵验叙事、寺院说法和灵场巡礼。他着重分析汉译“闻、持、称”的结构，说明它如何把听闻观音名号、忆持和称名组织为修行路径，而非仅仅将梵文改写得流畅。与此同时，作者在页107明确承认罗什实际采用的底本不明。因此，现存梵本与汉译的差异不能自动证明每一处都是罗什亲自增加，可能涉及底本异文、集体翻译与后来传承。[J6]</w:t>
      </w:r>
    </w:p>
    <w:p>
      <w:r>
        <w:t>还有一个会直接改变普及传记的文本事实：今日《普门品》并非每一段都属于罗什原译。该文页108指出，罗什译本原来只有长行，现行偈颂来自后来《添品法华经》系统的编入。故“日本人今天念诵的每一句观音经都是罗什本人译文”并不准确。更稳妥的表述是：罗什译本构成汉字佛教经典的重要基础，经后世增补、讲疏和仪礼实践而持续重塑。[J6]</w:t>
      </w:r>
    </w:p>
    <w:p>
      <w:pPr>
        <w:pStyle w:val="Heading1"/>
      </w:pPr>
      <w:r>
        <w:t>九 关键争议的证据强弱</w:t>
      </w:r>
    </w:p>
    <w:p>
      <w:r>
        <w:t>1. 出生于龟兹、跨地区学习并在长安主持译经：基本历程中等至较强；精确童年年龄和逐年路线较弱。依据早期传记与具体译经序记的交叉，不能将所有细节一概赋予同等可信度。</w:t>
      </w:r>
    </w:p>
    <w:p>
      <w:r>
        <w:t>2. 生于344或350、卒于409或413：未决。另有约411年重建。出生年常由卒年和享年倒推，不能当成独立第二份证据。</w:t>
      </w:r>
    </w:p>
    <w:p>
      <w:r>
        <w:t>3. 由部派论学转向大乘：传记核心明确，制度上的完全断裂不成立；具体辩论对白较弱。</w:t>
      </w:r>
    </w:p>
    <w:p>
      <w:r>
        <w:t>4. 译场有集体讨论、笔受与修订：较强，《大品经序》有具体过程。所有作品均由完全相同班底完成，或罗什不懂汉语、完全不能表达汉文：证据不足。</w:t>
      </w:r>
    </w:p>
    <w:p>
      <w:r>
        <w:t>5. 吕光、姚兴强迫婚配：早期僧传确实如此表述，外部独立细节佐证有限。恋爱心理、生育计划的实际执行、后代人数等不可随意补足。</w:t>
      </w:r>
    </w:p>
    <w:p>
      <w:r>
        <w:t>6. 罗什下令驱逐佛陀跋陀罗：没有直接明文，不能作为事实。僧团权威竞争是可讨论的解释框架。</w:t>
      </w:r>
    </w:p>
    <w:p>
      <w:r>
        <w:t>7. 35部294卷是其实际全部译作：该数作为僧祐目录的统计较强；作为历史真实总量则不足。后世新增署名须逐书审查。</w:t>
      </w:r>
    </w:p>
    <w:p>
      <w:r>
        <w:t>8. 每处译文较短都是罗什删节：不成立。必须考虑梵本系统和传本差异，且应逐段检验。</w:t>
      </w:r>
    </w:p>
    <w:p>
      <w:r>
        <w:t>9. 《心经》T250、梵网经等题罗什译即可确认：不足。目录年代与文本依赖关系可能动摇传统署名；否定罗什译又不必等于证明整部为中国撰造。</w:t>
      </w:r>
    </w:p>
    <w:p>
      <w:r>
        <w:t>10. 舌不坏可以证明所有译经准确：属于宗教信仰叙事，不是文本校勘证据。神异故事本身可以证明后世如何理解译师权威，而非证明神迹已经发生。</w:t>
      </w:r>
    </w:p>
    <w:p>
      <w:pPr>
        <w:pStyle w:val="Heading1"/>
      </w:pPr>
      <w:r>
        <w:t>十 结论</w:t>
      </w:r>
    </w:p>
    <w:p>
      <w:r>
        <w:t>罗什的生命轨迹由求学、讲学、战争迁徙和政治赞助共同塑造。对他的最好介绍，不是用传奇填满所有空白，也不是把不能证明的细节全删去后只剩几个年份，而是说明什么有据、证据为何如此、哪里仍可争论。</w:t>
      </w:r>
    </w:p>
    <w:p>
      <w:r>
        <w:t>从学习过程看，他不是脱离环境的天才，而是中亚僧院、印度学问、王室资源及不同教师共同培养的学者。从译经过程看，他既不是可被团队抹去的名字，也不是不需任何协作的独立作者。从思想史看，他的重要性在于使大量文本和问题成为汉语佛教可以持续讨论的对象；后世宗派、诵经实践、注疏和文学艺术又不断赋予这些文本新的意义。</w:t>
      </w:r>
    </w:p>
    <w:p>
      <w:r>
        <w:t>最需要避免的三种捷径，是把传记的神圣叙事当作逐日实录，把翻译差异一律解释成个人自由发挥，以及把后世宗派的成功倒推成罗什在五世纪已制定好的计划。保留这些限制，反而能更具体地看见他的成就：在并不自由且充满不确定性的处境中，主持了一场具有长期影响的知识传递与共同写作。</w:t>
      </w:r>
    </w:p>
    <w:p>
      <w:pPr>
        <w:pStyle w:val="Heading1"/>
      </w:pPr>
      <w:r>
        <w:t>附录一 关键年表</w:t>
      </w:r>
    </w:p>
    <w:p>
      <w:pPr>
        <w:pStyle w:val="ListBullet"/>
      </w:pPr>
      <w:r>
        <w:t>约344年或350年：出生于龟兹，生年存在争议。</w:t>
      </w:r>
    </w:p>
    <w:p>
      <w:pPr>
        <w:pStyle w:val="ListBullet"/>
      </w:pPr>
      <w:r>
        <w:t>七岁左右：据早期传记，随母出家，开始系统佛教教育。</w:t>
      </w:r>
    </w:p>
    <w:p>
      <w:pPr>
        <w:pStyle w:val="ListBullet"/>
      </w:pPr>
      <w:r>
        <w:t>九岁左右：赴罽宾，从槃头达多受学。</w:t>
      </w:r>
    </w:p>
    <w:p>
      <w:pPr>
        <w:pStyle w:val="ListBullet"/>
      </w:pPr>
      <w:r>
        <w:t>十二岁以后：返程途中在沙勒等地学习，接触须利耶苏摩，逐渐转向大乘。</w:t>
      </w:r>
    </w:p>
    <w:p>
      <w:pPr>
        <w:pStyle w:val="ListBullet"/>
      </w:pPr>
      <w:r>
        <w:t>二十岁左右：在龟兹受具足戒，从卑摩罗叉学律；此后继续研读与讲学。</w:t>
      </w:r>
    </w:p>
    <w:p>
      <w:pPr>
        <w:pStyle w:val="ListBullet"/>
      </w:pPr>
      <w:r>
        <w:t>382—384年前后：前秦筹划、实施西征；龟兹失守，罗什被吕光控制。</w:t>
      </w:r>
    </w:p>
    <w:p>
      <w:pPr>
        <w:pStyle w:val="ListBullet"/>
      </w:pPr>
      <w:r>
        <w:t>385年前后至401年：随吕光东返，长期滞留凉州及吕氏政权之下。</w:t>
      </w:r>
    </w:p>
    <w:p>
      <w:pPr>
        <w:pStyle w:val="ListBullet"/>
      </w:pPr>
      <w:r>
        <w:t>弘始三年岁末：抵达长安，通常记为401年，部分公历叙述作402年初。</w:t>
      </w:r>
    </w:p>
    <w:p>
      <w:pPr>
        <w:pStyle w:val="ListBullet"/>
      </w:pPr>
      <w:r>
        <w:t>402年以后：在后秦支持下主持译经、讲学、校订，与慧远等交流。</w:t>
      </w:r>
    </w:p>
    <w:p>
      <w:pPr>
        <w:pStyle w:val="ListBullet"/>
      </w:pPr>
      <w:r>
        <w:t>403—404年及以后：翻译并校订《大品般若》，又结合《大智度论》继续修正。</w:t>
      </w:r>
    </w:p>
    <w:p>
      <w:pPr>
        <w:pStyle w:val="ListBullet"/>
      </w:pPr>
      <w:r>
        <w:t>406年前后：译出《妙法莲华经》《维摩诘所说经》等重要经典。</w:t>
      </w:r>
    </w:p>
    <w:p>
      <w:pPr>
        <w:pStyle w:val="ListBullet"/>
      </w:pPr>
      <w:r>
        <w:t>409年、413年或约411年：卒于长安。前两说有传世材料纪年，约411为现代相对年代重建，准确年份未定。</w:t>
      </w:r>
    </w:p>
    <w:p>
      <w:pPr>
        <w:pStyle w:val="Heading1"/>
      </w:pPr>
      <w:r>
        <w:t>附录二 主要文本与核查定位</w:t>
      </w:r>
    </w:p>
    <w:p>
      <w:r>
        <w:t>这里的“罗什译”主要指以他为核心完成的译传成果，不是断言每字皆由他独立写成。卷数也可能随版本分合而变化。</w:t>
      </w:r>
    </w:p>
    <w:p>
      <w:pPr>
        <w:pStyle w:val="ListBullet"/>
      </w:pPr>
      <w:r>
        <w:t>《摩诃般若波罗蜜经》（T223），通常称《大品般若》，以及《小品般若波罗蜜经》（T227）：构成汉地理解般若思想的重要经典基础。</w:t>
      </w:r>
    </w:p>
    <w:p>
      <w:pPr>
        <w:pStyle w:val="ListBullet"/>
      </w:pPr>
      <w:r>
        <w:t>《金刚般若波罗蜜经》（T235）：罗什本成为影响极广的汉译本，长期用于读诵、讲解与修行。</w:t>
      </w:r>
    </w:p>
    <w:p>
      <w:pPr>
        <w:pStyle w:val="ListBullet"/>
      </w:pPr>
      <w:r>
        <w:t>《妙法莲华经》（T262）：其汉译对后来天台传统及东亚法华信仰具有深远影响。</w:t>
      </w:r>
    </w:p>
    <w:p>
      <w:pPr>
        <w:pStyle w:val="ListBullet"/>
      </w:pPr>
      <w:r>
        <w:t>《维摩诘所说经》（T475）：居士维摩诘与诸菩萨的问答，为佛教义学及中国文学艺术提供重要题材。</w:t>
      </w:r>
    </w:p>
    <w:p>
      <w:pPr>
        <w:pStyle w:val="ListBullet"/>
      </w:pPr>
      <w:r>
        <w:t>《佛说阿弥陀经》（T366）：后来成为汉传净土信仰的基本经典之一。</w:t>
      </w:r>
    </w:p>
    <w:p>
      <w:pPr>
        <w:pStyle w:val="ListBullet"/>
      </w:pPr>
      <w:r>
        <w:t>《中论》（T1564）《百论》（T1569）《十二门论》（T1568）：构成后来三论学的重要文本基础。可以称罗什是关键源头，不宜说他在当时已亲自建立后世完整意义的三论宗组织。</w:t>
      </w:r>
    </w:p>
    <w:p>
      <w:pPr>
        <w:pStyle w:val="ListBullet"/>
      </w:pPr>
      <w:r>
        <w:t>《大智度论》（T1509）：现存汉本一百卷，是研究般若及印度佛教的重要资料。其传统作者归属及汉译编订过程均有学术讨论，不宜写成毫无争议的逐字全译。</w:t>
      </w:r>
    </w:p>
    <w:p>
      <w:pPr>
        <w:pStyle w:val="ListBullet"/>
      </w:pPr>
      <w:r>
        <w:t>《成实论》（T1646）：在南北朝义学中产生广泛影响，其思想归属不能简单与三论混为一谈。</w:t>
      </w:r>
    </w:p>
    <w:p>
      <w:pPr>
        <w:pStyle w:val="ListBullet"/>
      </w:pPr>
      <w:r>
        <w:t>《坐禅三昧经》（T614）《禅法要解》（T616）等：表明他的事业也包括修行方法的传播，而不仅是抽象哲学。</w:t>
      </w:r>
    </w:p>
    <w:p>
      <w:pPr>
        <w:pStyle w:val="ListBullet"/>
      </w:pPr>
      <w:r>
        <w:t>《十诵律》（T1435）：由多位僧人参与译传、续译与整理，体现译经事业的协作性质。</w:t>
      </w:r>
    </w:p>
    <w:p>
      <w:r>
        <w:t>以上为代表文本而非逐部真伪已经解决的全集。《首楞严三昧经》（T642）与常称十卷《楞严经》的T945不是同书；T250《大明咒经》与T1484《梵网经》的传统署名须结合第七节讨论。文本定位可通过大正藏编号检索，早期目录、卷数与译出记载以[P2]核查。</w:t>
      </w:r>
    </w:p>
    <w:p>
      <w:pPr>
        <w:pStyle w:val="Heading1"/>
      </w:pPr>
      <w:r>
        <w:t>附录三 分语言注释书目与阅读状态</w:t>
      </w:r>
    </w:p>
    <w:p>
      <w:pPr>
        <w:pStyle w:val="Heading2"/>
      </w:pPr>
      <w:r>
        <w:t>中文研究及其直接文本依据</w:t>
      </w:r>
    </w:p>
    <w:p>
      <w:pPr>
        <w:spacing w:after="180"/>
      </w:pPr>
      <w:r>
        <w:rPr>
          <w:sz w:val="20"/>
        </w:rPr>
        <w:t>[C1] 范慕尤（2016），〈鳩摩羅什在所譯《維摩經》中的思想傾向〉，《佛光學報》新2卷1期，頁97–110。</w:t>
      </w:r>
      <w:hyperlink r:id="rId18">
        <w:r>
          <w:rPr>
            <w:color w:val="24485B"/>
            <w:rFonts w:eastAsia="Noto Serif CJK SC"/>
          </w:rPr>
          <w:t>全文PDF</w:t>
        </w:r>
      </w:hyperlink>
      <w:r>
        <w:rPr>
          <w:sz w:val="20"/>
        </w:rPr>
        <w:t>。全文閱讀；重點頁100–108，本文使用的核心對勘在101–103。短引「中道實相」。梵文轉寫依該文，非獨立底本校勘。</w:t>
      </w:r>
    </w:p>
    <w:p>
      <w:pPr>
        <w:spacing w:after="180"/>
      </w:pPr>
      <w:r>
        <w:rPr>
          <w:sz w:val="20"/>
        </w:rPr>
        <w:t>[C2] 周伯戡（2000），〈《大智度論》略譯初探〉，《中華佛學學報》13，頁155–165。</w:t>
      </w:r>
      <w:hyperlink r:id="rId19">
        <w:r>
          <w:rPr>
            <w:color w:val="24485B"/>
            <w:rFonts w:eastAsia="Noto Serif CJK SC"/>
          </w:rPr>
          <w:t>全文HTML</w:t>
        </w:r>
      </w:hyperlink>
      <w:r>
        <w:rPr>
          <w:sz w:val="20"/>
        </w:rPr>
        <w:t>／</w:t>
      </w:r>
      <w:hyperlink r:id="rId20">
        <w:r>
          <w:rPr>
            <w:color w:val="24485B"/>
            <w:rFonts w:eastAsia="Noto Serif CJK SC"/>
          </w:rPr>
          <w:t>PDF</w:t>
        </w:r>
      </w:hyperlink>
      <w:r>
        <w:rPr>
          <w:sz w:val="20"/>
        </w:rPr>
        <w:t>。全文閱讀；作者爭議回顧155–157，對勘158–164。短引「略譯決不是隨便進行」（164）。</w:t>
      </w:r>
    </w:p>
    <w:p>
      <w:pPr>
        <w:spacing w:after="180"/>
      </w:pPr>
      <w:r>
        <w:rPr>
          <w:sz w:val="20"/>
        </w:rPr>
        <w:t>[C3] 釋印順（1991），〈《大智度論》之作者及其翻譯〉，《東方宗教研究》2（10月），頁9–70；1992另出同名單行本。</w:t>
      </w:r>
      <w:hyperlink r:id="rId21">
        <w:r>
          <w:rPr>
            <w:color w:val="24485B"/>
            <w:rFonts w:eastAsia="Noto Serif CJK SC"/>
          </w:rPr>
          <w:t>全文電子轉錄</w:t>
        </w:r>
      </w:hyperlink>
      <w:r>
        <w:rPr>
          <w:sz w:val="20"/>
        </w:rPr>
        <w:t>。直接核讀提要頁11–14及第一章頁15–27，未通讀第二章；引文在15頁。不可把本次閱讀說成讀完1992單行本。</w:t>
      </w:r>
    </w:p>
    <w:p>
      <w:pPr>
        <w:spacing w:after="180"/>
      </w:pPr>
      <w:r>
        <w:rPr>
          <w:sz w:val="20"/>
        </w:rPr>
        <w:t>[C4] 屈大成（2007），〈從古文獻記載論《梵網經》之真偽〉，《普門學報》38，頁177–198。</w:t>
      </w:r>
      <w:hyperlink r:id="rId22">
        <w:r>
          <w:rPr>
            <w:color w:val="24485B"/>
            <w:rFonts w:eastAsia="Noto Serif CJK SC"/>
          </w:rPr>
          <w:t>全文PDF</w:t>
        </w:r>
      </w:hyperlink>
      <w:r>
        <w:rPr>
          <w:sz w:val="20"/>
        </w:rPr>
        <w:t>。正文全文閱讀、注釋核閱。公開PDF重排為14頁，故本文具體論證引用PDF頁1–3、7–11，不虛構其與紙本177–198頁的逐頁對應；結論短引在PDF11。</w:t>
      </w:r>
    </w:p>
    <w:p>
      <w:pPr>
        <w:spacing w:after="180"/>
      </w:pPr>
      <w:r>
        <w:rPr>
          <w:sz w:val="20"/>
        </w:rPr>
        <w:t>[C5] 廖桂蘭（2012），〈翻譯與創作：邁向佛經翻譯問題的省思〉，《中國文哲研究通訊》22卷1期，頁87–104。</w:t>
      </w:r>
      <w:hyperlink r:id="rId23">
        <w:r>
          <w:rPr>
            <w:color w:val="24485B"/>
            <w:rFonts w:eastAsia="Noto Serif CJK SC"/>
          </w:rPr>
          <w:t>全文PDF</w:t>
        </w:r>
      </w:hyperlink>
      <w:r>
        <w:rPr>
          <w:sz w:val="20"/>
        </w:rPr>
        <w:t>。全文閱讀；底本限制88，忠孝99–100，團隊與文體101–104。短引「邁向讀者」（99）。其理論化陳述宜與早期漢譯反證並讀。</w:t>
      </w:r>
    </w:p>
    <w:p>
      <w:pPr>
        <w:spacing w:after="180"/>
      </w:pPr>
      <w:r>
        <w:rPr>
          <w:sz w:val="20"/>
        </w:rPr>
        <w:t>[C6] 呂澂（1979），《中國佛學源流略講》，北京：中華書局，第五講〈關河所傳大乘龍樹學〉。</w:t>
      </w:r>
      <w:hyperlink r:id="rId24">
        <w:r>
          <w:rPr>
            <w:color w:val="24485B"/>
            <w:rFonts w:eastAsia="Noto Serif CJK SC"/>
          </w:rPr>
          <w:t>電子本第五講</w:t>
        </w:r>
      </w:hyperlink>
      <w:r>
        <w:rPr>
          <w:sz w:val="20"/>
        </w:rPr>
        <w:t>。閱讀本講開頭關於譯經、數量、四論及思想綱要的相關段落，非全書。電子本依另一排印系統收錄，未見1979紙本頁面，故採章節定位，不冒報紙本頁碼。此書一些生卒年及史地判斷不能視為當代定論。</w:t>
      </w:r>
    </w:p>
    <w:p>
      <w:pPr>
        <w:spacing w:after="180"/>
      </w:pPr>
      <w:r>
        <w:rPr>
          <w:sz w:val="20"/>
        </w:rPr>
        <w:t>[C9] 僧祐（6世紀初編），《出三藏記集》卷二，羅什譯經目錄，T55，no.2145。</w:t>
      </w:r>
      <w:hyperlink r:id="rId25">
        <w:r>
          <w:rPr>
            <w:color w:val="24485B"/>
            <w:rFonts w:eastAsia="Noto Serif CJK SC"/>
          </w:rPr>
          <w:t>卷二</w:t>
        </w:r>
      </w:hyperlink>
      <w:r>
        <w:rPr>
          <w:sz w:val="20"/>
        </w:rPr>
        <w:t>。直接閱讀羅什著錄段；原文「右三十五部，凡二百九十四卷」。不能把此早期總數與後代歸屬清單混為一談。</w:t>
      </w:r>
    </w:p>
    <w:p>
      <w:pPr>
        <w:spacing w:after="180"/>
      </w:pPr>
      <w:r>
        <w:rPr>
          <w:sz w:val="20"/>
        </w:rPr>
        <w:t>[C10] 僧叡等（5世紀初），〈大品經序〉、〈大智釋論序〉、〈大智論記〉，存《出三藏記集》卷八、十，T55，頁53a–b、75a–b。</w:t>
      </w:r>
      <w:hyperlink r:id="rId26">
        <w:r>
          <w:rPr>
            <w:color w:val="24485B"/>
            <w:rFonts w:eastAsia="Noto Serif CJK SC"/>
          </w:rPr>
          <w:t>卷八</w:t>
        </w:r>
      </w:hyperlink>
      <w:r>
        <w:rPr>
          <w:sz w:val="20"/>
        </w:rPr>
        <w:t>／</w:t>
      </w:r>
      <w:hyperlink r:id="rId27">
        <w:r>
          <w:rPr>
            <w:color w:val="24485B"/>
            <w:rFonts w:eastAsia="Noto Serif CJK SC"/>
          </w:rPr>
          <w:t>卷十</w:t>
        </w:r>
      </w:hyperlink>
      <w:r>
        <w:rPr>
          <w:sz w:val="20"/>
        </w:rPr>
        <w:t>。〈大品經序〉全文直接閱讀；《智論》序記相關段落經印順、周伯戡引文核讀。各題署應分別處理，不一概稱為同一作者的親筆實錄。</w:t>
      </w:r>
    </w:p>
    <w:p>
      <w:pPr>
        <w:spacing w:after="180"/>
      </w:pPr>
      <w:r>
        <w:rPr>
          <w:sz w:val="20"/>
        </w:rPr>
        <w:t>[C11] 支謙、鳩摩羅什、玄奘譯（3、5、7世紀），《佛說維摩詰經》《維摩詰所說經》《說無垢稱經》，T14，nos.474–476。</w:t>
      </w:r>
      <w:hyperlink r:id="rId15">
        <w:r>
          <w:rPr>
            <w:color w:val="24485B"/>
            <w:rFonts w:eastAsia="Noto Serif CJK SC"/>
          </w:rPr>
          <w:t>支謙卷上</w:t>
        </w:r>
      </w:hyperlink>
      <w:r>
        <w:rPr>
          <w:sz w:val="20"/>
        </w:rPr>
        <w:t>／</w:t>
      </w:r>
      <w:hyperlink r:id="rId16">
        <w:r>
          <w:rPr>
            <w:color w:val="24485B"/>
            <w:rFonts w:eastAsia="Noto Serif CJK SC"/>
          </w:rPr>
          <w:t>羅什卷上</w:t>
        </w:r>
      </w:hyperlink>
      <w:r>
        <w:rPr>
          <w:sz w:val="20"/>
        </w:rPr>
        <w:t>／</w:t>
      </w:r>
      <w:hyperlink r:id="rId17">
        <w:r>
          <w:rPr>
            <w:color w:val="24485B"/>
            <w:rFonts w:eastAsia="Noto Serif CJK SC"/>
          </w:rPr>
          <w:t>玄奘卷二</w:t>
        </w:r>
      </w:hyperlink>
      <w:r>
        <w:rPr>
          <w:sz w:val="20"/>
        </w:rPr>
        <w:t>。直接核讀本文所用段落，非三經全讀。梵本參照：Study Group on Buddhist Sanskrit Literature（2006），Vimalakīrtinirdeśa: A Sanskrit Edition Based upon the Manuscript Newly Found at the Potala Palace，Tokyo：Taisho University Press，§3-6；僅經范文轉引，未獨立取得全書。</w:t>
      </w:r>
    </w:p>
    <w:p>
      <w:pPr>
        <w:spacing w:after="180"/>
      </w:pPr>
      <w:r>
        <w:rPr>
          <w:sz w:val="20"/>
        </w:rPr>
        <w:t>[C12] 蕭世昌（2023），《鳩摩羅什的長安譯場》，佛光文化，328頁；據作者自序，基於2008年香港中文大學翻譯系哲學碩士論文。</w:t>
      </w:r>
      <w:hyperlink r:id="rId28">
        <w:r>
          <w:rPr>
            <w:color w:val="24485B"/>
            <w:rFonts w:eastAsia="Noto Serif CJK SC"/>
          </w:rPr>
          <w:t>出版社書目與自序</w:t>
        </w:r>
      </w:hyperlink>
      <w:r>
        <w:rPr>
          <w:sz w:val="20"/>
        </w:rPr>
        <w:t>。僅書目與出版社提供的自序，未得論文或書籍全文。可作繼續研究譯場組織的閱讀路線，不能把其全書結論算入本次已核讀證據。</w:t>
      </w:r>
    </w:p>
    <w:p>
      <w:pPr>
        <w:pStyle w:val="Heading2"/>
      </w:pPr>
      <w:r>
        <w:t>汉文原始材料</w:t>
      </w:r>
    </w:p>
    <w:p>
      <w:pPr>
        <w:spacing w:after="180"/>
      </w:pPr>
      <w:r>
        <w:rPr>
          <w:sz w:val="20"/>
        </w:rPr>
        <w:t>[P1] 慧皎《高僧传》，梁代，卷二《鸠摩罗什传》及弗若多罗、昙摩流支、卑摩罗叉、佛陀耶舍、佛陀跋陀罗诸传；《大正藏》T2059，第50册。阅读状态：上述传记全文核读；其他卷选读。用途：连续生平、强迫记载、协作关系和卒年异说。局限：六世纪僧传，不是同时代逐日记录。</w:t>
      </w:r>
      <w:hyperlink r:id="rId10">
        <w:r>
          <w:rPr>
            <w:color w:val="24485B"/>
            <w:rFonts w:eastAsia="Noto Serif CJK SC"/>
          </w:rPr>
          <w:t>卷二原文</w:t>
        </w:r>
      </w:hyperlink>
      <w:r>
        <w:rPr>
          <w:sz w:val="20"/>
        </w:rPr>
        <w:t>；</w:t>
      </w:r>
      <w:hyperlink r:id="rId29">
        <w:r>
          <w:rPr>
            <w:color w:val="24485B"/>
            <w:rFonts w:eastAsia="Noto Serif CJK SC"/>
          </w:rPr>
          <w:t>CBETA电子本PDF</w:t>
        </w:r>
      </w:hyperlink>
      <w:r>
        <w:rPr>
          <w:sz w:val="20"/>
        </w:rPr>
        <w:t>。</w:t>
      </w:r>
    </w:p>
    <w:p>
      <w:pPr>
        <w:spacing w:after="180"/>
      </w:pPr>
      <w:r>
        <w:rPr>
          <w:sz w:val="20"/>
        </w:rPr>
        <w:t>[P2] 僧祐《出三藏记集》，梁代，T2145，第55册。阅读状态：卷十四罗什传全文核读；卷二目录及相关译经序、后记选读。本文重点定位：卷二罗什译经目录，11a；卷八《大品经序》，53a19—b16；卷九《关中出禅经序》，65a；卷十《大智释论序》《大智论记》《大智论抄序》，75a—76c；卷十一《中论序》，77a，及《比丘尼戒本所出本末序》，79c—80a；卷十四罗什及相关译师传。用途：实际译经过程和早期归属记录。古籍页码采用大正藏册页栏，不是电子PDF页数。</w:t>
      </w:r>
      <w:hyperlink r:id="rId12">
        <w:r>
          <w:rPr>
            <w:color w:val="24485B"/>
            <w:rFonts w:eastAsia="Noto Serif CJK SC"/>
          </w:rPr>
          <w:t>全文电子本</w:t>
        </w:r>
      </w:hyperlink>
      <w:r>
        <w:rPr>
          <w:sz w:val="20"/>
        </w:rPr>
        <w:t>；</w:t>
      </w:r>
      <w:hyperlink r:id="rId9">
        <w:r>
          <w:rPr>
            <w:color w:val="24485B"/>
            <w:rFonts w:eastAsia="Noto Serif CJK SC"/>
          </w:rPr>
          <w:t>卷十四便读本</w:t>
        </w:r>
      </w:hyperlink>
      <w:r>
        <w:rPr>
          <w:sz w:val="20"/>
        </w:rPr>
        <w:t>。</w:t>
      </w:r>
    </w:p>
    <w:p>
      <w:pPr>
        <w:spacing w:after="180"/>
      </w:pPr>
      <w:r>
        <w:rPr>
          <w:sz w:val="20"/>
        </w:rPr>
        <w:t>[P3] 房玄龄等《晋书》，唐代；卷九十五《艺术传·鸠摩罗什》，卷一二二《吕光载记》。阅读状态：相关人物段落全文核读。用途：战争与后出世俗史书中的罗什形象；“艺术”在此指方术等，不是现代美术。局限：成书更晚，也大量承袭旧说并包含神异。</w:t>
      </w:r>
      <w:hyperlink r:id="rId30">
        <w:r>
          <w:rPr>
            <w:color w:val="24485B"/>
            <w:rFonts w:eastAsia="Noto Serif CJK SC"/>
          </w:rPr>
          <w:t>卷九十五</w:t>
        </w:r>
      </w:hyperlink>
      <w:r>
        <w:rPr>
          <w:sz w:val="20"/>
        </w:rPr>
        <w:t>；</w:t>
      </w:r>
      <w:hyperlink r:id="rId11">
        <w:r>
          <w:rPr>
            <w:color w:val="24485B"/>
            <w:rFonts w:eastAsia="Noto Serif CJK SC"/>
          </w:rPr>
          <w:t>卷一二二</w:t>
        </w:r>
      </w:hyperlink>
      <w:r>
        <w:rPr>
          <w:sz w:val="20"/>
        </w:rPr>
        <w:t>。</w:t>
      </w:r>
    </w:p>
    <w:p>
      <w:pPr>
        <w:spacing w:after="180"/>
      </w:pPr>
      <w:r>
        <w:rPr>
          <w:sz w:val="20"/>
        </w:rPr>
        <w:t>[P4] 题僧肇《鸠摩罗什法师诔》，道宣《广弘明集》卷二十三所收，T2103，第52册，264b—265b。阅读状态：该诔全文核读。用途：413卒、享年七十之依据。局限：作者归属及纪年可信度有争论，不以题署等同真迹。</w:t>
      </w:r>
      <w:hyperlink r:id="rId14">
        <w:r>
          <w:rPr>
            <w:color w:val="24485B"/>
            <w:rFonts w:eastAsia="Noto Serif CJK SC"/>
          </w:rPr>
          <w:t>原文</w:t>
        </w:r>
      </w:hyperlink>
      <w:r>
        <w:rPr>
          <w:sz w:val="20"/>
        </w:rPr>
        <w:t>。</w:t>
      </w:r>
    </w:p>
    <w:p>
      <w:pPr>
        <w:spacing w:after="180"/>
      </w:pPr>
      <w:r>
        <w:rPr>
          <w:sz w:val="20"/>
        </w:rPr>
        <w:t>[P5] 支谦《佛说维摩诘经》T474；鸠摩罗什《维摩诘所说经》T475；玄奘《说无垢称经》T476，第14册。阅读状态：对勘段落核读，不声称三经逐字全文校勘。本文使用521c19、540a7、561c4—5，具体解释参见范慕尤2016的梵、藏、汉比较及其版本说明。经典时代早于现代版权；本文仅引所讨论的短句。</w:t>
      </w:r>
    </w:p>
    <w:p>
      <w:pPr>
        <w:spacing w:after="180"/>
      </w:pPr>
      <w:r>
        <w:rPr>
          <w:sz w:val="20"/>
        </w:rPr>
        <w:t>[P6] 《鸠摩罗什法师大义》，又称《大乘大义章》，T1856，第45册，122b起，三卷。阅读状态：问题编排与相关答问选读。用途：慧远与罗什之间的佛身、菩萨、修行等问题，展示教义进入汉地时的讨论。局限：现存编订本，不是双方原始书信手迹；不与净影慧远的《大乘义章》混淆。</w:t>
      </w:r>
      <w:hyperlink r:id="rId13">
        <w:r>
          <w:rPr>
            <w:color w:val="24485B"/>
            <w:rFonts w:eastAsia="Noto Serif CJK SC"/>
          </w:rPr>
          <w:t>全文</w:t>
        </w:r>
      </w:hyperlink>
      <w:r>
        <w:rPr>
          <w:sz w:val="20"/>
        </w:rPr>
        <w:t>。</w:t>
      </w:r>
    </w:p>
    <w:p>
      <w:pPr>
        <w:pStyle w:val="Heading2"/>
      </w:pPr>
      <w:r>
        <w:t>本报告补充核查的英文研究</w:t>
      </w:r>
    </w:p>
    <w:p>
      <w:pPr>
        <w:spacing w:after="180"/>
      </w:pPr>
      <w:r>
        <w:rPr>
          <w:sz w:val="20"/>
        </w:rPr>
        <w:t>[E-L] Lu, Yang [陆扬]. 2004. “Narrative and Historicity in the Buddhist Biographies of Early Medieval China: The Case of Kumārajīva.” Asia Major, Third Series, 17(2): 1–43。阅读状态：全文取得，重点核读pp.1–9、15–17、23–30、38–43。用途：僧传叙事与历史重建的区别；性、戒律、佛陀跋陀罗事件及祖师形象。本文不把其对悼文真伪或人物动机的解释当定论。</w:t>
      </w:r>
      <w:hyperlink r:id="rId31">
        <w:r>
          <w:rPr>
            <w:color w:val="24485B"/>
            <w:rFonts w:eastAsia="Noto Serif CJK SC"/>
          </w:rPr>
          <w:t>中研院期刊记录</w:t>
        </w:r>
      </w:hyperlink>
      <w:r>
        <w:rPr>
          <w:sz w:val="20"/>
        </w:rPr>
        <w:t>；</w:t>
      </w:r>
      <w:hyperlink r:id="rId32">
        <w:r>
          <w:rPr>
            <w:color w:val="24485B"/>
            <w:rFonts w:eastAsia="Noto Serif CJK SC"/>
          </w:rPr>
          <w:t>全文PDF</w:t>
        </w:r>
      </w:hyperlink>
      <w:r>
        <w:rPr>
          <w:sz w:val="20"/>
        </w:rPr>
        <w:t>。</w:t>
      </w:r>
    </w:p>
    <w:p>
      <w:pPr>
        <w:spacing w:after="180"/>
      </w:pPr>
      <w:r>
        <w:rPr>
          <w:sz w:val="20"/>
        </w:rPr>
        <w:t>[E-W] Walter, Mariko Namba. 1998. Tokharian Buddhism in Kucha: Buddhism of Indo-European Centum Speakers in Chinese Turkestan before the 10th Century C.E. Sino-Platonic Papers 85。阅读状态：全文取得，选读pp.1–9及后文写本比较；未逐项复核全部文献。用途限于龟兹语言、僧团和文献环境。其罗什生平部分存在明显年代、地点问题，本文没有采用其相关数字；题名中的旧语言学措辞保留原题，不据此推论现代族属。</w:t>
      </w:r>
      <w:hyperlink r:id="rId33">
        <w:r>
          <w:rPr>
            <w:color w:val="24485B"/>
            <w:rFonts w:eastAsia="Noto Serif CJK SC"/>
          </w:rPr>
          <w:t>全文PDF</w:t>
        </w:r>
      </w:hyperlink>
      <w:r>
        <w:rPr>
          <w:sz w:val="20"/>
        </w:rPr>
        <w:t>。</w:t>
      </w:r>
    </w:p>
    <w:p>
      <w:pPr>
        <w:pStyle w:val="Heading2"/>
      </w:pPr>
      <w:r>
        <w:t>日文研究</w:t>
      </w:r>
    </w:p>
    <w:p>
      <w:pPr>
        <w:spacing w:after="180"/>
      </w:pPr>
      <w:r>
        <w:rPr>
          <w:sz w:val="20"/>
        </w:rPr>
        <w:t>[J1] 塚本善隆，〈鳩摩羅什の活動年代について〉，1955。《印度學佛教學研究》3卷2号，606–608页。全文已读，3页PDF。关键定位：606页讨论出生年推算；607–608页讨论卒年及其不确定性。上文所引日文仅“卒年は確でない”。</w:t>
      </w:r>
      <w:hyperlink r:id="rId34">
        <w:r>
          <w:rPr>
            <w:color w:val="24485B"/>
            <w:rFonts w:eastAsia="Noto Serif CJK SC"/>
          </w:rPr>
          <w:t>正式DOI</w:t>
        </w:r>
      </w:hyperlink>
      <w:r>
        <w:rPr>
          <w:sz w:val="20"/>
        </w:rPr>
        <w:t>；</w:t>
      </w:r>
      <w:hyperlink r:id="rId35">
        <w:r>
          <w:rPr>
            <w:color w:val="24485B"/>
            <w:rFonts w:eastAsia="Noto Serif CJK SC"/>
          </w:rPr>
          <w:t>INBUDS书目</w:t>
        </w:r>
      </w:hyperlink>
      <w:r>
        <w:rPr>
          <w:sz w:val="20"/>
        </w:rPr>
        <w:t>。</w:t>
      </w:r>
    </w:p>
    <w:p>
      <w:pPr>
        <w:spacing w:after="180"/>
      </w:pPr>
      <w:r>
        <w:rPr>
          <w:sz w:val="20"/>
        </w:rPr>
        <w:t>[J2] 斉藤達也，〈鳩摩羅什の没年問題の再検討〔附正誤表〕〉，2000。《国際仏教学大学院大学研究紀要》第3号，125–154页，附正误表。全文已读，含注释、书目、英文摘要；重要数字另对原页图像复核。关键定位：125页“约411”；127–128页史料分类；129–130页《诔》真伪；131–140页书信、译经记与行程；140–143页十余年及综合结论。</w:t>
      </w:r>
      <w:hyperlink r:id="rId36">
        <w:r>
          <w:rPr>
            <w:color w:val="24485B"/>
            <w:rFonts w:eastAsia="Noto Serif CJK SC"/>
          </w:rPr>
          <w:t>机构库全文与元数据</w:t>
        </w:r>
      </w:hyperlink>
      <w:r>
        <w:rPr>
          <w:sz w:val="20"/>
        </w:rPr>
        <w:t>；</w:t>
      </w:r>
      <w:hyperlink r:id="rId37">
        <w:r>
          <w:rPr>
            <w:color w:val="24485B"/>
            <w:rFonts w:eastAsia="Noto Serif CJK SC"/>
          </w:rPr>
          <w:t>PDF</w:t>
        </w:r>
      </w:hyperlink>
      <w:r>
        <w:rPr>
          <w:sz w:val="20"/>
        </w:rPr>
        <w:t>。</w:t>
      </w:r>
    </w:p>
    <w:p>
      <w:pPr>
        <w:spacing w:after="180"/>
      </w:pPr>
      <w:r>
        <w:rPr>
          <w:sz w:val="20"/>
        </w:rPr>
        <w:t>[J3] 木村宣彰，〈鳩摩羅什の訳経：主要経論の翻訳とその草稿訳について〉，1986。《大谷大學研究年報》第38号，59–135页。选读原页，不是全文读完：59–62、83–89、123–126及131–135页；重点是经论类型、草稿与定本、结论及相关注释。全文为77页扫描图像。上文不据未读中间各节扩写细节。</w:t>
      </w:r>
      <w:hyperlink r:id="rId38">
        <w:r>
          <w:rPr>
            <w:color w:val="24485B"/>
            <w:rFonts w:eastAsia="Noto Serif CJK SC"/>
          </w:rPr>
          <w:t>大学机构库</w:t>
        </w:r>
      </w:hyperlink>
      <w:r>
        <w:rPr>
          <w:sz w:val="20"/>
        </w:rPr>
        <w:t>；</w:t>
      </w:r>
      <w:hyperlink r:id="rId39">
        <w:r>
          <w:rPr>
            <w:color w:val="24485B"/>
            <w:rFonts w:eastAsia="Noto Serif CJK SC"/>
          </w:rPr>
          <w:t>PDF</w:t>
        </w:r>
      </w:hyperlink>
      <w:r>
        <w:rPr>
          <w:sz w:val="20"/>
        </w:rPr>
        <w:t>。</w:t>
      </w:r>
    </w:p>
    <w:p>
      <w:pPr>
        <w:spacing w:after="180"/>
      </w:pPr>
      <w:r>
        <w:rPr>
          <w:sz w:val="20"/>
        </w:rPr>
        <w:t>[J4] 池麗梅，〈敦煌出土の『維摩経』僧肇単注本について〉，2005。《仏教文化研究論集》第9号，62–85页。全文已读，使用J-STAGE HTML全文及脚注。关键定位：第二节2.2，尤其比较例〈1〉至〈5〉；“是即具足”见《大正藏》T38，358c。采用节号避免将HTML位置伪造为精确页码。</w:t>
      </w:r>
      <w:hyperlink r:id="rId40">
        <w:r>
          <w:rPr>
            <w:color w:val="24485B"/>
            <w:rFonts w:eastAsia="Noto Serif CJK SC"/>
          </w:rPr>
          <w:t>正式全文</w:t>
        </w:r>
      </w:hyperlink>
      <w:r>
        <w:rPr>
          <w:sz w:val="20"/>
        </w:rPr>
        <w:t>；</w:t>
      </w:r>
      <w:hyperlink r:id="rId41">
        <w:r>
          <w:rPr>
            <w:color w:val="24485B"/>
            <w:rFonts w:eastAsia="Noto Serif CJK SC"/>
          </w:rPr>
          <w:t>CiNii记录</w:t>
        </w:r>
      </w:hyperlink>
      <w:r>
        <w:rPr>
          <w:sz w:val="20"/>
        </w:rPr>
        <w:t>。</w:t>
      </w:r>
    </w:p>
    <w:p>
      <w:pPr>
        <w:spacing w:after="180"/>
      </w:pPr>
      <w:r>
        <w:rPr>
          <w:sz w:val="20"/>
        </w:rPr>
        <w:t>[J5] 都河陽介，〈中国における般舟三昧の展開に関する一考察―鳩摩羅什訳出論書を中心として―〉，2019。《印度學佛教學研究》67卷2号，710–713页。全文已读，4页PDF。关键定位：711–713页比较两论的修行阶位、自力与佛力。可复核的短语为713页“衆生の行為性を重視”，即“重视众生的修行行动”；这是对《十住毘婆沙论》的分析，不等于罗什排斥佛力。</w:t>
      </w:r>
      <w:hyperlink r:id="rId42">
        <w:r>
          <w:rPr>
            <w:color w:val="24485B"/>
            <w:rFonts w:eastAsia="Noto Serif CJK SC"/>
          </w:rPr>
          <w:t>DOI与全文入口</w:t>
        </w:r>
      </w:hyperlink>
      <w:r>
        <w:rPr>
          <w:sz w:val="20"/>
        </w:rPr>
        <w:t>。</w:t>
      </w:r>
    </w:p>
    <w:p>
      <w:pPr>
        <w:spacing w:after="180"/>
      </w:pPr>
      <w:r>
        <w:rPr>
          <w:sz w:val="20"/>
        </w:rPr>
        <w:t>[J6] 𠮷澤秀知，〈『観音経』の日本的展開〉，2020。《日本佛教学会年報》第85号，106–126页。全文已读，21页PDF。关键定位：106–108页日本实践背景、底本不明及偈颂编入；111–118页经文比较；121–122页日本传播解释；123–124页相关语词与底本问题的注释。上文所引日文术语为“聞・持・称”，对应听闻、忆持、称名。</w:t>
      </w:r>
      <w:hyperlink r:id="rId43">
        <w:r>
          <w:rPr>
            <w:color w:val="24485B"/>
            <w:rFonts w:eastAsia="Noto Serif CJK SC"/>
          </w:rPr>
          <w:t>正式DOI</w:t>
        </w:r>
      </w:hyperlink>
      <w:r>
        <w:rPr>
          <w:sz w:val="20"/>
        </w:rPr>
        <w:t>；</w:t>
      </w:r>
      <w:hyperlink r:id="rId44">
        <w:r>
          <w:rPr>
            <w:color w:val="24485B"/>
            <w:rFonts w:eastAsia="Noto Serif CJK SC"/>
          </w:rPr>
          <w:t>PDF</w:t>
        </w:r>
      </w:hyperlink>
      <w:r>
        <w:rPr>
          <w:sz w:val="20"/>
        </w:rPr>
        <w:t>。</w:t>
      </w:r>
    </w:p>
    <w:p>
      <w:pPr>
        <w:spacing w:after="180"/>
      </w:pPr>
      <w:r>
        <w:rPr>
          <w:sz w:val="20"/>
        </w:rPr>
        <w:t>[J8] 本井牧子，〈鳩摩羅什伝承の和文化・絵巻化――『羅什三蔵絵伝』を中心に――〉，2026。《國語と國文学》2026年11月特集号，出版社页面标示2026年10月12日发行。仅核出版社目录，未读正文，文章页码尚未取得。列为日本罗什形象接受史的最新后续线索，不作为本综述论据。</w:t>
      </w:r>
      <w:hyperlink r:id="rId45">
        <w:r>
          <w:rPr>
            <w:color w:val="24485B"/>
            <w:rFonts w:eastAsia="Noto Serif CJK SC"/>
          </w:rPr>
          <w:t>筑摩书房正式目录</w:t>
        </w:r>
      </w:hyperlink>
      <w:r>
        <w:rPr>
          <w:sz w:val="20"/>
        </w:rPr>
        <w:t>。</w:t>
      </w:r>
    </w:p>
    <w:p>
      <w:pPr>
        <w:pStyle w:val="Heading2"/>
      </w:pPr>
      <w:r>
        <w:t>英文与法文研究</w:t>
      </w:r>
    </w:p>
    <w:p>
      <w:pPr>
        <w:spacing w:after="180"/>
      </w:pPr>
      <w:r>
        <w:rPr>
          <w:sz w:val="20"/>
        </w:rPr>
        <w:t>[C8] Liting Fan、Huaiyong Dou（2026），“Reconsidering the Translation Sequence and Textual Formation of the Mahāprajñāpāramitā Sūtra and Mahāprajñāpāramitāśāstra: Evidence from Sengrui’s Prefaces and Textual Variants.” Religions 17(10)，文章1159，2026年10月2日。</w:t>
      </w:r>
      <w:hyperlink r:id="rId46">
        <w:r>
          <w:rPr>
            <w:color w:val="24485B"/>
            <w:rFonts w:eastAsia="Noto Serif CJK SC"/>
          </w:rPr>
          <w:t>DOI/期刊頁</w:t>
        </w:r>
      </w:hyperlink>
      <w:r>
        <w:rPr>
          <w:sz w:val="20"/>
        </w:rPr>
        <w:t>。摘要及檢索可讀的第2節，未得全文；用節號而非猜測PDF頁碼。出版日早於本次檢索截止；新近研究只列為補充線索。</w:t>
      </w:r>
    </w:p>
    <w:p>
      <w:pPr>
        <w:spacing w:after="180"/>
      </w:pPr>
      <w:r>
        <w:rPr>
          <w:sz w:val="20"/>
        </w:rPr>
        <w:t xml:space="preserve">[E1] Rafal Felbur. 2019（在线；常作 2020）. “Kumarajiva: ‘Great Man’ and Cultural Event.” In A Companion to World Literature, ed. Ken Seigneurie, 章节 pp.1–13. DOI: 10.1002/9781118635193.ctwl0312。状态：取得并细读全文。 </w:t>
      </w:r>
      <w:hyperlink r:id="rId47">
        <w:r>
          <w:rPr>
            <w:color w:val="24485B"/>
            <w:rFonts w:eastAsia="Noto Serif CJK SC"/>
          </w:rPr>
          <w:t>作者项目网站全文</w:t>
        </w:r>
      </w:hyperlink>
      <w:r>
        <w:rPr>
          <w:sz w:val="20"/>
        </w:rPr>
        <w:t>。用途：集体作者、口传与书写、经序及经典化；不能无核对照录其政治史与书目细节。</w:t>
      </w:r>
    </w:p>
    <w:p>
      <w:pPr>
        <w:spacing w:after="180"/>
      </w:pPr>
      <w:r>
        <w:rPr>
          <w:sz w:val="20"/>
        </w:rPr>
        <w:t xml:space="preserve">[E2] Michael Radich. 2019. “Kumārajīva’s ‘Voice’?” In China and the World – the World and China: Essays in Honor of Rudolf G. Wagner, vol.1, Transcultural Perspectives on Pre-modern China, ed. Joachim Gentz. Gossenberg: Ostasien, pp.131–145。状态：直接读公开转存的论文正文。 </w:t>
      </w:r>
      <w:hyperlink r:id="rId48">
        <w:r>
          <w:rPr>
            <w:color w:val="24485B"/>
            <w:rFonts w:eastAsia="Noto Serif CJK SC"/>
          </w:rPr>
          <w:t>正文转存</w:t>
        </w:r>
      </w:hyperlink>
      <w:r>
        <w:rPr>
          <w:sz w:val="20"/>
        </w:rPr>
        <w:t>；</w:t>
      </w:r>
      <w:hyperlink r:id="rId49">
        <w:r>
          <w:rPr>
            <w:color w:val="24485B"/>
            <w:rFonts w:eastAsia="Noto Serif CJK SC"/>
          </w:rPr>
          <w:t>出版社卷册信息</w:t>
        </w:r>
      </w:hyperlink>
      <w:r>
        <w:rPr>
          <w:sz w:val="20"/>
        </w:rPr>
        <w:t>。重点 pp.134–143；方法为初步语言比较，不宜扩大为已解决作者归属的定量证明。</w:t>
      </w:r>
    </w:p>
    <w:p>
      <w:pPr>
        <w:spacing w:after="180"/>
      </w:pPr>
      <w:r>
        <w:rPr>
          <w:sz w:val="20"/>
        </w:rPr>
        <w:t xml:space="preserve">[E3] Richard H. Robinson. 1967. Early Mādhyamika in India and China. Madison: University of Wisconsin Press, xi + 347 pp.（1976 年有 Motilal Banarsidass 重印）。状态：可取得全书转存，实际重点阅读第三章 pp.71–95 中的求学、谱系、翻译及思想材料，尤其 pp.71–74、77–89；没有通读全书。 </w:t>
      </w:r>
      <w:hyperlink r:id="rId50">
        <w:r>
          <w:rPr>
            <w:color w:val="24485B"/>
            <w:rFonts w:eastAsia="Noto Serif CJK SC"/>
          </w:rPr>
          <w:t>全文转存</w:t>
        </w:r>
      </w:hyperlink>
      <w:r>
        <w:rPr>
          <w:sz w:val="20"/>
        </w:rPr>
        <w:t>；</w:t>
      </w:r>
      <w:hyperlink r:id="rId51">
        <w:r>
          <w:rPr>
            <w:color w:val="24485B"/>
            <w:rFonts w:eastAsia="Noto Serif CJK SC"/>
          </w:rPr>
          <w:t>书目记录</w:t>
        </w:r>
      </w:hyperlink>
      <w:r>
        <w:rPr>
          <w:sz w:val="20"/>
        </w:rPr>
        <w:t>。经典专著但须注意距今甚久，不能代替后来目录学及出土梵本研究。</w:t>
      </w:r>
    </w:p>
    <w:p>
      <w:pPr>
        <w:spacing w:after="180"/>
      </w:pPr>
      <w:r>
        <w:rPr>
          <w:sz w:val="20"/>
        </w:rPr>
        <w:t xml:space="preserve">[E4] Erik Zürcher. 1999；本稿据 2012 重刊. “Buddhism Across Boundaries: The Foreign Input.” In Buddhism Across Boundaries: Chinese Buddhism and the Western Regions, eds. John R. McRae and Jan Nattier, Sino-Platonic Papers 222, pp.1–25。后收入 Buddhism in China: Collected Papers of Erik Zürcher（2013），pp.539–566。状态：取得整册全文，直接重点阅读该文 pp.1–3、16–22、25。 </w:t>
      </w:r>
      <w:hyperlink r:id="rId52">
        <w:r>
          <w:rPr>
            <w:color w:val="24485B"/>
            <w:rFonts w:eastAsia="Noto Serif CJK SC"/>
          </w:rPr>
          <w:t>开放全文</w:t>
        </w:r>
      </w:hyperlink>
      <w:r>
        <w:rPr>
          <w:sz w:val="20"/>
        </w:rPr>
        <w:t>。引文页码务必注明版本；2012 本的第1页并非 PDF 文件第一页。</w:t>
      </w:r>
    </w:p>
    <w:p>
      <w:pPr>
        <w:spacing w:after="180"/>
      </w:pPr>
      <w:r>
        <w:rPr>
          <w:sz w:val="20"/>
        </w:rPr>
        <w:t xml:space="preserve">[E5] Sylvie Hureau. 2006. “Preaching and Translating on poṣadha Days: Kumārajīva’s Role in Adapting an Indian Ceremony to China.” Journal of the International College for Postgraduate Buddhist Studies 10, 87–119(L)，依 INBUDS 正式记录。状态：核对书目与目录，未取得可读全文；不以他人转引冒充全文阅读。 </w:t>
      </w:r>
      <w:hyperlink r:id="rId53">
        <w:r>
          <w:rPr>
            <w:color w:val="24485B"/>
            <w:rFonts w:eastAsia="Noto Serif CJK SC"/>
          </w:rPr>
          <w:t>INBUDS 记录</w:t>
        </w:r>
      </w:hyperlink>
      <w:r>
        <w:rPr>
          <w:sz w:val="20"/>
        </w:rPr>
        <w:t>；</w:t>
      </w:r>
      <w:hyperlink r:id="rId54">
        <w:r>
          <w:rPr>
            <w:color w:val="24485B"/>
            <w:rFonts w:eastAsia="Noto Serif CJK SC"/>
          </w:rPr>
          <w:t>作者页面</w:t>
        </w:r>
      </w:hyperlink>
      <w:r>
        <w:rPr>
          <w:sz w:val="20"/>
        </w:rPr>
        <w:t>。一些书目采用另一方向的页码 118–86，Felbur 的 118–186 则有误；正式引用前最好对照期刊原页。</w:t>
      </w:r>
    </w:p>
    <w:p>
      <w:pPr>
        <w:spacing w:after="180"/>
      </w:pPr>
      <w:r>
        <w:rPr>
          <w:sz w:val="20"/>
        </w:rPr>
        <w:t xml:space="preserve">[E6] Sylvie Hureau. 2010（2009-12-17 上网）. “Traduction et offrande rituelle de la parole du Buddha en Chine.” Cahiers «Mondes anciens» 1, §§1–39；自动生成 PDF 正文 pp.1–10。DOI: 10.4000/mondesanciens.97。语种：法文。状态：直接读作者上传的全文，主要论证与结论已核读；引用以段落号为准。 </w:t>
      </w:r>
      <w:hyperlink r:id="rId55">
        <w:r>
          <w:rPr>
            <w:color w:val="24485B"/>
            <w:rFonts w:eastAsia="Noto Serif CJK SC"/>
          </w:rPr>
          <w:t>正式刊文</w:t>
        </w:r>
      </w:hyperlink>
      <w:r>
        <w:rPr>
          <w:sz w:val="20"/>
        </w:rPr>
        <w:t>；</w:t>
      </w:r>
      <w:hyperlink r:id="rId56">
        <w:r>
          <w:rPr>
            <w:color w:val="24485B"/>
            <w:rFonts w:eastAsia="Noto Serif CJK SC"/>
          </w:rPr>
          <w:t>作者上传全文</w:t>
        </w:r>
      </w:hyperlink>
      <w:r>
        <w:rPr>
          <w:sz w:val="20"/>
        </w:rPr>
        <w:t>。</w:t>
      </w:r>
    </w:p>
    <w:p>
      <w:pPr>
        <w:spacing w:after="180"/>
      </w:pPr>
      <w:r>
        <w:rPr>
          <w:sz w:val="20"/>
        </w:rPr>
        <w:t xml:space="preserve">[E7] Jan Nattier. 1992. “The Heart Sūtra: A Chinese Apocryphal Text?” Journal of the International Association of Buddhist Studies 15.2:153–223。DOI: 10.2143/JIABS.15.2.3286001。状态：取得全文；实际详细阅读 pp.168–171、184–189，并核对相关论证，不声称本次通读全部71页。 </w:t>
      </w:r>
      <w:hyperlink r:id="rId57">
        <w:r>
          <w:rPr>
            <w:color w:val="24485B"/>
            <w:rFonts w:eastAsia="Noto Serif CJK SC"/>
          </w:rPr>
          <w:t>公开全文</w:t>
        </w:r>
      </w:hyperlink>
      <w:r>
        <w:rPr>
          <w:sz w:val="20"/>
        </w:rPr>
        <w:t>；</w:t>
      </w:r>
      <w:hyperlink r:id="rId58">
        <w:r>
          <w:rPr>
            <w:color w:val="24485B"/>
            <w:rFonts w:eastAsia="Noto Serif CJK SC"/>
          </w:rPr>
          <w:t>出版者记录</w:t>
        </w:r>
      </w:hyperlink>
      <w:r>
        <w:rPr>
          <w:sz w:val="20"/>
        </w:rPr>
        <w:t>。用途：T250 归属与借用关系；有关《心经》整体起源的著名论点必须明确标为学术主张而非无争议事实。</w:t>
      </w:r>
    </w:p>
    <w:p>
      <w:pPr>
        <w:spacing w:after="180"/>
      </w:pPr>
      <w:r>
        <w:rPr>
          <w:sz w:val="20"/>
        </w:rPr>
        <w:t xml:space="preserve">[E8] Funayama Tōru 船山彻. 2006. “Masquerading as Translation: Examples of Chinese Lectures by Indian Scholar-Monks in the Six Dynasties Period.” Asia Major, Third Series, 19.1–2:39–55。状态：取得全文；直接读 pp.39–43、47–48、53–55，并浏览其余案例，核心罗什段已核读。 </w:t>
      </w:r>
      <w:hyperlink r:id="rId59">
        <w:r>
          <w:rPr>
            <w:color w:val="24485B"/>
            <w:rFonts w:eastAsia="Noto Serif CJK SC"/>
          </w:rPr>
          <w:t>中央研究院全文</w:t>
        </w:r>
      </w:hyperlink>
      <w:r>
        <w:rPr>
          <w:sz w:val="20"/>
        </w:rPr>
        <w:t>。注意：p.47 关于中文能力的肯定与 Felbur 并不一致；pp.47–48 的讲授／编纂判断尤其适合说明“译”的多样含义。</w:t>
      </w:r>
    </w:p>
    <w:p>
      <w:pPr>
        <w:spacing w:after="180"/>
      </w:pPr>
      <w:r>
        <w:rPr>
          <w:sz w:val="20"/>
        </w:rPr>
        <w:t xml:space="preserve">[E9] Paul Harrison. 2008［实际出版常标 2010］. “Experimental Core Samples of Chinese Translations of Two Buddhist Sūtras Analysed in the Light of Recent Sanskrit Manuscript Discoveries.” Journal of the International Association of Buddhist Studies 31.1–2:205–249。状态：核对出版者书目，读到会议摘要和部分检索节录；本次没有充分读到论文全文。 </w:t>
      </w:r>
      <w:hyperlink r:id="rId60">
        <w:r>
          <w:rPr>
            <w:color w:val="24485B"/>
            <w:rFonts w:eastAsia="Noto Serif CJK SC"/>
          </w:rPr>
          <w:t>出版者目录及全文入口</w:t>
        </w:r>
      </w:hyperlink>
      <w:r>
        <w:rPr>
          <w:sz w:val="20"/>
        </w:rPr>
        <w:t>；</w:t>
      </w:r>
      <w:hyperlink r:id="rId61">
        <w:r>
          <w:rPr>
            <w:color w:val="24485B"/>
            <w:rFonts w:eastAsia="Noto Serif CJK SC"/>
          </w:rPr>
          <w:t>2007 年前期报告摘要</w:t>
        </w:r>
      </w:hyperlink>
      <w:r>
        <w:rPr>
          <w:sz w:val="20"/>
        </w:rPr>
        <w:t>。不可把摘要等同最终论文；页末依出版者为249。</w:t>
      </w:r>
    </w:p>
    <w:sectPr w:rsidR="00FC693F" w:rsidRPr="0006063C" w:rsidSect="00034616">
      <w:headerReference w:type="default" r:id="rId62"/>
      <w:footerReference w:type="default" r:id="rId63"/>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鸠摩罗什深度研究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4" w:lineRule="auto" w:after="120"/>
    </w:pPr>
    <w:rPr>
      <w:rFonts w:ascii="Noto Serif CJK SC" w:hAnsi="Noto Serif CJK SC" w:eastAsia="Noto Serif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324" w:lineRule="auto"/>
      <w:outlineLvl w:val="0"/>
    </w:pPr>
    <w:rPr>
      <w:rFonts w:asciiTheme="majorHAnsi" w:eastAsiaTheme="majorEastAsia" w:hAnsiTheme="majorHAnsi" w:cstheme="majorBidi"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324"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324"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324" w:lineRule="auto" w:after="120"/>
    </w:pPr>
    <w:rPr>
      <w:rFonts w:asciiTheme="majorHAnsi" w:eastAsiaTheme="majorEastAsia" w:hAnsiTheme="majorHAnsi" w:cstheme="majorBidi" w:ascii="Noto Serif CJK SC" w:hAnsi="Noto Serif CJK SC" w:eastAsia="Noto Serif CJK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24" w:lineRule="auto" w:after="120"/>
      <w:contextualSpacing/>
    </w:pPr>
    <w:rPr>
      <w:rFonts w:ascii="Noto Serif CJK SC" w:hAnsi="Noto Serif CJK SC" w:eastAsia="Noto Serif CJK S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24" w:lineRule="auto" w:after="120"/>
      <w:contextualSpacing/>
    </w:pPr>
    <w:rPr>
      <w:rFonts w:ascii="Noto Serif CJK SC" w:hAnsi="Noto Serif CJK SC" w:eastAsia="Noto Serif CJK SC"/>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zggdwx.com/cszjj/14.html" TargetMode="External"/><Relationship Id="rId10" Type="http://schemas.openxmlformats.org/officeDocument/2006/relationships/hyperlink" Target="https://zh.wikisource.org/zh-hant/&#26753;&#39640;&#20711;&#20659;/&#21367;&#20108;" TargetMode="External"/><Relationship Id="rId11" Type="http://schemas.openxmlformats.org/officeDocument/2006/relationships/hyperlink" Target="https://zh.wikisource.org/zh-hant/&#26185;&#26360;/&#21367;122" TargetMode="External"/><Relationship Id="rId12" Type="http://schemas.openxmlformats.org/officeDocument/2006/relationships/hyperlink" Target="https://buddhism.lib.ntu.edu.tw/FULLTEXT/sutra/chi_pdf/sutra23/T55n2145.pdf" TargetMode="External"/><Relationship Id="rId13" Type="http://schemas.openxmlformats.org/officeDocument/2006/relationships/hyperlink" Target="https://zh.wikisource.org/zh-hant/&#40169;&#25705;&#32645;&#20160;&#27861;&#24107;&#22823;&#32681;" TargetMode="External"/><Relationship Id="rId14" Type="http://schemas.openxmlformats.org/officeDocument/2006/relationships/hyperlink" Target="https://www.shidianguji.com/ens/book/SK2136/chapter/1l9ofg7k90h7n" TargetMode="External"/><Relationship Id="rId15" Type="http://schemas.openxmlformats.org/officeDocument/2006/relationships/hyperlink" Target="https://zh.wikisource.org/wiki/&#20315;&#35498;&#32173;&#25705;&#35440;&#32147;/&#21367;01" TargetMode="External"/><Relationship Id="rId16" Type="http://schemas.openxmlformats.org/officeDocument/2006/relationships/hyperlink" Target="https://zh.wikisource.org/wiki/&#32173;&#25705;&#35440;&#25152;&#35498;&#32147;/1" TargetMode="External"/><Relationship Id="rId17" Type="http://schemas.openxmlformats.org/officeDocument/2006/relationships/hyperlink" Target="https://zh.wikisource.org/wiki/&#35498;&#28961;&#22434;&#31281;&#32147;/2" TargetMode="External"/><Relationship Id="rId18" Type="http://schemas.openxmlformats.org/officeDocument/2006/relationships/hyperlink" Target="https://buddhism.lib.ntu.edu.tw/FT/JA/566157.pdf" TargetMode="External"/><Relationship Id="rId19" Type="http://schemas.openxmlformats.org/officeDocument/2006/relationships/hyperlink" Target="https://www.chibs.edu.tw/ch_html/chbj/13/chbj1311.htm" TargetMode="External"/><Relationship Id="rId20" Type="http://schemas.openxmlformats.org/officeDocument/2006/relationships/hyperlink" Target="https://buddhism.lib.ntu.edu.tw/FULLTEXT/JR-AN/an343580.pdf" TargetMode="External"/><Relationship Id="rId21" Type="http://schemas.openxmlformats.org/officeDocument/2006/relationships/hyperlink" Target="https://dlbs.liberal.ntu.edu.tw/FULLTEXT/JR-NX027/new2_1.htm" TargetMode="External"/><Relationship Id="rId22" Type="http://schemas.openxmlformats.org/officeDocument/2006/relationships/hyperlink" Target="https://buddhism.lib.ntu.edu.tw/FULLTEXT/JR-MAG/mag143826.pdf" TargetMode="External"/><Relationship Id="rId23" Type="http://schemas.openxmlformats.org/officeDocument/2006/relationships/hyperlink" Target="https://www.litphil.sinica.edu.tw/newsletter/85/87-104.pdf" TargetMode="External"/><Relationship Id="rId24" Type="http://schemas.openxmlformats.org/officeDocument/2006/relationships/hyperlink" Target="https://book.bshf.org.cn/reader/LC0002/7" TargetMode="External"/><Relationship Id="rId25" Type="http://schemas.openxmlformats.org/officeDocument/2006/relationships/hyperlink" Target="https://zh.wikisource.org/zh-hant/&#20986;&#19977;&#34255;&#35352;&#38598;/&#21367;&#20108;" TargetMode="External"/><Relationship Id="rId26" Type="http://schemas.openxmlformats.org/officeDocument/2006/relationships/hyperlink" Target="https://zh.wikisource.org/zh-hant/&#20986;&#19977;&#34255;&#35352;&#38598;/&#21367;&#20843;" TargetMode="External"/><Relationship Id="rId27" Type="http://schemas.openxmlformats.org/officeDocument/2006/relationships/hyperlink" Target="https://zh.wikisource.org/zh-hant/&#20986;&#19977;&#34255;&#35352;&#38598;/&#21367;&#21313;" TargetMode="External"/><Relationship Id="rId28" Type="http://schemas.openxmlformats.org/officeDocument/2006/relationships/hyperlink" Target="https://www.fgsbooks.com.tw/product/3" TargetMode="External"/><Relationship Id="rId29" Type="http://schemas.openxmlformats.org/officeDocument/2006/relationships/hyperlink" Target="https://buddhism.lib.ntu.edu.tw/FULLTEXT/sutra/chi_pdf/sutra20/T50n2059.pdf" TargetMode="External"/><Relationship Id="rId30" Type="http://schemas.openxmlformats.org/officeDocument/2006/relationships/hyperlink" Target="https://zh.wikisource.org/zh-hant/&#26185;&#26360;/&#21367;095" TargetMode="External"/><Relationship Id="rId31" Type="http://schemas.openxmlformats.org/officeDocument/2006/relationships/hyperlink" Target="https://www1.ihp.sinica.edu.tw/Publications/AsiaMajor/639/Article/106" TargetMode="External"/><Relationship Id="rId32" Type="http://schemas.openxmlformats.org/officeDocument/2006/relationships/hyperlink" Target="https://www1.ihp.sinica.edu.tw/storage/w2_file/1464kwiaSfk.pdf" TargetMode="External"/><Relationship Id="rId33" Type="http://schemas.openxmlformats.org/officeDocument/2006/relationships/hyperlink" Target="https://sino-platonic.org/complete/spp085_tokharian_buddhism_kucha.pdf" TargetMode="External"/><Relationship Id="rId34" Type="http://schemas.openxmlformats.org/officeDocument/2006/relationships/hyperlink" Target="https://doi.org/10.4259/ibk.3.606" TargetMode="External"/><Relationship Id="rId35" Type="http://schemas.openxmlformats.org/officeDocument/2006/relationships/hyperlink" Target="https://asvin.dhii.jp/INBUDS/ddb_ibd.php?a=&amp;m=trdd&amp;usid=226029" TargetMode="External"/><Relationship Id="rId36" Type="http://schemas.openxmlformats.org/officeDocument/2006/relationships/hyperlink" Target="https://icabs.repo.nii.ac.jp/records/278" TargetMode="External"/><Relationship Id="rId37" Type="http://schemas.openxmlformats.org/officeDocument/2006/relationships/hyperlink" Target="https://icabs.repo.nii.ac.jp/record/278/files/3%20%E6%96%89%E8%97%A4.pdf" TargetMode="External"/><Relationship Id="rId38" Type="http://schemas.openxmlformats.org/officeDocument/2006/relationships/hyperlink" Target="https://otani.repo.nii.ac.jp/records/6002" TargetMode="External"/><Relationship Id="rId39" Type="http://schemas.openxmlformats.org/officeDocument/2006/relationships/hyperlink" Target="https://otani.repo.nii.ac.jp/record/6002/files/38_59.pdf" TargetMode="External"/><Relationship Id="rId40" Type="http://schemas.openxmlformats.org/officeDocument/2006/relationships/hyperlink" Target="https://www.jstage.jst.go.jp/article/todaibusseironshu/9/0/9_4/_html/-char/ja" TargetMode="External"/><Relationship Id="rId41" Type="http://schemas.openxmlformats.org/officeDocument/2006/relationships/hyperlink" Target="https://cir.nii.ac.jp/crid/1390012468140309888" TargetMode="External"/><Relationship Id="rId42" Type="http://schemas.openxmlformats.org/officeDocument/2006/relationships/hyperlink" Target="https://doi.org/10.4259/ibk.67.2_710" TargetMode="External"/><Relationship Id="rId43" Type="http://schemas.openxmlformats.org/officeDocument/2006/relationships/hyperlink" Target="https://doi.org/10.15033/nbra.85.0__106_" TargetMode="External"/><Relationship Id="rId44" Type="http://schemas.openxmlformats.org/officeDocument/2006/relationships/hyperlink" Target="https://www.jstage.jst.go.jp/article/nbra/85/0/85__106_/_pdf/-char/ja" TargetMode="External"/><Relationship Id="rId45" Type="http://schemas.openxmlformats.org/officeDocument/2006/relationships/hyperlink" Target="https://new.chikumashobo.co.jp/product/K2611/" TargetMode="External"/><Relationship Id="rId46" Type="http://schemas.openxmlformats.org/officeDocument/2006/relationships/hyperlink" Target="https://www.mdpi.com/2077-1444/17/10/1159" TargetMode="External"/><Relationship Id="rId47" Type="http://schemas.openxmlformats.org/officeDocument/2006/relationships/hyperlink" Target="https://openphilology.eu/media/pages/publications-rafal-felbur/1125482332-1625255917/2020_kumarajiva.pdf" TargetMode="External"/><Relationship Id="rId48" Type="http://schemas.openxmlformats.org/officeDocument/2006/relationships/hyperlink" Target="https://www.scribd.com/document/753310217/Radich-Michael-Kumarajiva-s-Voice-In-Chi" TargetMode="External"/><Relationship Id="rId49" Type="http://schemas.openxmlformats.org/officeDocument/2006/relationships/hyperlink" Target="https://www.ostasien-verlag.de/reihen/deutsche-ostasienstudien/doas/037.html" TargetMode="External"/><Relationship Id="rId50" Type="http://schemas.openxmlformats.org/officeDocument/2006/relationships/hyperlink" Target="https://www.scribd.com/doc/185329889/97079556-Richard-H-Robinson-Early-M%C4%81-dhyamika-in-India-and-China" TargetMode="External"/><Relationship Id="rId51" Type="http://schemas.openxmlformats.org/officeDocument/2006/relationships/hyperlink" Target="https://openlibrary.org/works/OL3252975W/Early_Ma%CC%84dhyamika_in_India_and_China?edition=earlymadhyamikai0000robi" TargetMode="External"/><Relationship Id="rId52" Type="http://schemas.openxmlformats.org/officeDocument/2006/relationships/hyperlink" Target="https://sino-platonic.org/complete/spp222_indian_chinese_buddhism.pdf" TargetMode="External"/><Relationship Id="rId53" Type="http://schemas.openxmlformats.org/officeDocument/2006/relationships/hyperlink" Target="https://asvin.dhii.jp/INBUDS/search.php?a=&amp;m=trdd&amp;usid=134580" TargetMode="External"/><Relationship Id="rId54" Type="http://schemas.openxmlformats.org/officeDocument/2006/relationships/hyperlink" Target="https://www.researchgate.net/publication/280782562_Preaching_and_translating_on_posadha_days_Kumarajiva%27s_role_in_adaptating_an_Indian_ceremony_to_China" TargetMode="External"/><Relationship Id="rId55" Type="http://schemas.openxmlformats.org/officeDocument/2006/relationships/hyperlink" Target="https://journals.openedition.org/mondesanciens/97" TargetMode="External"/><Relationship Id="rId56" Type="http://schemas.openxmlformats.org/officeDocument/2006/relationships/hyperlink" Target="https://www.researchgate.net/publication/41060583_Traduction_et_offrande_rituelle_de_la_parole_du_Buddha_en_Chine" TargetMode="External"/><Relationship Id="rId57" Type="http://schemas.openxmlformats.org/officeDocument/2006/relationships/hyperlink" Target="https://terebess.hu/zen/szoto/Heart-Sutra-Jan-Nattier.pdf" TargetMode="External"/><Relationship Id="rId58" Type="http://schemas.openxmlformats.org/officeDocument/2006/relationships/hyperlink" Target="https://poj.peeters-leuven.be/content.php?download=yes&amp;id=3286001&amp;journal_code=JIABS&amp;url=article" TargetMode="External"/><Relationship Id="rId59" Type="http://schemas.openxmlformats.org/officeDocument/2006/relationships/hyperlink" Target="https://www1.ihp.sinica.edu.tw/storage/w2_file/1437ErffHdN.pdf" TargetMode="External"/><Relationship Id="rId60" Type="http://schemas.openxmlformats.org/officeDocument/2006/relationships/hyperlink" Target="https://poj.peeters-leuven.be/content.php?issue=1&amp;journal_code=JIABS&amp;url=issue&amp;vol=31" TargetMode="External"/><Relationship Id="rId61" Type="http://schemas.openxmlformats.org/officeDocument/2006/relationships/hyperlink" Target="https://www.oeaw.ac.at/fileadmin/Institute/IKGA/PDF/events/Harrison_2007.pdf" TargetMode="External"/><Relationship Id="rId62" Type="http://schemas.openxmlformats.org/officeDocument/2006/relationships/header" Target="header1.xml"/><Relationship Id="rId6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鸠摩罗什深度研究</dc:title>
  <dc:subject>求学 译经 文本形成与中日接受史 多语种证据综合</dc:subject>
  <dc:creator>Research compilation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