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鸠摩罗什的一生</w:t>
      </w:r>
    </w:p>
    <w:p>
      <w:pPr>
        <w:pStyle w:val="Subtitle"/>
      </w:pPr>
      <w:r>
        <w:t>从龟兹求学到长安译经</w:t>
      </w:r>
    </w:p>
    <w:p>
      <w:r>
        <w:t>鸠摩罗什（Kumārajīva），又称罗什、童寿，是四至五世纪之交最重要的佛教译经家之一。他出生于丝绸之路上的龟兹，少年时期往来于中亚和印度西北地区求学，成年后在龟兹讲经，因战争被带往河西，长期滞留凉州，最后进入后秦都城长安，在生命最后一段时期主持了影响深远的佛典汉译事业。</w:t>
      </w:r>
    </w:p>
    <w:p>
      <w:r>
        <w:t>他的生卒年不能当作已经完全确定的事实。常见说法是344—413年，另一种重要说法是350—409年。以下按能够确认的事件顺序叙述；童年年龄主要采用早期传记的记载，不把它们强行换算成唯一的公历年份。现代学术综述仍将这两组年代并列，说明争议没有简单消失。</w:t>
      </w:r>
      <w:hyperlink r:id="rId9">
        <w:r>
          <w:rPr>
            <w:color w:val="24485B"/>
            <w:rFonts w:eastAsia="Noto Serif CJK SC"/>
          </w:rPr>
          <w:t>Rafal Felbur《Kumarajiva: “Great Man” and Cultural Event》</w:t>
        </w:r>
      </w:hyperlink>
      <w:r/>
    </w:p>
    <w:p>
      <w:pPr>
        <w:pStyle w:val="Heading1"/>
      </w:pPr>
      <w:r>
        <w:t>一 出生于龟兹 一个连接印度与中亚的家庭</w:t>
      </w:r>
    </w:p>
    <w:p>
      <w:r>
        <w:t>鸠摩罗什出生的龟兹，在今天新疆库车一带。当时它是具有自身王室、语言与文化的绿洲王国，也是丝路北道上的交通中心。因此，说他出生于今天中国境内，并不意味着可以把现代国籍直接套到四世纪的人身上。</w:t>
      </w:r>
    </w:p>
    <w:p>
      <w:r>
        <w:t>僧祐《出三藏记集》和慧皎《高僧传》都把他的父亲称作鸠摩炎，记述其家族在天竺世代担任国相。按传记叙述，鸠摩炎原本可以继承相位，却选择出家，越过葱岭来到龟兹，受到国王礼遇。国王的妹妹看中他，王室促成了这段婚姻，随后生下鸠摩罗什。母亲名耆婆，属于龟兹王族。《高僧传》还记载，他有一个弟弟，名弗沙提婆。</w:t>
      </w:r>
    </w:p>
    <w:p>
      <w:r>
        <w:t>这些记载说明，早期佛教传统把罗什的成长放在印度学术传承与龟兹王室赞助的交会处。不过，父母婚姻的具体经过没有独立档案可供复核；传记中关于母亲怀孕时突然通晓天竺语等叙述，属于塑造圣童形象的宗教故事，不能作为语言学或生理事实。</w:t>
      </w:r>
    </w:p>
    <w:p>
      <w:pPr>
        <w:pStyle w:val="Heading1"/>
      </w:pPr>
      <w:r>
        <w:t>二 母亲出家 他在七岁左右进入佛教教育</w:t>
      </w:r>
    </w:p>
    <w:p>
      <w:r>
        <w:t>母亲对罗什的人生起了决定性作用。《高僧传》说，她曾请求出家，起初遭到丈夫反对，后来以拒绝进食表明决心，才得到允许。传记把鸠摩罗什随母出家的年龄记为七岁。</w:t>
      </w:r>
    </w:p>
    <w:p>
      <w:r>
        <w:t>他的初期学习包括背诵经典和学习阿毗昙，即分析身心经验、修行过程与诸法分类的佛教论学。早期传记以惊人的记诵数量突出他的聪慧，但那些数字带有高僧传记的赞颂色彩，不宜按现代学校成绩般精确理解。比较稳妥的判断是：他很早接受了系统的僧院教育，尤其重视诵读、记忆、解释与辩论。</w:t>
      </w:r>
    </w:p>
    <w:p>
      <w:r>
        <w:t>母亲随后带他离开龟兹。传记给出的一个理由是，王族身份带来的供养与尊崇过多，妨碍清静修学。这次离开使他接触到不同地区的学术传统，而不是只在本地寺院成长。</w:t>
      </w:r>
    </w:p>
    <w:p>
      <w:pPr>
        <w:pStyle w:val="Heading1"/>
      </w:pPr>
      <w:r>
        <w:t>三 九岁至少年时期 罽宾 沙勒与思想转向</w:t>
      </w:r>
    </w:p>
    <w:p>
      <w:r>
        <w:t>按《高僧传》，罗什九岁时随母亲渡过辛头河，进入罽宾，从槃头达多学习。辛头河一般指印度河；罽宾通常联系于克什米尔及其周边，但古代地名的范围并不始终固定，不能把他的路线画得像现代旅行记录一样精确。</w:t>
      </w:r>
    </w:p>
    <w:p>
      <w:r>
        <w:t>槃头达多是一位熟悉经、律、论的学者。罗什在他门下学习《中阿含》《长阿含》等经典及相关教义。就学术传统而言，他早期主要置身于说一切有部等部派佛教的教育环境。古代大乘传记把这称作“小乘”；这里保留这一历史用语的背景，不把它当作对今天某一佛教传统的价值判断。</w:t>
      </w:r>
    </w:p>
    <w:p>
      <w:r>
        <w:t>传记说，他十二岁左右随母返程，途中在沙勒停留。沙勒一般对应今天喀什一带。他在那里继续学习阿毗昙，也接触佛教之外的知识，包括语言、论辩及印度传统学问。少年登坛说法、与其他学者辩论的故事，反映他较早获得了教学声望；至于每次辩论的对白与压倒性胜利，则不能逐项验证。</w:t>
      </w:r>
    </w:p>
    <w:p>
      <w:r>
        <w:t>这一时期最重要的变化，是他接触了大乘佛教。早期传记提到一位出身莎车王族的僧人须利耶苏摩，名字有不同音译。罗什最初不能接受其关于诸法空的解释，担心这会把经验世界与佛教修行一并否定。经过反复讨论，他逐渐转向大乘，深入学习与龙树、提婆相关的中观思想。</w:t>
      </w:r>
    </w:p>
    <w:p>
      <w:r>
        <w:t>这里的“空”并不简单等于什么都不存在，而是反对把事物看成独立、固定、自足的存在。这种思想后来成为他在长安讲解、翻译佛典的重要内容。传记还说，他在此阶段受学《中论》《百论》《十二门论》等；具体书名、版本与学习次序，仍应理解为后来的传记对其学术形成过程的整理。</w:t>
      </w:r>
    </w:p>
    <w:p>
      <w:pPr>
        <w:pStyle w:val="Heading1"/>
      </w:pPr>
      <w:r>
        <w:t>四 返回龟兹 受戒 讲学 成为西域名僧</w:t>
      </w:r>
    </w:p>
    <w:p>
      <w:r>
        <w:t>罗什与母亲经温宿返回龟兹后，受到王室欢迎，开始广泛讲说大乘经典。传记记载，他二十岁时受具足戒，成为正式比丘，并从卑摩罗叉学习《十诵律》。这说明他虽然思想上转向大乘，仍在具体的部派戒律传统中受戒和生活，不能把大乘与部派佛教想成两套完全隔绝的组织。</w:t>
      </w:r>
    </w:p>
    <w:p>
      <w:r>
        <w:t>母亲后来前往天竺，罗什留在龟兹继续研读、教学。关于母亲此后的生活，材料很少；传记所写她证得不同修行果位，属于佛教内部的宗教评价，不能还原为可验证的个人履历。</w:t>
      </w:r>
    </w:p>
    <w:p>
      <w:r>
        <w:t>这一时期，罗什进一步研读般若经典，并尝试向原来的老师槃头达多讲解大乘。两部早期传记在会面地点和过程上并非完全一致：《出三藏记集》说他前往罽宾，《高僧传》则展开了老师来到龟兹的叙述。共同的核心是：传统认为他曾反过来影响自己的老师，建立起跨地区的学术声望。</w:t>
      </w:r>
    </w:p>
    <w:p>
      <w:r>
        <w:t>龟兹时期是他从学生成为讲学者的阶段，但现存材料没有留下完整的课程表、著作目录或逐年行踪。我们知道他已经闻名西域，名声也传到关中；不能据此填补出一份没有空白的青年年谱。</w:t>
      </w:r>
    </w:p>
    <w:p>
      <w:r>
        <w:t>以上早年经历主要见于</w:t>
      </w:r>
      <w:hyperlink r:id="rId10">
        <w:r>
          <w:rPr>
            <w:color w:val="24485B"/>
            <w:rFonts w:eastAsia="Noto Serif CJK SC"/>
          </w:rPr>
          <w:t>《出三藏记集》卷十四</w:t>
        </w:r>
      </w:hyperlink>
      <w:r>
        <w:t>与</w:t>
      </w:r>
      <w:hyperlink r:id="rId11">
        <w:r>
          <w:rPr>
            <w:color w:val="24485B"/>
            <w:rFonts w:eastAsia="Noto Serif CJK SC"/>
          </w:rPr>
          <w:t>《高僧传》卷二</w:t>
        </w:r>
      </w:hyperlink>
      <w:r>
        <w:t>。两书有密切的材料承袭关系，不能简单算作两份互不相关的目击证词。</w:t>
      </w:r>
    </w:p>
    <w:p>
      <w:pPr>
        <w:pStyle w:val="Heading1"/>
      </w:pPr>
      <w:r>
        <w:t>五 战争改变人生 从龟兹被带往河西</w:t>
      </w:r>
    </w:p>
    <w:p>
      <w:r>
        <w:t>罗什东行不是玄奘式的主动求法旅程，而与十六国时代的军事扩张直接相关。当时苻坚统治前秦，首都在长安，既有经营西域的政治目标，也重视佛教人才。早期传记记述，苻坚特别要求西征将领吕光获得罗什后把他送往长安。但不能因此把一场涉及土地、交通和地区控制的战争，解释成仅仅为了抢夺一名僧人。</w:t>
      </w:r>
    </w:p>
    <w:p>
      <w:r>
        <w:t>西征的部署、出发和攻陷龟兹并非同一时间，资料因此常出现382、383、384年等不同年份。较审慎的叙述是：382—384年前后，前秦组织并实施西征，吕光攻破龟兹，罗什落入其控制。关于龟兹王的结局，僧传有被杀之说，《晋书·吕光载记》则记其逃走，这也提醒我们不要把不同史料硬拼成一个毫无矛盾的故事。</w:t>
      </w:r>
    </w:p>
    <w:p>
      <w:r>
        <w:t>《高僧传》记载，吕光起初不尊重罗什，以强迫他与龟兹王女结合、灌酒关入密室以及令其骑乘难以驾驭的牲畜等方式羞辱他。此类情节有早期传记依据，却缺少当事双方留下的独立说明。可以报告“传记如此记载”，不能改写为浪漫爱情，也不宜为戏剧效果添加人物心理和细节。</w:t>
      </w:r>
    </w:p>
    <w:p>
      <w:r>
        <w:t>战争同时改变了吕光的处境。383年苻坚在淝水之战中失败，前秦随后陷入分裂；385年苻坚被姚苌杀害。吕光东返后控制凉州，后来建立后凉。罗什因此没有按原计划抵达前秦长安，也未能与苻坚、道安相见。</w:t>
      </w:r>
      <w:hyperlink r:id="rId12">
        <w:r>
          <w:rPr>
            <w:color w:val="24485B"/>
            <w:rFonts w:eastAsia="Noto Serif CJK SC"/>
          </w:rPr>
          <w:t>《晋书》卷一百二十二</w:t>
        </w:r>
      </w:hyperlink>
      <w:r>
        <w:t>与</w:t>
      </w:r>
      <w:hyperlink r:id="rId11">
        <w:r>
          <w:rPr>
            <w:color w:val="24485B"/>
            <w:rFonts w:eastAsia="Noto Serif CJK SC"/>
          </w:rPr>
          <w:t>《高僧传》卷二</w:t>
        </w:r>
      </w:hyperlink>
      <w:r/>
    </w:p>
    <w:p>
      <w:pPr>
        <w:pStyle w:val="Heading1"/>
      </w:pPr>
      <w:r>
        <w:t>六 凉州岁月 长期受制于人 而非成熟译场的主持者</w:t>
      </w:r>
    </w:p>
    <w:p>
      <w:r>
        <w:t>罗什在吕氏控制下度过了漫长岁月，活动中心是凉州姑臧，即今甘肃武威一带。通俗文章常写“被囚十七年”“十八年”或“十九年”，这些数字的起算点并不统一，有的从西征算，有的从被俘或抵达河西算。能够确定的是，他直到401年才获得东入关中的机会，人生中相当长的一段被消耗在这一政治处境里。</w:t>
      </w:r>
    </w:p>
    <w:p>
      <w:r>
        <w:t>“受控制”不必理解为始终被关在监牢中。他可能有接触僧人、参与宫廷生活和提出意见的空间，却不能自由决定去留。《高僧传》说，姚苌与姚兴曾先后求请罗什，吕氏担心其才智帮助对手，不肯放行。传记中的他常以判断政治形势、劝诫统治者的形象出现，也夹杂占验灾异的故事。政治环境可以讨论，所谓每次预言准确应验则不应当作实证。</w:t>
      </w:r>
    </w:p>
    <w:p>
      <w:r>
        <w:t>这一时期可能为他接触汉语和汉地社会提供了条件，但不能进一步断言，他已独自精通全部汉文写作。长安译经同时代的序文仍显示，他需要汉地僧人的记录、讨论与修辞协作。因此，凉州岁月既不是一片完全无所事事的空白，也不能被想象成已有成熟国家译场的阶段。</w:t>
      </w:r>
      <w:hyperlink r:id="rId11">
        <w:r>
          <w:rPr>
            <w:color w:val="24485B"/>
            <w:rFonts w:eastAsia="Noto Serif CJK SC"/>
          </w:rPr>
          <w:t>《高僧传》卷二</w:t>
        </w:r>
      </w:hyperlink>
      <w:r>
        <w:t>；有关语言能力的审慎讨论见</w:t>
      </w:r>
      <w:hyperlink r:id="rId9">
        <w:r>
          <w:rPr>
            <w:color w:val="24485B"/>
            <w:rFonts w:eastAsia="Noto Serif CJK SC"/>
          </w:rPr>
          <w:t>Felbur学术综述</w:t>
        </w:r>
      </w:hyperlink>
      <w:r>
        <w:t>。</w:t>
      </w:r>
    </w:p>
    <w:p>
      <w:pPr>
        <w:pStyle w:val="Heading1"/>
      </w:pPr>
      <w:r>
        <w:t>七 进入长安 把个人学问变成集体翻译事业</w:t>
      </w:r>
    </w:p>
    <w:p>
      <w:r>
        <w:t>401年，后秦姚兴派姚硕德进攻后凉，吕隆战败归附，罗什终于得以进入关中。《高僧传》记其抵达长安为弘始三年十二月二十日，通常归入公元401年；古代岁末日期与公历年份不能机械等同，所以部分西文学术叙述写到402年初。也不应把此事写成401年后凉已彻底灭亡。</w:t>
      </w:r>
    </w:p>
    <w:p>
      <w:r>
        <w:t>姚兴以国师之礼接待他，给予场所、人员和物资支持。逍遥园、西明阁、长安大寺等，成为译经与讲学的重要地点。罗什生命中最有连续文献记录、也最能确定实际成果的时期，由此开始。</w:t>
      </w:r>
    </w:p>
    <w:p>
      <w:r>
        <w:t>这并不是一个人独坐书房，把整部梵文经典写成汉文。以僧叡的《大品经序》为例，译场由罗什持原本讲说，姚兴参照旧译，僧众共同讨论义理和措辞，之后才记录定文。403年开始的《大品般若》翻译，还经历次年校核，并随着《大智度论》的译出继续修订。可见翻译、讲解、校订和传播是相互交织的过程。</w:t>
      </w:r>
    </w:p>
    <w:p>
      <w:r>
        <w:t>参与者包括僧叡、僧肇，以及道恒、道标等众多僧人；不同项目又有不同的协作者。传记中数百、上千的参与数字，通常包含听讲、问难和受学者，不能直接等同于全职翻译人员。罗什的独特作用在于提供原典知识、解释复杂教义并主持讨论；汉地僧人对最终文字的形成同样重要。</w:t>
      </w:r>
    </w:p>
    <w:p>
      <w:r>
        <w:t>他既重译已有经典，也介绍新的论书，逐步使般若、空、中道等思想获得更有系统的汉文表达。但旧译并非全无价值，新译也不是在现代标准下每处都毫无问题。不同底本、口头讲解、删节和编订，都可能影响今天看到的文本。</w:t>
      </w:r>
      <w:hyperlink r:id="rId13">
        <w:r>
          <w:rPr>
            <w:color w:val="24485B"/>
            <w:rFonts w:eastAsia="Noto Serif CJK SC"/>
          </w:rPr>
          <w:t>《出三藏记集》所收译经序记，台大佛学数位图书馆藏本</w:t>
        </w:r>
      </w:hyperlink>
      <w:r/>
    </w:p>
    <w:p>
      <w:pPr>
        <w:pStyle w:val="Heading1"/>
      </w:pPr>
      <w:r>
        <w:t>八 译经以外 讲学 答问 以及王权干预</w:t>
      </w:r>
    </w:p>
    <w:p>
      <w:r>
        <w:t>罗什在长安并不只承担翻译。他讲解经典，回应弟子的疑问，也与庐山慧远进行书信问答。这些问题涉及佛身、菩萨、禅定与修行等，后来保存为《大乘大义章》，又称《鸠摩罗什法师大义》。它们让我们看到，当时的僧人不是简单接受新名词，而是在努力理解这些观念之间的关系。</w:t>
      </w:r>
    </w:p>
    <w:p>
      <w:r>
        <w:t>僧肇、僧叡、道生等与他有密切学术联系，后来的思想发展因此受到影响；不过，各人有各人的学术经历，不能把他们的全部观点都归于罗什。传记还提到他为姚兴作《实相论》，但今人无法据此获得一部完整、可靠流传的原著来逐章分析。</w:t>
      </w:r>
    </w:p>
    <w:p>
      <w:r>
        <w:t>王室支持也不等于个人自由。《高僧传》称，姚兴以不愿其才智无后为由，强迫他接受十名伎女，并使他离开通常的僧人住处，另居廨舍。这一记载牵涉政治权力、性关系和僧团戒律，应以克制方式说明：这是早期僧传对强迫事件的叙述，不是可以自由增饰的宫廷秘闻；受牵涉女性的姓名、意愿和后来经历，材料基本没有保留下来。</w:t>
      </w:r>
    </w:p>
    <w:p>
      <w:r>
        <w:t>传记随后写他以泥中莲花作比，劝听众取其教法，不以其生活处境为榜样。这同时反映了传记作者需要处理的难题：如何维护一位重要译师的宗教权威，又解释其与僧侣规范不一致的生活。至于把这些记录化约为“主动还俗”“风流高僧”，都超出了材料能够稳妥支持的范围。</w:t>
      </w:r>
      <w:hyperlink r:id="rId11">
        <w:r>
          <w:rPr>
            <w:color w:val="24485B"/>
            <w:rFonts w:eastAsia="Noto Serif CJK SC"/>
          </w:rPr>
          <w:t>《高僧传》卷二</w:t>
        </w:r>
      </w:hyperlink>
      <w:r>
        <w:t>；</w:t>
      </w:r>
      <w:hyperlink r:id="rId14">
        <w:r>
          <w:rPr>
            <w:color w:val="24485B"/>
            <w:rFonts w:eastAsia="Noto Serif CJK SC"/>
          </w:rPr>
          <w:t>《鸠摩罗什法师大义》</w:t>
        </w:r>
      </w:hyperlink>
      <w:r/>
    </w:p>
    <w:p>
      <w:pPr>
        <w:pStyle w:val="Heading1"/>
      </w:pPr>
      <w:r>
        <w:t>九 最后岁月与去世 确有遗产 也确有年代疑案</w:t>
      </w:r>
    </w:p>
    <w:p>
      <w:r>
        <w:t>传记记述，罗什晚年患病，病势加重后与僧众告别，强调希望所译经论继续流传，并提及《十诵律》尚有未及整理之处。这一记载与译场的实际情况相合：《十诵律》的传译涉及弗若多罗、昙摩流支和罗什，后来又有卑摩罗叉整理，并非一人一时完成。</w:t>
      </w:r>
    </w:p>
    <w:p>
      <w:r>
        <w:t>关于死亡日期，《高僧传》正文记弘始十一年八月二十日，即409年，末尾还明确指出各书对其卒年说法不同。另一项重要材料是《广弘明集》所收、题为僧肇作的《鸠摩罗什法师诔》，其中记癸丑年、年七十、四月十三日卒于大寺。按通常解释，癸丑是413年，再按传统年龄计算上推，便得到344年前后的出生年。因此，344—413并非毫无依据，但也不能据一篇传世悼文宣布全部分歧都已解决。</w:t>
      </w:r>
    </w:p>
    <w:p>
      <w:r>
        <w:t>他的去世地点可稳妥说是在长安。传记说遗体在逍遥园火化，并讲述火化后舌头未毁的故事。前者是丧葬叙述，后者是用来证明译经可信的宗教神异叙事；“舌不坏”不能作为现代意义上已经验证的历史事实，更不能据此认定每一部题名罗什译的作品都一定出自他手。</w:t>
      </w:r>
      <w:hyperlink r:id="rId11">
        <w:r>
          <w:rPr>
            <w:color w:val="24485B"/>
            <w:rFonts w:eastAsia="Noto Serif CJK SC"/>
          </w:rPr>
          <w:t>《高僧传》卷二</w:t>
        </w:r>
      </w:hyperlink>
      <w:r>
        <w:t>；</w:t>
      </w:r>
      <w:hyperlink r:id="rId15">
        <w:r>
          <w:rPr>
            <w:color w:val="24485B"/>
            <w:rFonts w:eastAsia="Noto Serif CJK SC"/>
          </w:rPr>
          <w:t>《鸠摩罗什法师诔》</w:t>
        </w:r>
      </w:hyperlink>
      <w:r/>
    </w:p>
    <w:p>
      <w:r>
        <w:t>如果把传奇放在一旁，罗什一生的主线仍然非常清楚：他在多语言的丝路世界受教育，由部派论学进入大乘思想，成长为西域讲学者；战争和政权争夺使他长期失去迁徙自由；最终在长安，他与一大批学者把多年积累转化为持续流传的汉文经典。他最重要的历史成就，不是某一个神迹，而是参与建立了一套此后东亚佛教反复阅读、解释与实践的文本基础。</w:t>
      </w:r>
    </w:p>
    <w:p>
      <w:pPr>
        <w:pStyle w:val="Heading1"/>
      </w:pPr>
      <w:r>
        <w:t>关键年表</w:t>
      </w:r>
    </w:p>
    <w:p>
      <w:pPr>
        <w:pStyle w:val="ListBullet"/>
      </w:pPr>
      <w:r>
        <w:t>约344年或350年：出生于龟兹，生年存在争议。</w:t>
      </w:r>
    </w:p>
    <w:p>
      <w:pPr>
        <w:pStyle w:val="ListBullet"/>
      </w:pPr>
      <w:r>
        <w:t>七岁左右：据早期传记，随母出家，开始系统佛教教育。</w:t>
      </w:r>
    </w:p>
    <w:p>
      <w:pPr>
        <w:pStyle w:val="ListBullet"/>
      </w:pPr>
      <w:r>
        <w:t>九岁左右：赴罽宾，从槃头达多受学。</w:t>
      </w:r>
    </w:p>
    <w:p>
      <w:pPr>
        <w:pStyle w:val="ListBullet"/>
      </w:pPr>
      <w:r>
        <w:t>十二岁以后：返程途中在沙勒等地学习，接触须利耶苏摩，逐渐转向大乘。</w:t>
      </w:r>
    </w:p>
    <w:p>
      <w:pPr>
        <w:pStyle w:val="ListBullet"/>
      </w:pPr>
      <w:r>
        <w:t>二十岁左右：在龟兹受具足戒，从卑摩罗叉学律；此后继续研读与讲学。</w:t>
      </w:r>
    </w:p>
    <w:p>
      <w:pPr>
        <w:pStyle w:val="ListBullet"/>
      </w:pPr>
      <w:r>
        <w:t>382—384年前后：前秦筹划、实施西征；龟兹失守，罗什被吕光控制。</w:t>
      </w:r>
    </w:p>
    <w:p>
      <w:pPr>
        <w:pStyle w:val="ListBullet"/>
      </w:pPr>
      <w:r>
        <w:t>385年前后至401年：随吕光东返，长期滞留凉州及吕氏政权之下。</w:t>
      </w:r>
    </w:p>
    <w:p>
      <w:pPr>
        <w:pStyle w:val="ListBullet"/>
      </w:pPr>
      <w:r>
        <w:t>弘始三年岁末：抵达长安，通常记为401年，部分公历叙述作402年初。</w:t>
      </w:r>
    </w:p>
    <w:p>
      <w:pPr>
        <w:pStyle w:val="ListBullet"/>
      </w:pPr>
      <w:r>
        <w:t>402年以后：在后秦支持下主持译经、讲学、校订，与慧远等交流。</w:t>
      </w:r>
    </w:p>
    <w:p>
      <w:pPr>
        <w:pStyle w:val="ListBullet"/>
      </w:pPr>
      <w:r>
        <w:t>403—404年及以后：翻译并校订《大品般若》，又结合《大智度论》继续修正。</w:t>
      </w:r>
    </w:p>
    <w:p>
      <w:pPr>
        <w:pStyle w:val="ListBullet"/>
      </w:pPr>
      <w:r>
        <w:t>406年前后：译出《妙法莲华经》《维摩诘所说经》等重要经典。</w:t>
      </w:r>
    </w:p>
    <w:p>
      <w:pPr>
        <w:pStyle w:val="ListBullet"/>
      </w:pPr>
      <w:r>
        <w:t>409年或413年：卒于长安，准确年份仍有争论。</w:t>
      </w:r>
    </w:p>
    <w:p>
      <w:pPr>
        <w:pStyle w:val="Heading1"/>
      </w:pPr>
      <w:r>
        <w:t>主要译作与后世影响</w:t>
      </w:r>
    </w:p>
    <w:p>
      <w:r>
        <w:t>这里的“罗什译”主要指以他为核心完成的译传成果，不是断言每字皆由他独立写成。卷数也可能随版本分合而变化。</w:t>
      </w:r>
    </w:p>
    <w:p>
      <w:pPr>
        <w:pStyle w:val="ListBullet"/>
      </w:pPr>
      <w:r>
        <w:t>《摩诃般若波罗蜜经》，通常称《大品般若》，以及《小品般若波罗蜜经》：构成汉地理解般若思想的重要经典基础。</w:t>
      </w:r>
    </w:p>
    <w:p>
      <w:pPr>
        <w:pStyle w:val="ListBullet"/>
      </w:pPr>
      <w:r>
        <w:t>《金刚般若波罗蜜经》：罗什本成为影响极广的汉译本，长期用于读诵、讲解与修行。</w:t>
      </w:r>
    </w:p>
    <w:p>
      <w:pPr>
        <w:pStyle w:val="ListBullet"/>
      </w:pPr>
      <w:r>
        <w:t>《妙法莲华经》：其汉译对后来天台传统及东亚法华信仰具有深远影响。</w:t>
      </w:r>
    </w:p>
    <w:p>
      <w:pPr>
        <w:pStyle w:val="ListBullet"/>
      </w:pPr>
      <w:r>
        <w:t>《维摩诘所说经》：居士维摩诘与诸菩萨的问答，为佛教义学及中国文学艺术提供重要题材。</w:t>
      </w:r>
    </w:p>
    <w:p>
      <w:pPr>
        <w:pStyle w:val="ListBullet"/>
      </w:pPr>
      <w:r>
        <w:t>《佛说阿弥陀经》：后来成为汉传净土信仰的基本经典之一。</w:t>
      </w:r>
    </w:p>
    <w:p>
      <w:pPr>
        <w:pStyle w:val="ListBullet"/>
      </w:pPr>
      <w:r>
        <w:t>《中论》《百论》《十二门论》：构成后来三论学的重要文本基础。可以称罗什是关键源头，不宜说他在当时已亲自建立后世完整意义的三论宗组织。</w:t>
      </w:r>
    </w:p>
    <w:p>
      <w:pPr>
        <w:pStyle w:val="ListBullet"/>
      </w:pPr>
      <w:r>
        <w:t>《大智度论》：现存汉本一百卷，是研究般若及印度佛教的重要资料。其传统作者归属及汉译编订过程均有学术讨论，不宜写成毫无争议的逐字全译。</w:t>
      </w:r>
    </w:p>
    <w:p>
      <w:pPr>
        <w:pStyle w:val="ListBullet"/>
      </w:pPr>
      <w:r>
        <w:t>《成实论》：在南北朝义学中产生广泛影响，其思想归属不能简单与三论混为一谈。</w:t>
      </w:r>
    </w:p>
    <w:p>
      <w:pPr>
        <w:pStyle w:val="ListBullet"/>
      </w:pPr>
      <w:r>
        <w:t>《坐禅三昧经》《禅法要解》等：表明他的事业也包括修行方法的传播，而不仅是抽象哲学。</w:t>
      </w:r>
    </w:p>
    <w:p>
      <w:pPr>
        <w:pStyle w:val="ListBullet"/>
      </w:pPr>
      <w:r>
        <w:t>《十诵律》：由多位僧人参与译传、续译与整理，体现译经事业的协作性质。</w:t>
      </w:r>
    </w:p>
    <w:p>
      <w:r>
        <w:t>僧祐《出三藏记集》的相关目录列三十五部、二百九十四卷，是常被引用的早期统计。后世目录把更多作品归在罗什名下，不能把那些不同总数混为一个毫无争议的“实际完成量”。此外，他所译《首楞严三昧经》不是通常所说的十卷《楞严经》；《心经》《梵网经》等作品的罗什署名亦涉及考证，不宜未经说明纳入确定译作清单。</w:t>
      </w:r>
      <w:hyperlink r:id="rId13">
        <w:r>
          <w:rPr>
            <w:color w:val="24485B"/>
            <w:rFonts w:eastAsia="Noto Serif CJK SC"/>
          </w:rPr>
          <w:t>《出三藏记集》目录与序记</w:t>
        </w:r>
      </w:hyperlink>
      <w:r/>
    </w:p>
    <w:p>
      <w:pPr>
        <w:pStyle w:val="Heading1"/>
      </w:pPr>
      <w:r>
        <w:t>这篇传记的证据范围</w:t>
      </w:r>
    </w:p>
    <w:p>
      <w:r>
        <w:t>现存材料不足以复原他每一年的生活，也不能声称已经穷尽所有中外研究。较可靠的做法，是把不同层次的材料分开：</w:t>
      </w:r>
    </w:p>
    <w:p>
      <w:pPr>
        <w:pStyle w:val="ListNumber"/>
      </w:pPr>
      <w:r>
        <w:t>译经序、后记与目录：最适合核对译场人员、时间、文本和工作过程，其中部分内容出自亲历者。</w:t>
      </w:r>
    </w:p>
    <w:p>
      <w:pPr>
        <w:pStyle w:val="ListNumber"/>
      </w:pPr>
      <w:r>
        <w:t>《出三藏记集》卷十四、《高僧传》卷二：保存最重要的完整生平叙述，但成书晚于罗什，也具有高僧传记的宗教目的。</w:t>
      </w:r>
    </w:p>
    <w:p>
      <w:pPr>
        <w:pStyle w:val="ListNumber"/>
      </w:pPr>
      <w:r>
        <w:t>《晋书》等政治史料：可用来交叉检查战争和政权变化；它们也有自身偏见、年代问题与神异叙事。</w:t>
      </w:r>
    </w:p>
    <w:p>
      <w:pPr>
        <w:pStyle w:val="ListNumber"/>
      </w:pPr>
      <w:r>
        <w:t>悼文与后世记载：可提供卒年等线索，但须留意传抄、署名和材料之间的冲突。</w:t>
      </w:r>
    </w:p>
    <w:p>
      <w:pPr>
        <w:pStyle w:val="ListNumber"/>
      </w:pPr>
      <w:r>
        <w:t>现代学术研究：有助于重新讨论年代、语言能力与团队分工；现代作品同样需要核对，不能因为出版较晚就取代原始证据。</w:t>
      </w:r>
    </w:p>
    <w:p>
      <w:r>
        <w:t>辅助核对还参考了</w:t>
      </w:r>
      <w:hyperlink r:id="rId16">
        <w:r>
          <w:rPr>
            <w:color w:val="24485B"/>
            <w:rFonts w:eastAsia="Noto Serif CJK SC"/>
          </w:rPr>
          <w:t>香港中文大学《译丛》作者简介</w:t>
        </w:r>
      </w:hyperlink>
      <w:r>
        <w:t>。网上的</w:t>
      </w:r>
      <w:hyperlink r:id="rId17">
        <w:r>
          <w:rPr>
            <w:color w:val="24485B"/>
            <w:rFonts w:eastAsia="Noto Serif CJK SC"/>
          </w:rPr>
          <w:t>Encyclopedia of Buddhism相关页面</w:t>
        </w:r>
      </w:hyperlink>
      <w:r>
        <w:t>明确说明改编自维基百科，因此这里只把它作为寻找线索的入口，不当作独立的学术佐证。</w:t>
      </w:r>
    </w:p>
    <w:sectPr w:rsidR="00FC693F" w:rsidRPr="0006063C" w:rsidSect="00034616">
      <w:footerReference w:type="default" r:id="rId18"/>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24" w:lineRule="auto" w:after="120"/>
    </w:pPr>
    <w:rPr>
      <w:rFonts w:ascii="Noto Serif CJK SC" w:hAnsi="Noto Serif CJK SC" w:eastAsia="Noto Serif CJK S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80" w:after="160" w:line="324" w:lineRule="auto"/>
      <w:outlineLvl w:val="0"/>
    </w:pPr>
    <w:rPr>
      <w:rFonts w:asciiTheme="majorHAnsi" w:eastAsiaTheme="majorEastAsia" w:hAnsiTheme="majorHAnsi" w:cstheme="majorBidi" w:ascii="Noto Sans CJK SC" w:hAnsi="Noto Sans CJK SC" w:eastAsia="Noto Sans CJK SC"/>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80" w:after="160" w:line="324" w:lineRule="auto"/>
      <w:outlineLvl w:val="1"/>
    </w:pPr>
    <w:rPr>
      <w:rFonts w:asciiTheme="majorHAnsi" w:eastAsiaTheme="majorEastAsia" w:hAnsiTheme="majorHAnsi" w:cstheme="majorBidi" w:ascii="Noto Sans CJK SC" w:hAnsi="Noto Sans CJK SC" w:eastAsia="Noto Sans CJK SC"/>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324" w:lineRule="auto" w:before="0"/>
      <w:contextualSpacing/>
    </w:pPr>
    <w:rPr>
      <w:rFonts w:asciiTheme="majorHAnsi" w:eastAsiaTheme="majorEastAsia" w:hAnsiTheme="majorHAnsi" w:cstheme="majorBidi" w:ascii="Noto Sans CJK SC" w:hAnsi="Noto Sans CJK SC" w:eastAsia="Noto Sans CJK SC"/>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line="324" w:lineRule="auto" w:after="120"/>
    </w:pPr>
    <w:rPr>
      <w:rFonts w:asciiTheme="majorHAnsi" w:eastAsiaTheme="majorEastAsia" w:hAnsiTheme="majorHAnsi" w:cstheme="majorBidi" w:ascii="Noto Serif CJK SC" w:hAnsi="Noto Serif CJK SC" w:eastAsia="Noto Serif CJK SC"/>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324" w:lineRule="auto" w:after="120"/>
      <w:contextualSpacing/>
    </w:pPr>
    <w:rPr>
      <w:rFonts w:ascii="Noto Serif CJK SC" w:hAnsi="Noto Serif CJK SC" w:eastAsia="Noto Serif CJK SC"/>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line="324" w:lineRule="auto" w:after="120"/>
      <w:contextualSpacing/>
    </w:pPr>
    <w:rPr>
      <w:rFonts w:ascii="Noto Serif CJK SC" w:hAnsi="Noto Serif CJK SC" w:eastAsia="Noto Serif CJK SC"/>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openphilology.eu/media/pages/publications-rafal-felbur/1125482332-1625255917/2020_kumarajiva.pdf" TargetMode="External"/><Relationship Id="rId10" Type="http://schemas.openxmlformats.org/officeDocument/2006/relationships/hyperlink" Target="https://www.zggdwx.com/cszjj/14.html" TargetMode="External"/><Relationship Id="rId11" Type="http://schemas.openxmlformats.org/officeDocument/2006/relationships/hyperlink" Target="https://zh.wikisource.org/zh-hant/&#26753;&#39640;&#20711;&#20659;/&#21367;&#20108;" TargetMode="External"/><Relationship Id="rId12" Type="http://schemas.openxmlformats.org/officeDocument/2006/relationships/hyperlink" Target="https://zh.wikisource.org/zh-hant/&#26185;&#26360;/&#21367;122" TargetMode="External"/><Relationship Id="rId13" Type="http://schemas.openxmlformats.org/officeDocument/2006/relationships/hyperlink" Target="https://buddhism.lib.ntu.edu.tw/FULLTEXT/sutra/chi_pdf/sutra23/T55n2145.pdf" TargetMode="External"/><Relationship Id="rId14" Type="http://schemas.openxmlformats.org/officeDocument/2006/relationships/hyperlink" Target="https://zh.wikisource.org/zh-hant/&#40169;&#25705;&#32645;&#20160;&#27861;&#24107;&#22823;&#32681;" TargetMode="External"/><Relationship Id="rId15" Type="http://schemas.openxmlformats.org/officeDocument/2006/relationships/hyperlink" Target="https://www.shidianguji.com/ens/book/SK2136/chapter/1l9ofg7k90h7n" TargetMode="External"/><Relationship Id="rId16" Type="http://schemas.openxmlformats.org/officeDocument/2006/relationships/hyperlink" Target="https://www.cuhk.edu.hk/renditions/authors/kuma.html" TargetMode="External"/><Relationship Id="rId17" Type="http://schemas.openxmlformats.org/officeDocument/2006/relationships/hyperlink" Target="https://www.encyclopediaofbuddhism.org/wiki/Kumarajiva" TargetMode="External"/><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鸠摩罗什的一生</dc:title>
  <dc:subject>从出生求学到长安译经与去世的史实导向传记</dc:subject>
  <dc:creator>Research compilation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