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B3A5C"/>
          <w:sz w:val="28"/>
          <w:szCs w:val="28"/>
        </w:rPr>
        <w:t xml:space="preserve">CONFIDENTIALITY AND</w:t>
      </w:r>
    </w:p>
    <w:p>
      <w:pPr>
        <w:spacing w:after="300"/>
        <w:jc w:val="center"/>
      </w:pPr>
      <w:r>
        <w:rPr>
          <w:rFonts w:ascii="Arial" w:cs="Arial" w:eastAsia="Arial" w:hAnsi="Arial"/>
          <w:b/>
          <w:bCs/>
          <w:color w:val="1B3A5C"/>
          <w:sz w:val="28"/>
          <w:szCs w:val="28"/>
        </w:rPr>
        <w:t xml:space="preserve">INTELLECTUAL PROPERTY PROTECTION AGREEMENT</w:t>
      </w:r>
    </w:p>
    <w:p>
      <w:pPr>
        <w:spacing w:after="200"/>
      </w:pPr>
      <w:r>
        <w:rPr>
          <w:rFonts w:ascii="Arial" w:cs="Arial" w:eastAsia="Arial" w:hAnsi="Arial"/>
          <w:b/>
          <w:bCs/>
          <w:sz w:val="20"/>
          <w:szCs w:val="20"/>
        </w:rPr>
        <w:t xml:space="preserve">Effective Date: </w:t>
      </w:r>
      <w:r>
        <w:rPr>
          <w:rFonts w:ascii="Arial" w:cs="Arial" w:eastAsia="Arial" w:hAnsi="Arial"/>
          <w:color w:val="999999"/>
          <w:sz w:val="20"/>
          <w:szCs w:val="20"/>
        </w:rPr>
        <w:t xml:space="preserve">_______________</w:t>
      </w:r>
    </w:p>
    <w:p>
      <w:pPr>
        <w:spacing w:after="120"/>
      </w:pPr>
      <w:r>
        <w:rPr>
          <w:rFonts w:ascii="Arial" w:cs="Arial" w:eastAsia="Arial" w:hAnsi="Arial"/>
          <w:b/>
          <w:bCs/>
          <w:sz w:val="20"/>
          <w:szCs w:val="20"/>
        </w:rPr>
        <w:t xml:space="preserve">Between:</w:t>
      </w:r>
    </w:p>
    <w:p>
      <w:pPr>
        <w:spacing w:after="120"/>
      </w:pPr>
      <w:r>
        <w:rPr>
          <w:rFonts w:ascii="Arial" w:cs="Arial" w:eastAsia="Arial" w:hAnsi="Arial"/>
          <w:b/>
          <w:bCs/>
          <w:sz w:val="20"/>
          <w:szCs w:val="20"/>
        </w:rPr>
        <w:t xml:space="preserve">Agentic World, LLC</w:t>
      </w:r>
      <w:r>
        <w:rPr>
          <w:rFonts w:ascii="Arial" w:cs="Arial" w:eastAsia="Arial" w:hAnsi="Arial"/>
          <w:sz w:val="20"/>
          <w:szCs w:val="20"/>
        </w:rPr>
        <w:t xml:space="preserve"> ("Provider"), a Delaware limited liability company with its registered address at 1111B S Governors Ave, STE 29991, Dover, DE 19904</w:t>
      </w:r>
    </w:p>
    <w:p>
      <w:pPr>
        <w:spacing w:after="120"/>
        <w:jc w:val="center"/>
      </w:pPr>
      <w:r>
        <w:rPr>
          <w:rFonts w:ascii="Arial" w:cs="Arial" w:eastAsia="Arial" w:hAnsi="Arial"/>
          <w:i/>
          <w:iCs/>
          <w:sz w:val="20"/>
          <w:szCs w:val="20"/>
        </w:rPr>
        <w:t xml:space="preserve">and</w:t>
      </w:r>
    </w:p>
    <w:p>
      <w:pPr>
        <w:spacing w:after="120"/>
      </w:pPr>
      <w:r>
        <w:rPr>
          <w:rFonts w:ascii="Arial" w:cs="Arial" w:eastAsia="Arial" w:hAnsi="Arial"/>
          <w:b/>
          <w:bCs/>
          <w:color w:val="999999"/>
          <w:sz w:val="20"/>
          <w:szCs w:val="20"/>
        </w:rPr>
        <w:t xml:space="preserve">_______________________</w:t>
      </w:r>
      <w:r>
        <w:rPr>
          <w:rFonts w:ascii="Arial" w:cs="Arial" w:eastAsia="Arial" w:hAnsi="Arial"/>
          <w:sz w:val="20"/>
          <w:szCs w:val="20"/>
        </w:rPr>
        <w:t xml:space="preserve"> ("Client"), a _____________ [entity type] organized under the laws of _____________ [state], with its principal place of business at _____________</w:t>
      </w:r>
    </w:p>
    <w:p>
      <w:pPr>
        <w:spacing w:after="200"/>
      </w:pPr>
      <w:r>
        <w:rPr>
          <w:rFonts w:ascii="Arial" w:cs="Arial" w:eastAsia="Arial" w:hAnsi="Arial"/>
          <w:sz w:val="20"/>
          <w:szCs w:val="20"/>
        </w:rPr>
        <w:t xml:space="preserve">Provider and Client are each referred to as a "Party" and collectively as the "Parties."</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RECITALS</w:t>
      </w:r>
    </w:p>
    <w:p>
      <w:pPr>
        <w:spacing w:after="120"/>
      </w:pPr>
      <w:r>
        <w:rPr>
          <w:rFonts w:ascii="Arial" w:cs="Arial" w:eastAsia="Arial" w:hAnsi="Arial"/>
          <w:b/>
          <w:bCs/>
          <w:sz w:val="20"/>
          <w:szCs w:val="20"/>
        </w:rPr>
        <w:t xml:space="preserve">WHEREAS</w:t>
      </w:r>
      <w:r>
        <w:rPr>
          <w:rFonts w:ascii="Arial" w:cs="Arial" w:eastAsia="Arial" w:hAnsi="Arial"/>
          <w:sz w:val="20"/>
          <w:szCs w:val="20"/>
        </w:rPr>
        <w:t xml:space="preserve">, Client has developed proprietary processes, methodologies, and workflows related to Generative Engine Optimization ("GEO"), AI-driven SEO, earned media strategies, and related digital marketing operations (collectively, the "Client IP");</w:t>
      </w:r>
    </w:p>
    <w:p>
      <w:pPr>
        <w:spacing w:after="120"/>
      </w:pPr>
      <w:r>
        <w:rPr>
          <w:rFonts w:ascii="Arial" w:cs="Arial" w:eastAsia="Arial" w:hAnsi="Arial"/>
          <w:b/>
          <w:bCs/>
          <w:sz w:val="20"/>
          <w:szCs w:val="20"/>
        </w:rPr>
        <w:t xml:space="preserve">WHEREAS</w:t>
      </w:r>
      <w:r>
        <w:rPr>
          <w:rFonts w:ascii="Arial" w:cs="Arial" w:eastAsia="Arial" w:hAnsi="Arial"/>
          <w:sz w:val="20"/>
          <w:szCs w:val="20"/>
        </w:rPr>
        <w:t xml:space="preserve">, Provider operates a platform marketed as "Agentberlin" (the "Platform") that enables the construction, management, and execution of AI-powered agents and workflows;</w:t>
      </w:r>
    </w:p>
    <w:p>
      <w:pPr>
        <w:spacing w:after="120"/>
      </w:pPr>
      <w:r>
        <w:rPr>
          <w:rFonts w:ascii="Arial" w:cs="Arial" w:eastAsia="Arial" w:hAnsi="Arial"/>
          <w:b/>
          <w:bCs/>
          <w:sz w:val="20"/>
          <w:szCs w:val="20"/>
        </w:rPr>
        <w:t xml:space="preserve">WHEREAS</w:t>
      </w:r>
      <w:r>
        <w:rPr>
          <w:rFonts w:ascii="Arial" w:cs="Arial" w:eastAsia="Arial" w:hAnsi="Arial"/>
          <w:sz w:val="20"/>
          <w:szCs w:val="20"/>
        </w:rPr>
        <w:t xml:space="preserve">, Client wishes to engage Provider to assist in building, configuring, and operating AI agents and workflows on the Platform using Client IP; and</w:t>
      </w:r>
    </w:p>
    <w:p>
      <w:pPr>
        <w:spacing w:after="120"/>
      </w:pPr>
      <w:r>
        <w:rPr>
          <w:rFonts w:ascii="Arial" w:cs="Arial" w:eastAsia="Arial" w:hAnsi="Arial"/>
          <w:b/>
          <w:bCs/>
          <w:sz w:val="20"/>
          <w:szCs w:val="20"/>
        </w:rPr>
        <w:t xml:space="preserve">WHEREAS</w:t>
      </w:r>
      <w:r>
        <w:rPr>
          <w:rFonts w:ascii="Arial" w:cs="Arial" w:eastAsia="Arial" w:hAnsi="Arial"/>
          <w:sz w:val="20"/>
          <w:szCs w:val="20"/>
        </w:rPr>
        <w:t xml:space="preserve">, the Parties wish to establish clear terms regarding the ownership, protection, and portability of Client IP in connection with this engagement;</w:t>
      </w:r>
    </w:p>
    <w:p>
      <w:pPr>
        <w:spacing w:after="200"/>
      </w:pPr>
      <w:r>
        <w:rPr>
          <w:rFonts w:ascii="Arial" w:cs="Arial" w:eastAsia="Arial" w:hAnsi="Arial"/>
          <w:b/>
          <w:bCs/>
          <w:sz w:val="20"/>
          <w:szCs w:val="20"/>
        </w:rPr>
        <w:t xml:space="preserve">NOW, THEREFORE</w:t>
      </w:r>
      <w:r>
        <w:rPr>
          <w:rFonts w:ascii="Arial" w:cs="Arial" w:eastAsia="Arial" w:hAnsi="Arial"/>
          <w:sz w:val="20"/>
          <w:szCs w:val="20"/>
        </w:rPr>
        <w:t xml:space="preserve">, in consideration of the mutual promises contained herein and for other good and valuable consideration, the receipt and sufficiency of which are hereby acknowledged, the Parties agree as follows:</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1. DEFINITIONS</w:t>
      </w:r>
    </w:p>
    <w:p>
      <w:pPr>
        <w:spacing w:after="100" w:before="200"/>
      </w:pPr>
      <w:r>
        <w:rPr>
          <w:rFonts w:ascii="Arial" w:cs="Arial" w:eastAsia="Arial" w:hAnsi="Arial"/>
          <w:b/>
          <w:bCs/>
          <w:sz w:val="20"/>
          <w:szCs w:val="20"/>
        </w:rPr>
        <w:t xml:space="preserve">1.1 </w:t>
      </w:r>
      <w:r>
        <w:rPr>
          <w:rFonts w:ascii="Arial" w:cs="Arial" w:eastAsia="Arial" w:hAnsi="Arial"/>
          <w:b/>
          <w:bCs/>
          <w:sz w:val="20"/>
          <w:szCs w:val="20"/>
        </w:rPr>
        <w:t xml:space="preserve">"Client IP"</w:t>
      </w:r>
    </w:p>
    <w:p>
      <w:pPr>
        <w:spacing w:after="120"/>
      </w:pPr>
      <w:r>
        <w:rPr>
          <w:rFonts w:ascii="Arial" w:cs="Arial" w:eastAsia="Arial" w:hAnsi="Arial"/>
          <w:sz w:val="20"/>
          <w:szCs w:val="20"/>
        </w:rPr>
        <w:t xml:space="preserve">means all proprietary information, processes, methodologies, frameworks, and work product originated by or on behalf of Client, including but not limited to: questionnaires, persona matrices, prioritization matrices, multi-stage research workflows, prompt sequences, scoring models, decision logic, process documentation, and any other materials that embody Client’s unique approach to GEO, AI SEO, earned media, or related operations.</w:t>
      </w:r>
    </w:p>
    <w:p>
      <w:pPr>
        <w:spacing w:after="100" w:before="200"/>
      </w:pPr>
      <w:r>
        <w:rPr>
          <w:rFonts w:ascii="Arial" w:cs="Arial" w:eastAsia="Arial" w:hAnsi="Arial"/>
          <w:b/>
          <w:bCs/>
          <w:sz w:val="20"/>
          <w:szCs w:val="20"/>
        </w:rPr>
        <w:t xml:space="preserve">1.2 </w:t>
      </w:r>
      <w:r>
        <w:rPr>
          <w:rFonts w:ascii="Arial" w:cs="Arial" w:eastAsia="Arial" w:hAnsi="Arial"/>
          <w:b/>
          <w:bCs/>
          <w:sz w:val="20"/>
          <w:szCs w:val="20"/>
        </w:rPr>
        <w:t xml:space="preserve">"Confidential Information"</w:t>
      </w:r>
    </w:p>
    <w:p>
      <w:pPr>
        <w:spacing w:after="120"/>
      </w:pPr>
      <w:r>
        <w:rPr>
          <w:rFonts w:ascii="Arial" w:cs="Arial" w:eastAsia="Arial" w:hAnsi="Arial"/>
          <w:sz w:val="20"/>
          <w:szCs w:val="20"/>
        </w:rPr>
        <w:t xml:space="preserve">means any non-public information disclosed by Client to Provider in connection with this engagement, whether disclosed orally, in writing, electronically, or by any other means. Confidential Information includes, without limitation, Client IP, client lists, business strategies, pricing models, financial data, and any information that a reasonable person would understand to be confidential given the nature of the information and the circumstances of disclosure.</w:t>
      </w:r>
    </w:p>
    <w:p>
      <w:pPr>
        <w:spacing w:after="100" w:before="200"/>
      </w:pPr>
      <w:r>
        <w:rPr>
          <w:rFonts w:ascii="Arial" w:cs="Arial" w:eastAsia="Arial" w:hAnsi="Arial"/>
          <w:b/>
          <w:bCs/>
          <w:sz w:val="20"/>
          <w:szCs w:val="20"/>
        </w:rPr>
        <w:t xml:space="preserve">1.3 </w:t>
      </w:r>
      <w:r>
        <w:rPr>
          <w:rFonts w:ascii="Arial" w:cs="Arial" w:eastAsia="Arial" w:hAnsi="Arial"/>
          <w:b/>
          <w:bCs/>
          <w:sz w:val="20"/>
          <w:szCs w:val="20"/>
        </w:rPr>
        <w:t xml:space="preserve">"Workflow Artifacts"</w:t>
      </w:r>
    </w:p>
    <w:p>
      <w:pPr>
        <w:spacing w:after="120"/>
      </w:pPr>
      <w:r>
        <w:rPr>
          <w:rFonts w:ascii="Arial" w:cs="Arial" w:eastAsia="Arial" w:hAnsi="Arial"/>
          <w:sz w:val="20"/>
          <w:szCs w:val="20"/>
        </w:rPr>
        <w:t xml:space="preserve">means the downloadable files, folders, agent configurations, prompt files, instruction sets, and any other tangible outputs produced on or through the Platform in connection with the engagement, to the extent they embody or derive from Client IP.</w:t>
      </w:r>
    </w:p>
    <w:p>
      <w:pPr>
        <w:spacing w:after="100" w:before="200"/>
      </w:pPr>
      <w:r>
        <w:rPr>
          <w:rFonts w:ascii="Arial" w:cs="Arial" w:eastAsia="Arial" w:hAnsi="Arial"/>
          <w:b/>
          <w:bCs/>
          <w:sz w:val="20"/>
          <w:szCs w:val="20"/>
        </w:rPr>
        <w:t xml:space="preserve">1.4 </w:t>
      </w:r>
      <w:r>
        <w:rPr>
          <w:rFonts w:ascii="Arial" w:cs="Arial" w:eastAsia="Arial" w:hAnsi="Arial"/>
          <w:b/>
          <w:bCs/>
          <w:sz w:val="20"/>
          <w:szCs w:val="20"/>
        </w:rPr>
        <w:t xml:space="preserve">"Platform Infrastructure"</w:t>
      </w:r>
    </w:p>
    <w:p>
      <w:pPr>
        <w:spacing w:after="120"/>
      </w:pPr>
      <w:r>
        <w:rPr>
          <w:rFonts w:ascii="Arial" w:cs="Arial" w:eastAsia="Arial" w:hAnsi="Arial"/>
          <w:sz w:val="20"/>
          <w:szCs w:val="20"/>
        </w:rPr>
        <w:t xml:space="preserve">means Provider’s proprietary technology, including but not limited to: remote execution environments, scheduling systems, data source connectors (e.g., GA4, GSC, SEMrush, CMS integrations), compute management, uptime and reliability systems, and the Platform’s user interface and agent-building tools.</w:t>
      </w:r>
    </w:p>
    <w:p>
      <w:pPr>
        <w:spacing w:after="100" w:before="200"/>
      </w:pPr>
      <w:r>
        <w:rPr>
          <w:rFonts w:ascii="Arial" w:cs="Arial" w:eastAsia="Arial" w:hAnsi="Arial"/>
          <w:b/>
          <w:bCs/>
          <w:sz w:val="20"/>
          <w:szCs w:val="20"/>
        </w:rPr>
        <w:t xml:space="preserve">1.5 </w:t>
      </w:r>
      <w:r>
        <w:rPr>
          <w:rFonts w:ascii="Arial" w:cs="Arial" w:eastAsia="Arial" w:hAnsi="Arial"/>
          <w:b/>
          <w:bCs/>
          <w:sz w:val="20"/>
          <w:szCs w:val="20"/>
        </w:rPr>
        <w:t xml:space="preserve">"Provider Strategies"</w:t>
      </w:r>
    </w:p>
    <w:p>
      <w:pPr>
        <w:spacing w:after="120"/>
      </w:pPr>
      <w:r>
        <w:rPr>
          <w:rFonts w:ascii="Arial" w:cs="Arial" w:eastAsia="Arial" w:hAnsi="Arial"/>
          <w:sz w:val="20"/>
          <w:szCs w:val="20"/>
        </w:rPr>
        <w:t xml:space="preserve">means Provider’s proprietary methodologies, strategies, prompt templates, guidance frameworks, best practices, and know-how related to the construction and optimization of AI agents, workflows, and marketing operations. Provider Strategies are developed independently by Provider and are continuously evolved over time, with their history of development maintained in Provider’s version control systems.</w:t>
      </w:r>
    </w:p>
    <w:p>
      <w:pPr>
        <w:spacing w:after="100" w:before="200"/>
      </w:pPr>
      <w:r>
        <w:rPr>
          <w:rFonts w:ascii="Arial" w:cs="Arial" w:eastAsia="Arial" w:hAnsi="Arial"/>
          <w:b/>
          <w:bCs/>
          <w:sz w:val="20"/>
          <w:szCs w:val="20"/>
        </w:rPr>
        <w:t xml:space="preserve">1.6 </w:t>
      </w:r>
      <w:r>
        <w:rPr>
          <w:rFonts w:ascii="Arial" w:cs="Arial" w:eastAsia="Arial" w:hAnsi="Arial"/>
          <w:b/>
          <w:bCs/>
          <w:sz w:val="20"/>
          <w:szCs w:val="20"/>
        </w:rPr>
        <w:t xml:space="preserve">"Derivative Work"</w:t>
      </w:r>
    </w:p>
    <w:p>
      <w:pPr>
        <w:spacing w:after="120"/>
      </w:pPr>
      <w:r>
        <w:rPr>
          <w:rFonts w:ascii="Arial" w:cs="Arial" w:eastAsia="Arial" w:hAnsi="Arial"/>
          <w:sz w:val="20"/>
          <w:szCs w:val="20"/>
        </w:rPr>
        <w:t xml:space="preserve">means any workflow, agent, configuration, or process created by or for Client during the engagement that incorporates, adapts, or builds upon Provider Strategies in combination with Client IP.</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2. OWNERSHIP OF INTELLECTUAL PROPERTY</w:t>
      </w:r>
    </w:p>
    <w:p>
      <w:pPr>
        <w:spacing w:after="100" w:before="200"/>
      </w:pPr>
      <w:r>
        <w:rPr>
          <w:rFonts w:ascii="Arial" w:cs="Arial" w:eastAsia="Arial" w:hAnsi="Arial"/>
          <w:b/>
          <w:bCs/>
          <w:sz w:val="20"/>
          <w:szCs w:val="20"/>
        </w:rPr>
        <w:t xml:space="preserve">2.1 </w:t>
      </w:r>
      <w:r>
        <w:rPr>
          <w:rFonts w:ascii="Arial" w:cs="Arial" w:eastAsia="Arial" w:hAnsi="Arial"/>
          <w:b/>
          <w:bCs/>
          <w:sz w:val="20"/>
          <w:szCs w:val="20"/>
        </w:rPr>
        <w:t xml:space="preserve">Client Retains All Rights to Client IP.</w:t>
      </w:r>
    </w:p>
    <w:p>
      <w:pPr>
        <w:spacing w:after="120"/>
      </w:pPr>
      <w:r>
        <w:rPr>
          <w:rFonts w:ascii="Arial" w:cs="Arial" w:eastAsia="Arial" w:hAnsi="Arial"/>
          <w:sz w:val="20"/>
          <w:szCs w:val="20"/>
        </w:rPr>
        <w:t xml:space="preserve">All Client IP is and shall remain the sole and exclusive property of Client. Nothing in this Agreement or in the course of the engagement shall be construed as transferring, assigning, or licensing any ownership interest in Client IP to Provider.</w:t>
      </w:r>
    </w:p>
    <w:p>
      <w:pPr>
        <w:spacing w:after="100" w:before="200"/>
      </w:pPr>
      <w:r>
        <w:rPr>
          <w:rFonts w:ascii="Arial" w:cs="Arial" w:eastAsia="Arial" w:hAnsi="Arial"/>
          <w:b/>
          <w:bCs/>
          <w:sz w:val="20"/>
          <w:szCs w:val="20"/>
        </w:rPr>
        <w:t xml:space="preserve">2.2 </w:t>
      </w:r>
      <w:r>
        <w:rPr>
          <w:rFonts w:ascii="Arial" w:cs="Arial" w:eastAsia="Arial" w:hAnsi="Arial"/>
          <w:b/>
          <w:bCs/>
          <w:sz w:val="20"/>
          <w:szCs w:val="20"/>
        </w:rPr>
        <w:t xml:space="preserve">Workflow Artifacts Belong to Client.</w:t>
      </w:r>
    </w:p>
    <w:p>
      <w:pPr>
        <w:spacing w:after="120"/>
      </w:pPr>
      <w:r>
        <w:rPr>
          <w:rFonts w:ascii="Arial" w:cs="Arial" w:eastAsia="Arial" w:hAnsi="Arial"/>
          <w:sz w:val="20"/>
          <w:szCs w:val="20"/>
        </w:rPr>
        <w:t xml:space="preserve">All Workflow Artifacts created during the engagement, to the extent they embody or are derived from Client IP, are the property of Client. Provider hereby assigns to Client all right, title, and interest in such Workflow Artifacts.</w:t>
      </w:r>
    </w:p>
    <w:p>
      <w:pPr>
        <w:spacing w:after="100" w:before="200"/>
      </w:pPr>
      <w:r>
        <w:rPr>
          <w:rFonts w:ascii="Arial" w:cs="Arial" w:eastAsia="Arial" w:hAnsi="Arial"/>
          <w:b/>
          <w:bCs/>
          <w:sz w:val="20"/>
          <w:szCs w:val="20"/>
        </w:rPr>
        <w:t xml:space="preserve">2.3 </w:t>
      </w:r>
      <w:r>
        <w:rPr>
          <w:rFonts w:ascii="Arial" w:cs="Arial" w:eastAsia="Arial" w:hAnsi="Arial"/>
          <w:b/>
          <w:bCs/>
          <w:sz w:val="20"/>
          <w:szCs w:val="20"/>
        </w:rPr>
        <w:t xml:space="preserve">Platform Infrastructure Belongs to Provider.</w:t>
      </w:r>
    </w:p>
    <w:p>
      <w:pPr>
        <w:spacing w:after="120"/>
      </w:pPr>
      <w:r>
        <w:rPr>
          <w:rFonts w:ascii="Arial" w:cs="Arial" w:eastAsia="Arial" w:hAnsi="Arial"/>
          <w:sz w:val="20"/>
          <w:szCs w:val="20"/>
        </w:rPr>
        <w:t xml:space="preserve">Client acknowledges that the Platform Infrastructure is and shall remain the sole property of Provider. Nothing in this Agreement grants Client any ownership interest in the Platform Infrastructure.</w:t>
      </w:r>
    </w:p>
    <w:p>
      <w:pPr>
        <w:spacing w:after="100" w:before="200"/>
      </w:pPr>
      <w:r>
        <w:rPr>
          <w:rFonts w:ascii="Arial" w:cs="Arial" w:eastAsia="Arial" w:hAnsi="Arial"/>
          <w:b/>
          <w:bCs/>
          <w:sz w:val="20"/>
          <w:szCs w:val="20"/>
        </w:rPr>
        <w:t xml:space="preserve">2.4 </w:t>
      </w:r>
      <w:r>
        <w:rPr>
          <w:rFonts w:ascii="Arial" w:cs="Arial" w:eastAsia="Arial" w:hAnsi="Arial"/>
          <w:b/>
          <w:bCs/>
          <w:sz w:val="20"/>
          <w:szCs w:val="20"/>
        </w:rPr>
        <w:t xml:space="preserve">Provider Strategies Belong to Provider.</w:t>
      </w:r>
    </w:p>
    <w:p>
      <w:pPr>
        <w:spacing w:after="120"/>
      </w:pPr>
      <w:r>
        <w:rPr>
          <w:rFonts w:ascii="Arial" w:cs="Arial" w:eastAsia="Arial" w:hAnsi="Arial"/>
          <w:sz w:val="20"/>
          <w:szCs w:val="20"/>
        </w:rPr>
        <w:t xml:space="preserve">All Provider Strategies are and shall remain the sole and exclusive property of Provider. Provider retains the unrestricted right to use, modify, license, and distribute Provider Strategies in connection with any current or future engagement, product, or service. Client shall not claim ownership of, or seek to restrict Provider’s use of, any Provider Strategies or any portion thereof.</w:t>
      </w:r>
    </w:p>
    <w:p>
      <w:pPr>
        <w:spacing w:after="100" w:before="200"/>
      </w:pPr>
      <w:r>
        <w:rPr>
          <w:rFonts w:ascii="Arial" w:cs="Arial" w:eastAsia="Arial" w:hAnsi="Arial"/>
          <w:b/>
          <w:bCs/>
          <w:sz w:val="20"/>
          <w:szCs w:val="20"/>
        </w:rPr>
        <w:t xml:space="preserve">2.5 </w:t>
      </w:r>
      <w:r>
        <w:rPr>
          <w:rFonts w:ascii="Arial" w:cs="Arial" w:eastAsia="Arial" w:hAnsi="Arial"/>
          <w:b/>
          <w:bCs/>
          <w:sz w:val="20"/>
          <w:szCs w:val="20"/>
        </w:rPr>
        <w:t xml:space="preserve">Derivative Works.</w:t>
      </w:r>
    </w:p>
    <w:p>
      <w:pPr>
        <w:spacing w:after="120"/>
      </w:pPr>
      <w:r>
        <w:rPr>
          <w:rFonts w:ascii="Arial" w:cs="Arial" w:eastAsia="Arial" w:hAnsi="Arial"/>
          <w:sz w:val="20"/>
          <w:szCs w:val="20"/>
        </w:rPr>
        <w:t xml:space="preserve">Where Workflow Artifacts constitute Derivative Works (i.e., they incorporate both Client IP and Provider Strategies):</w:t>
      </w:r>
    </w:p>
    <w:p>
      <w:pPr>
        <w:spacing w:after="100"/>
        <w:ind w:left="720"/>
      </w:pPr>
      <w:r>
        <w:rPr>
          <w:rFonts w:ascii="Arial" w:cs="Arial" w:eastAsia="Arial" w:hAnsi="Arial"/>
          <w:sz w:val="20"/>
          <w:szCs w:val="20"/>
        </w:rPr>
        <w:t xml:space="preserve">(a) </w:t>
      </w:r>
      <w:r>
        <w:rPr>
          <w:rFonts w:ascii="Arial" w:cs="Arial" w:eastAsia="Arial" w:hAnsi="Arial"/>
          <w:sz w:val="20"/>
          <w:szCs w:val="20"/>
        </w:rPr>
        <w:t xml:space="preserve">Client shall have a perpetual, non-exclusive, royalty-free right to use, modify, and operate such Derivative Works for Client’s own business purposes, including the right to export and run them independently of the Platform;</w:t>
      </w:r>
    </w:p>
    <w:p>
      <w:pPr>
        <w:spacing w:after="100"/>
        <w:ind w:left="720"/>
      </w:pPr>
      <w:r>
        <w:rPr>
          <w:rFonts w:ascii="Arial" w:cs="Arial" w:eastAsia="Arial" w:hAnsi="Arial"/>
          <w:sz w:val="20"/>
          <w:szCs w:val="20"/>
        </w:rPr>
        <w:t xml:space="preserve">(b) </w:t>
      </w:r>
      <w:r>
        <w:rPr>
          <w:rFonts w:ascii="Arial" w:cs="Arial" w:eastAsia="Arial" w:hAnsi="Arial"/>
          <w:sz w:val="20"/>
          <w:szCs w:val="20"/>
        </w:rPr>
        <w:t xml:space="preserve">Provider shall retain all rights in the underlying Provider Strategies embodied in such Derivative Works, including the right to use those same strategies, techniques, and approaches in work for other clients or in Provider’s own products; and</w:t>
      </w:r>
    </w:p>
    <w:p>
      <w:pPr>
        <w:spacing w:after="100"/>
        <w:ind w:left="720"/>
      </w:pPr>
      <w:r>
        <w:rPr>
          <w:rFonts w:ascii="Arial" w:cs="Arial" w:eastAsia="Arial" w:hAnsi="Arial"/>
          <w:sz w:val="20"/>
          <w:szCs w:val="20"/>
        </w:rPr>
        <w:t xml:space="preserve">(c) </w:t>
      </w:r>
      <w:r>
        <w:rPr>
          <w:rFonts w:ascii="Arial" w:cs="Arial" w:eastAsia="Arial" w:hAnsi="Arial"/>
          <w:sz w:val="20"/>
          <w:szCs w:val="20"/>
        </w:rPr>
        <w:t xml:space="preserve">For the avoidance of doubt, Client’s rights under subsection (a) do not include the right to extract the Provider Strategies from a Derivative Work and assert ownership over them, prevent Provider from using them, or license them to third parties as Client’s own intellectual property.</w:t>
      </w:r>
    </w:p>
    <w:p>
      <w:pPr>
        <w:spacing w:after="100" w:before="200"/>
      </w:pPr>
      <w:r>
        <w:rPr>
          <w:rFonts w:ascii="Arial" w:cs="Arial" w:eastAsia="Arial" w:hAnsi="Arial"/>
          <w:b/>
          <w:bCs/>
          <w:sz w:val="20"/>
          <w:szCs w:val="20"/>
        </w:rPr>
        <w:t xml:space="preserve">2.6 </w:t>
      </w:r>
      <w:r>
        <w:rPr>
          <w:rFonts w:ascii="Arial" w:cs="Arial" w:eastAsia="Arial" w:hAnsi="Arial"/>
          <w:b/>
          <w:bCs/>
          <w:sz w:val="20"/>
          <w:szCs w:val="20"/>
        </w:rPr>
        <w:t xml:space="preserve">Provenance.</w:t>
      </w:r>
    </w:p>
    <w:p>
      <w:pPr>
        <w:spacing w:after="120"/>
      </w:pPr>
      <w:r>
        <w:rPr>
          <w:rFonts w:ascii="Arial" w:cs="Arial" w:eastAsia="Arial" w:hAnsi="Arial"/>
          <w:sz w:val="20"/>
          <w:szCs w:val="20"/>
        </w:rPr>
        <w:t xml:space="preserve">Provider maintains a version-controlled history of Provider Strategies in its source code repositories. In the event of any dispute regarding the origin or ownership of strategies, methodologies, or approaches, the Parties agree that Provider’s version control records (including Git commit history and timestamps) shall be admissible as evidence of prior development and authorship.</w:t>
      </w:r>
    </w:p>
    <w:p>
      <w:pPr>
        <w:spacing w:after="100" w:before="200"/>
      </w:pPr>
      <w:r>
        <w:rPr>
          <w:rFonts w:ascii="Arial" w:cs="Arial" w:eastAsia="Arial" w:hAnsi="Arial"/>
          <w:b/>
          <w:bCs/>
          <w:sz w:val="20"/>
          <w:szCs w:val="20"/>
        </w:rPr>
        <w:t xml:space="preserve">2.7 </w:t>
      </w:r>
      <w:r>
        <w:rPr>
          <w:rFonts w:ascii="Arial" w:cs="Arial" w:eastAsia="Arial" w:hAnsi="Arial"/>
          <w:b/>
          <w:bCs/>
          <w:sz w:val="20"/>
          <w:szCs w:val="20"/>
        </w:rPr>
        <w:t xml:space="preserve">No Implied Licenses.</w:t>
      </w:r>
    </w:p>
    <w:p>
      <w:pPr>
        <w:spacing w:after="120"/>
      </w:pPr>
      <w:r>
        <w:rPr>
          <w:rFonts w:ascii="Arial" w:cs="Arial" w:eastAsia="Arial" w:hAnsi="Arial"/>
          <w:sz w:val="20"/>
          <w:szCs w:val="20"/>
        </w:rPr>
        <w:t xml:space="preserve">Except as expressly set forth herein, neither Party grants the other any license, implied or otherwise, to any intellectual property.</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3. CONFIDENTIALITY OBLIGATIONS</w:t>
      </w:r>
    </w:p>
    <w:p>
      <w:pPr>
        <w:spacing w:after="100" w:before="200"/>
      </w:pPr>
      <w:r>
        <w:rPr>
          <w:rFonts w:ascii="Arial" w:cs="Arial" w:eastAsia="Arial" w:hAnsi="Arial"/>
          <w:b/>
          <w:bCs/>
          <w:sz w:val="20"/>
          <w:szCs w:val="20"/>
        </w:rPr>
        <w:t xml:space="preserve">3.1 </w:t>
      </w:r>
      <w:r>
        <w:rPr>
          <w:rFonts w:ascii="Arial" w:cs="Arial" w:eastAsia="Arial" w:hAnsi="Arial"/>
          <w:b/>
          <w:bCs/>
          <w:sz w:val="20"/>
          <w:szCs w:val="20"/>
        </w:rPr>
        <w:t xml:space="preserve">Non-Disclosure.</w:t>
      </w:r>
    </w:p>
    <w:p>
      <w:pPr>
        <w:spacing w:after="120"/>
      </w:pPr>
      <w:r>
        <w:rPr>
          <w:rFonts w:ascii="Arial" w:cs="Arial" w:eastAsia="Arial" w:hAnsi="Arial"/>
          <w:sz w:val="20"/>
          <w:szCs w:val="20"/>
        </w:rPr>
        <w:t xml:space="preserve">Provider shall not disclose, publish, or disseminate Client’s Confidential Information to any third party without the prior written consent of Client.</w:t>
      </w:r>
    </w:p>
    <w:p>
      <w:pPr>
        <w:spacing w:after="100" w:before="200"/>
      </w:pPr>
      <w:r>
        <w:rPr>
          <w:rFonts w:ascii="Arial" w:cs="Arial" w:eastAsia="Arial" w:hAnsi="Arial"/>
          <w:b/>
          <w:bCs/>
          <w:sz w:val="20"/>
          <w:szCs w:val="20"/>
        </w:rPr>
        <w:t xml:space="preserve">3.2 </w:t>
      </w:r>
      <w:r>
        <w:rPr>
          <w:rFonts w:ascii="Arial" w:cs="Arial" w:eastAsia="Arial" w:hAnsi="Arial"/>
          <w:b/>
          <w:bCs/>
          <w:sz w:val="20"/>
          <w:szCs w:val="20"/>
        </w:rPr>
        <w:t xml:space="preserve">Permitted Use.</w:t>
      </w:r>
    </w:p>
    <w:p>
      <w:pPr>
        <w:spacing w:after="120"/>
      </w:pPr>
      <w:r>
        <w:rPr>
          <w:rFonts w:ascii="Arial" w:cs="Arial" w:eastAsia="Arial" w:hAnsi="Arial"/>
          <w:sz w:val="20"/>
          <w:szCs w:val="20"/>
        </w:rPr>
        <w:t xml:space="preserve">Provider may use Client’s Confidential Information solely for the purpose of performing services under the engagement and for no other purpose.</w:t>
      </w:r>
    </w:p>
    <w:p>
      <w:pPr>
        <w:spacing w:after="100" w:before="200"/>
      </w:pPr>
      <w:r>
        <w:rPr>
          <w:rFonts w:ascii="Arial" w:cs="Arial" w:eastAsia="Arial" w:hAnsi="Arial"/>
          <w:b/>
          <w:bCs/>
          <w:sz w:val="20"/>
          <w:szCs w:val="20"/>
        </w:rPr>
        <w:t xml:space="preserve">3.3 </w:t>
      </w:r>
      <w:r>
        <w:rPr>
          <w:rFonts w:ascii="Arial" w:cs="Arial" w:eastAsia="Arial" w:hAnsi="Arial"/>
          <w:b/>
          <w:bCs/>
          <w:sz w:val="20"/>
          <w:szCs w:val="20"/>
        </w:rPr>
        <w:t xml:space="preserve">Standard of Care.</w:t>
      </w:r>
    </w:p>
    <w:p>
      <w:pPr>
        <w:spacing w:after="120"/>
      </w:pPr>
      <w:r>
        <w:rPr>
          <w:rFonts w:ascii="Arial" w:cs="Arial" w:eastAsia="Arial" w:hAnsi="Arial"/>
          <w:sz w:val="20"/>
          <w:szCs w:val="20"/>
        </w:rPr>
        <w:t xml:space="preserve">Provider shall protect Client’s Confidential Information using at least the same degree of care that Provider uses to protect its own confidential information, but in no event less than reasonable care.</w:t>
      </w:r>
    </w:p>
    <w:p>
      <w:pPr>
        <w:spacing w:after="100" w:before="200"/>
      </w:pPr>
      <w:r>
        <w:rPr>
          <w:rFonts w:ascii="Arial" w:cs="Arial" w:eastAsia="Arial" w:hAnsi="Arial"/>
          <w:b/>
          <w:bCs/>
          <w:sz w:val="20"/>
          <w:szCs w:val="20"/>
        </w:rPr>
        <w:t xml:space="preserve">3.4 </w:t>
      </w:r>
      <w:r>
        <w:rPr>
          <w:rFonts w:ascii="Arial" w:cs="Arial" w:eastAsia="Arial" w:hAnsi="Arial"/>
          <w:b/>
          <w:bCs/>
          <w:sz w:val="20"/>
          <w:szCs w:val="20"/>
        </w:rPr>
        <w:t xml:space="preserve">Personnel.</w:t>
      </w:r>
    </w:p>
    <w:p>
      <w:pPr>
        <w:spacing w:after="120"/>
      </w:pPr>
      <w:r>
        <w:rPr>
          <w:rFonts w:ascii="Arial" w:cs="Arial" w:eastAsia="Arial" w:hAnsi="Arial"/>
          <w:sz w:val="20"/>
          <w:szCs w:val="20"/>
        </w:rPr>
        <w:t xml:space="preserve">Provider shall limit access to Client’s Confidential Information to those employees, contractors, and agents of Provider who (a) have a need to know such information for purposes of the engagement, and (b) are bound by confidentiality obligations no less restrictive than those set forth herein.</w:t>
      </w:r>
    </w:p>
    <w:p>
      <w:pPr>
        <w:spacing w:after="100" w:before="200"/>
      </w:pPr>
      <w:r>
        <w:rPr>
          <w:rFonts w:ascii="Arial" w:cs="Arial" w:eastAsia="Arial" w:hAnsi="Arial"/>
          <w:b/>
          <w:bCs/>
          <w:sz w:val="20"/>
          <w:szCs w:val="20"/>
        </w:rPr>
        <w:t xml:space="preserve">3.5 </w:t>
      </w:r>
      <w:r>
        <w:rPr>
          <w:rFonts w:ascii="Arial" w:cs="Arial" w:eastAsia="Arial" w:hAnsi="Arial"/>
          <w:b/>
          <w:bCs/>
          <w:sz w:val="20"/>
          <w:szCs w:val="20"/>
        </w:rPr>
        <w:t xml:space="preserve">Exclusions.</w:t>
      </w:r>
    </w:p>
    <w:p>
      <w:pPr>
        <w:spacing w:after="120"/>
      </w:pPr>
      <w:r>
        <w:rPr>
          <w:rFonts w:ascii="Arial" w:cs="Arial" w:eastAsia="Arial" w:hAnsi="Arial"/>
          <w:sz w:val="20"/>
          <w:szCs w:val="20"/>
        </w:rPr>
        <w:t xml:space="preserve">Confidential Information does not include information that: (a) is or becomes publicly available through no fault of Provider; (b) was known to Provider prior to disclosure by Client, as demonstrated by written records; (c) is independently developed by Provider without use of or reference to Client’s Confidential Information; or (d) is disclosed to Provider by a third party who is not under an obligation of confidentiality to Client.</w:t>
      </w:r>
    </w:p>
    <w:p>
      <w:pPr>
        <w:spacing w:after="100" w:before="200"/>
      </w:pPr>
      <w:r>
        <w:rPr>
          <w:rFonts w:ascii="Arial" w:cs="Arial" w:eastAsia="Arial" w:hAnsi="Arial"/>
          <w:b/>
          <w:bCs/>
          <w:sz w:val="20"/>
          <w:szCs w:val="20"/>
        </w:rPr>
        <w:t xml:space="preserve">3.6 </w:t>
      </w:r>
      <w:r>
        <w:rPr>
          <w:rFonts w:ascii="Arial" w:cs="Arial" w:eastAsia="Arial" w:hAnsi="Arial"/>
          <w:b/>
          <w:bCs/>
          <w:sz w:val="20"/>
          <w:szCs w:val="20"/>
        </w:rPr>
        <w:t xml:space="preserve">Compelled Disclosure.</w:t>
      </w:r>
    </w:p>
    <w:p>
      <w:pPr>
        <w:spacing w:after="120"/>
      </w:pPr>
      <w:r>
        <w:rPr>
          <w:rFonts w:ascii="Arial" w:cs="Arial" w:eastAsia="Arial" w:hAnsi="Arial"/>
          <w:sz w:val="20"/>
          <w:szCs w:val="20"/>
        </w:rPr>
        <w:t xml:space="preserve">If Provider is compelled by law, regulation, or legal process to disclose Client’s Confidential Information, Provider shall (to the extent legally permitted) promptly notify Client so that Client may seek a protective order or other remedy. Provider shall disclose only the minimum information required.</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4. PORTABILITY AND EXPORT RIGHTS</w:t>
      </w:r>
    </w:p>
    <w:p>
      <w:pPr>
        <w:spacing w:after="100" w:before="200"/>
      </w:pPr>
      <w:r>
        <w:rPr>
          <w:rFonts w:ascii="Arial" w:cs="Arial" w:eastAsia="Arial" w:hAnsi="Arial"/>
          <w:b/>
          <w:bCs/>
          <w:sz w:val="20"/>
          <w:szCs w:val="20"/>
        </w:rPr>
        <w:t xml:space="preserve">4.1 </w:t>
      </w:r>
      <w:r>
        <w:rPr>
          <w:rFonts w:ascii="Arial" w:cs="Arial" w:eastAsia="Arial" w:hAnsi="Arial"/>
          <w:b/>
          <w:bCs/>
          <w:sz w:val="20"/>
          <w:szCs w:val="20"/>
        </w:rPr>
        <w:t xml:space="preserve">Full Export Rights.</w:t>
      </w:r>
    </w:p>
    <w:p>
      <w:pPr>
        <w:spacing w:after="120"/>
      </w:pPr>
      <w:r>
        <w:rPr>
          <w:rFonts w:ascii="Arial" w:cs="Arial" w:eastAsia="Arial" w:hAnsi="Arial"/>
          <w:sz w:val="20"/>
          <w:szCs w:val="20"/>
        </w:rPr>
        <w:t xml:space="preserve">Client shall have the right, at any time during or after the engagement, to download and export all Workflow Artifacts from the Platform in a usable, file-based format (e.g., folders containing prompt files, instruction sets, configuration files, and logic documentation).</w:t>
      </w:r>
    </w:p>
    <w:p>
      <w:pPr>
        <w:spacing w:after="100" w:before="200"/>
      </w:pPr>
      <w:r>
        <w:rPr>
          <w:rFonts w:ascii="Arial" w:cs="Arial" w:eastAsia="Arial" w:hAnsi="Arial"/>
          <w:b/>
          <w:bCs/>
          <w:sz w:val="20"/>
          <w:szCs w:val="20"/>
        </w:rPr>
        <w:t xml:space="preserve">4.2 </w:t>
      </w:r>
      <w:r>
        <w:rPr>
          <w:rFonts w:ascii="Arial" w:cs="Arial" w:eastAsia="Arial" w:hAnsi="Arial"/>
          <w:b/>
          <w:bCs/>
          <w:sz w:val="20"/>
          <w:szCs w:val="20"/>
        </w:rPr>
        <w:t xml:space="preserve">No Lock-In.</w:t>
      </w:r>
    </w:p>
    <w:p>
      <w:pPr>
        <w:spacing w:after="120"/>
      </w:pPr>
      <w:r>
        <w:rPr>
          <w:rFonts w:ascii="Arial" w:cs="Arial" w:eastAsia="Arial" w:hAnsi="Arial"/>
          <w:sz w:val="20"/>
          <w:szCs w:val="20"/>
        </w:rPr>
        <w:t xml:space="preserve">Provider shall not implement any technical measures, proprietary encoding, or restrictions that would prevent Client from exporting Workflow Artifacts in a format that can be used independently of the Platform.</w:t>
      </w:r>
    </w:p>
    <w:p>
      <w:pPr>
        <w:spacing w:after="100" w:before="200"/>
      </w:pPr>
      <w:r>
        <w:rPr>
          <w:rFonts w:ascii="Arial" w:cs="Arial" w:eastAsia="Arial" w:hAnsi="Arial"/>
          <w:b/>
          <w:bCs/>
          <w:sz w:val="20"/>
          <w:szCs w:val="20"/>
        </w:rPr>
        <w:t xml:space="preserve">4.3 </w:t>
      </w:r>
      <w:r>
        <w:rPr>
          <w:rFonts w:ascii="Arial" w:cs="Arial" w:eastAsia="Arial" w:hAnsi="Arial"/>
          <w:b/>
          <w:bCs/>
          <w:sz w:val="20"/>
          <w:szCs w:val="20"/>
        </w:rPr>
        <w:t xml:space="preserve">Format and Usability.</w:t>
      </w:r>
    </w:p>
    <w:p>
      <w:pPr>
        <w:spacing w:after="120"/>
      </w:pPr>
      <w:r>
        <w:rPr>
          <w:rFonts w:ascii="Arial" w:cs="Arial" w:eastAsia="Arial" w:hAnsi="Arial"/>
          <w:sz w:val="20"/>
          <w:szCs w:val="20"/>
        </w:rPr>
        <w:t xml:space="preserve">Exported Workflow Artifacts shall be in a format that is reasonably usable with general-purpose AI tools and platforms (e.g., Claude, OpenAI, or comparable large language model environments), without requiring Provider’s Platform to operate.</w:t>
      </w:r>
    </w:p>
    <w:p>
      <w:pPr>
        <w:spacing w:after="100" w:before="200"/>
      </w:pPr>
      <w:r>
        <w:rPr>
          <w:rFonts w:ascii="Arial" w:cs="Arial" w:eastAsia="Arial" w:hAnsi="Arial"/>
          <w:b/>
          <w:bCs/>
          <w:sz w:val="20"/>
          <w:szCs w:val="20"/>
        </w:rPr>
        <w:t xml:space="preserve">4.4 </w:t>
      </w:r>
      <w:r>
        <w:rPr>
          <w:rFonts w:ascii="Arial" w:cs="Arial" w:eastAsia="Arial" w:hAnsi="Arial"/>
          <w:b/>
          <w:bCs/>
          <w:sz w:val="20"/>
          <w:szCs w:val="20"/>
        </w:rPr>
        <w:t xml:space="preserve">Assistance with Export.</w:t>
      </w:r>
    </w:p>
    <w:p>
      <w:pPr>
        <w:spacing w:after="120"/>
      </w:pPr>
      <w:r>
        <w:rPr>
          <w:rFonts w:ascii="Arial" w:cs="Arial" w:eastAsia="Arial" w:hAnsi="Arial"/>
          <w:sz w:val="20"/>
          <w:szCs w:val="20"/>
        </w:rPr>
        <w:t xml:space="preserve">Upon Client’s request, Provider shall provide reasonable assistance to facilitate the export and transition of Workflow Artifacts, including documentation necessary for Client to operate the workflows independently.</w:t>
      </w:r>
    </w:p>
    <w:p>
      <w:pPr>
        <w:spacing w:after="100" w:before="200"/>
      </w:pPr>
      <w:r>
        <w:rPr>
          <w:rFonts w:ascii="Arial" w:cs="Arial" w:eastAsia="Arial" w:hAnsi="Arial"/>
          <w:b/>
          <w:bCs/>
          <w:sz w:val="20"/>
          <w:szCs w:val="20"/>
        </w:rPr>
        <w:t xml:space="preserve">4.5 </w:t>
      </w:r>
      <w:r>
        <w:rPr>
          <w:rFonts w:ascii="Arial" w:cs="Arial" w:eastAsia="Arial" w:hAnsi="Arial"/>
          <w:b/>
          <w:bCs/>
          <w:sz w:val="20"/>
          <w:szCs w:val="20"/>
        </w:rPr>
        <w:t xml:space="preserve">Post-Termination Access.</w:t>
      </w:r>
    </w:p>
    <w:p>
      <w:pPr>
        <w:spacing w:after="120"/>
      </w:pPr>
      <w:r>
        <w:rPr>
          <w:rFonts w:ascii="Arial" w:cs="Arial" w:eastAsia="Arial" w:hAnsi="Arial"/>
          <w:sz w:val="20"/>
          <w:szCs w:val="20"/>
        </w:rPr>
        <w:t xml:space="preserve">Following termination or expiration of the engagement for any reason, Provider shall make Workflow Artifacts available for download by Client for a period of not less than sixty (60) days.</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5. RESTRICTIONS ON PROVIDER</w:t>
      </w:r>
    </w:p>
    <w:p>
      <w:pPr>
        <w:spacing w:after="100" w:before="200"/>
      </w:pPr>
      <w:r>
        <w:rPr>
          <w:rFonts w:ascii="Arial" w:cs="Arial" w:eastAsia="Arial" w:hAnsi="Arial"/>
          <w:b/>
          <w:bCs/>
          <w:sz w:val="20"/>
          <w:szCs w:val="20"/>
        </w:rPr>
        <w:t xml:space="preserve">5.1 </w:t>
      </w:r>
      <w:r>
        <w:rPr>
          <w:rFonts w:ascii="Arial" w:cs="Arial" w:eastAsia="Arial" w:hAnsi="Arial"/>
          <w:b/>
          <w:bCs/>
          <w:sz w:val="20"/>
          <w:szCs w:val="20"/>
        </w:rPr>
        <w:t xml:space="preserve">No Use of Client IP for Other Clients.</w:t>
      </w:r>
    </w:p>
    <w:p>
      <w:pPr>
        <w:spacing w:after="120"/>
      </w:pPr>
      <w:r>
        <w:rPr>
          <w:rFonts w:ascii="Arial" w:cs="Arial" w:eastAsia="Arial" w:hAnsi="Arial"/>
          <w:sz w:val="20"/>
          <w:szCs w:val="20"/>
        </w:rPr>
        <w:t xml:space="preserve">Provider shall not use, adapt, replicate, or incorporate Client IP — including Client’s processes, workflows, prompt sequences, matrices, or methodologies — in work performed for any other client or for Provider’s own products.</w:t>
      </w:r>
    </w:p>
    <w:p>
      <w:pPr>
        <w:spacing w:after="100" w:before="200"/>
      </w:pPr>
      <w:r>
        <w:rPr>
          <w:rFonts w:ascii="Arial" w:cs="Arial" w:eastAsia="Arial" w:hAnsi="Arial"/>
          <w:b/>
          <w:bCs/>
          <w:sz w:val="20"/>
          <w:szCs w:val="20"/>
        </w:rPr>
        <w:t xml:space="preserve">5.2 </w:t>
      </w:r>
      <w:r>
        <w:rPr>
          <w:rFonts w:ascii="Arial" w:cs="Arial" w:eastAsia="Arial" w:hAnsi="Arial"/>
          <w:b/>
          <w:bCs/>
          <w:sz w:val="20"/>
          <w:szCs w:val="20"/>
        </w:rPr>
        <w:t xml:space="preserve">No Reverse Engineering of Client Processes.</w:t>
      </w:r>
    </w:p>
    <w:p>
      <w:pPr>
        <w:spacing w:after="120"/>
      </w:pPr>
      <w:r>
        <w:rPr>
          <w:rFonts w:ascii="Arial" w:cs="Arial" w:eastAsia="Arial" w:hAnsi="Arial"/>
          <w:sz w:val="20"/>
          <w:szCs w:val="20"/>
        </w:rPr>
        <w:t xml:space="preserve">Provider shall not reverse engineer, deconstruct, or derive generalizable methods from Client IP for use outside the scope of this engagement.</w:t>
      </w:r>
    </w:p>
    <w:p>
      <w:pPr>
        <w:spacing w:after="100" w:before="200"/>
      </w:pPr>
      <w:r>
        <w:rPr>
          <w:rFonts w:ascii="Arial" w:cs="Arial" w:eastAsia="Arial" w:hAnsi="Arial"/>
          <w:b/>
          <w:bCs/>
          <w:sz w:val="20"/>
          <w:szCs w:val="20"/>
        </w:rPr>
        <w:t xml:space="preserve">5.3 </w:t>
      </w:r>
      <w:r>
        <w:rPr>
          <w:rFonts w:ascii="Arial" w:cs="Arial" w:eastAsia="Arial" w:hAnsi="Arial"/>
          <w:b/>
          <w:bCs/>
          <w:sz w:val="20"/>
          <w:szCs w:val="20"/>
        </w:rPr>
        <w:t xml:space="preserve">No Retention After Termination.</w:t>
      </w:r>
    </w:p>
    <w:p>
      <w:pPr>
        <w:spacing w:after="120"/>
      </w:pPr>
      <w:r>
        <w:rPr>
          <w:rFonts w:ascii="Arial" w:cs="Arial" w:eastAsia="Arial" w:hAnsi="Arial"/>
          <w:sz w:val="20"/>
          <w:szCs w:val="20"/>
        </w:rPr>
        <w:t xml:space="preserve">Upon termination of the engagement and completion of the export period described in Section 4.5, Provider shall delete or destroy all copies of Client IP and Confidential Information in its possession, and shall certify such deletion in writing upon Client’s request.</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6. REPRESENTATIONS AND WARRANTIES</w:t>
      </w:r>
    </w:p>
    <w:p>
      <w:pPr>
        <w:spacing w:after="100" w:before="200"/>
      </w:pPr>
      <w:r>
        <w:rPr>
          <w:rFonts w:ascii="Arial" w:cs="Arial" w:eastAsia="Arial" w:hAnsi="Arial"/>
          <w:b/>
          <w:bCs/>
          <w:sz w:val="20"/>
          <w:szCs w:val="20"/>
        </w:rPr>
        <w:t xml:space="preserve">6.1 </w:t>
      </w:r>
      <w:r>
        <w:rPr>
          <w:rFonts w:ascii="Arial" w:cs="Arial" w:eastAsia="Arial" w:hAnsi="Arial"/>
          <w:b/>
          <w:bCs/>
          <w:sz w:val="20"/>
          <w:szCs w:val="20"/>
        </w:rPr>
        <w:t xml:space="preserve">Provider Representations.</w:t>
      </w:r>
    </w:p>
    <w:p>
      <w:pPr>
        <w:spacing w:after="120"/>
      </w:pPr>
      <w:r>
        <w:rPr>
          <w:rFonts w:ascii="Arial" w:cs="Arial" w:eastAsia="Arial" w:hAnsi="Arial"/>
          <w:sz w:val="20"/>
          <w:szCs w:val="20"/>
        </w:rPr>
        <w:t xml:space="preserve">Provider represents and warrants that:</w:t>
      </w:r>
    </w:p>
    <w:p>
      <w:pPr>
        <w:spacing w:after="100"/>
        <w:ind w:left="720"/>
      </w:pPr>
      <w:r>
        <w:rPr>
          <w:rFonts w:ascii="Arial" w:cs="Arial" w:eastAsia="Arial" w:hAnsi="Arial"/>
          <w:sz w:val="20"/>
          <w:szCs w:val="20"/>
        </w:rPr>
        <w:t xml:space="preserve">(a) </w:t>
      </w:r>
      <w:r>
        <w:rPr>
          <w:rFonts w:ascii="Arial" w:cs="Arial" w:eastAsia="Arial" w:hAnsi="Arial"/>
          <w:sz w:val="20"/>
          <w:szCs w:val="20"/>
        </w:rPr>
        <w:t xml:space="preserve">Provider is a limited liability company duly organized and in good standing under the laws of the State of Delaware, United States of America;</w:t>
      </w:r>
    </w:p>
    <w:p>
      <w:pPr>
        <w:spacing w:after="100"/>
        <w:ind w:left="720"/>
      </w:pPr>
      <w:r>
        <w:rPr>
          <w:rFonts w:ascii="Arial" w:cs="Arial" w:eastAsia="Arial" w:hAnsi="Arial"/>
          <w:sz w:val="20"/>
          <w:szCs w:val="20"/>
        </w:rPr>
        <w:t xml:space="preserve">(b) </w:t>
      </w:r>
      <w:r>
        <w:rPr>
          <w:rFonts w:ascii="Arial" w:cs="Arial" w:eastAsia="Arial" w:hAnsi="Arial"/>
          <w:sz w:val="20"/>
          <w:szCs w:val="20"/>
        </w:rPr>
        <w:t xml:space="preserve">Provider has the authority to enter into this Agreement;</w:t>
      </w:r>
    </w:p>
    <w:p>
      <w:pPr>
        <w:spacing w:after="100"/>
        <w:ind w:left="720"/>
      </w:pPr>
      <w:r>
        <w:rPr>
          <w:rFonts w:ascii="Arial" w:cs="Arial" w:eastAsia="Arial" w:hAnsi="Arial"/>
          <w:sz w:val="20"/>
          <w:szCs w:val="20"/>
        </w:rPr>
        <w:t xml:space="preserve">(c) </w:t>
      </w:r>
      <w:r>
        <w:rPr>
          <w:rFonts w:ascii="Arial" w:cs="Arial" w:eastAsia="Arial" w:hAnsi="Arial"/>
          <w:sz w:val="20"/>
          <w:szCs w:val="20"/>
        </w:rPr>
        <w:t xml:space="preserve">The performance of services under this engagement will not infringe the intellectual property rights of any third party; and</w:t>
      </w:r>
    </w:p>
    <w:p>
      <w:pPr>
        <w:spacing w:after="100"/>
        <w:ind w:left="720"/>
      </w:pPr>
      <w:r>
        <w:rPr>
          <w:rFonts w:ascii="Arial" w:cs="Arial" w:eastAsia="Arial" w:hAnsi="Arial"/>
          <w:sz w:val="20"/>
          <w:szCs w:val="20"/>
        </w:rPr>
        <w:t xml:space="preserve">(d) </w:t>
      </w:r>
      <w:r>
        <w:rPr>
          <w:rFonts w:ascii="Arial" w:cs="Arial" w:eastAsia="Arial" w:hAnsi="Arial"/>
          <w:sz w:val="20"/>
          <w:szCs w:val="20"/>
        </w:rPr>
        <w:t xml:space="preserve">Provider has implemented and will maintain reasonable administrative, technical, and physical safeguards to protect Client’s Confidential Information.</w:t>
      </w:r>
    </w:p>
    <w:p>
      <w:pPr>
        <w:spacing w:after="100" w:before="200"/>
      </w:pPr>
      <w:r>
        <w:rPr>
          <w:rFonts w:ascii="Arial" w:cs="Arial" w:eastAsia="Arial" w:hAnsi="Arial"/>
          <w:b/>
          <w:bCs/>
          <w:sz w:val="20"/>
          <w:szCs w:val="20"/>
        </w:rPr>
        <w:t xml:space="preserve">6.2 </w:t>
      </w:r>
      <w:r>
        <w:rPr>
          <w:rFonts w:ascii="Arial" w:cs="Arial" w:eastAsia="Arial" w:hAnsi="Arial"/>
          <w:b/>
          <w:bCs/>
          <w:sz w:val="20"/>
          <w:szCs w:val="20"/>
        </w:rPr>
        <w:t xml:space="preserve">Client Representations.</w:t>
      </w:r>
    </w:p>
    <w:p>
      <w:pPr>
        <w:spacing w:after="120"/>
      </w:pPr>
      <w:r>
        <w:rPr>
          <w:rFonts w:ascii="Arial" w:cs="Arial" w:eastAsia="Arial" w:hAnsi="Arial"/>
          <w:sz w:val="20"/>
          <w:szCs w:val="20"/>
        </w:rPr>
        <w:t xml:space="preserve">Client represents and warrants that:</w:t>
      </w:r>
    </w:p>
    <w:p>
      <w:pPr>
        <w:spacing w:after="100"/>
        <w:ind w:left="720"/>
      </w:pPr>
      <w:r>
        <w:rPr>
          <w:rFonts w:ascii="Arial" w:cs="Arial" w:eastAsia="Arial" w:hAnsi="Arial"/>
          <w:sz w:val="20"/>
          <w:szCs w:val="20"/>
        </w:rPr>
        <w:t xml:space="preserve">(a) </w:t>
      </w:r>
      <w:r>
        <w:rPr>
          <w:rFonts w:ascii="Arial" w:cs="Arial" w:eastAsia="Arial" w:hAnsi="Arial"/>
          <w:sz w:val="20"/>
          <w:szCs w:val="20"/>
        </w:rPr>
        <w:t xml:space="preserve">Client has the authority to enter into this Agreement; and</w:t>
      </w:r>
    </w:p>
    <w:p>
      <w:pPr>
        <w:spacing w:after="100"/>
        <w:ind w:left="720"/>
      </w:pPr>
      <w:r>
        <w:rPr>
          <w:rFonts w:ascii="Arial" w:cs="Arial" w:eastAsia="Arial" w:hAnsi="Arial"/>
          <w:sz w:val="20"/>
          <w:szCs w:val="20"/>
        </w:rPr>
        <w:t xml:space="preserve">(b) </w:t>
      </w:r>
      <w:r>
        <w:rPr>
          <w:rFonts w:ascii="Arial" w:cs="Arial" w:eastAsia="Arial" w:hAnsi="Arial"/>
          <w:sz w:val="20"/>
          <w:szCs w:val="20"/>
        </w:rPr>
        <w:t xml:space="preserve">Client has the right to disclose the Confidential Information provided to Provider under this Agreement.</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7. TERM AND TERMINATION</w:t>
      </w:r>
    </w:p>
    <w:p>
      <w:pPr>
        <w:spacing w:after="100" w:before="200"/>
      </w:pPr>
      <w:r>
        <w:rPr>
          <w:rFonts w:ascii="Arial" w:cs="Arial" w:eastAsia="Arial" w:hAnsi="Arial"/>
          <w:b/>
          <w:bCs/>
          <w:sz w:val="20"/>
          <w:szCs w:val="20"/>
        </w:rPr>
        <w:t xml:space="preserve">7.1 </w:t>
      </w:r>
      <w:r>
        <w:rPr>
          <w:rFonts w:ascii="Arial" w:cs="Arial" w:eastAsia="Arial" w:hAnsi="Arial"/>
          <w:b/>
          <w:bCs/>
          <w:sz w:val="20"/>
          <w:szCs w:val="20"/>
        </w:rPr>
        <w:t xml:space="preserve">Term.</w:t>
      </w:r>
    </w:p>
    <w:p>
      <w:pPr>
        <w:spacing w:after="120"/>
      </w:pPr>
      <w:r>
        <w:rPr>
          <w:rFonts w:ascii="Arial" w:cs="Arial" w:eastAsia="Arial" w:hAnsi="Arial"/>
          <w:sz w:val="20"/>
          <w:szCs w:val="20"/>
        </w:rPr>
        <w:t xml:space="preserve">This Agreement shall be effective as of the Effective Date and shall continue in effect for as long as the engagement between the Parties remains active, unless earlier terminated as provided herein.</w:t>
      </w:r>
    </w:p>
    <w:p>
      <w:pPr>
        <w:spacing w:after="100" w:before="200"/>
      </w:pPr>
      <w:r>
        <w:rPr>
          <w:rFonts w:ascii="Arial" w:cs="Arial" w:eastAsia="Arial" w:hAnsi="Arial"/>
          <w:b/>
          <w:bCs/>
          <w:sz w:val="20"/>
          <w:szCs w:val="20"/>
        </w:rPr>
        <w:t xml:space="preserve">7.2 </w:t>
      </w:r>
      <w:r>
        <w:rPr>
          <w:rFonts w:ascii="Arial" w:cs="Arial" w:eastAsia="Arial" w:hAnsi="Arial"/>
          <w:b/>
          <w:bCs/>
          <w:sz w:val="20"/>
          <w:szCs w:val="20"/>
        </w:rPr>
        <w:t xml:space="preserve">Termination.</w:t>
      </w:r>
    </w:p>
    <w:p>
      <w:pPr>
        <w:spacing w:after="120"/>
      </w:pPr>
      <w:r>
        <w:rPr>
          <w:rFonts w:ascii="Arial" w:cs="Arial" w:eastAsia="Arial" w:hAnsi="Arial"/>
          <w:sz w:val="20"/>
          <w:szCs w:val="20"/>
        </w:rPr>
        <w:t xml:space="preserve">Either Party may terminate this Agreement upon thirty (30) days’ written notice to the other Party.</w:t>
      </w:r>
    </w:p>
    <w:p>
      <w:pPr>
        <w:spacing w:after="100" w:before="200"/>
      </w:pPr>
      <w:r>
        <w:rPr>
          <w:rFonts w:ascii="Arial" w:cs="Arial" w:eastAsia="Arial" w:hAnsi="Arial"/>
          <w:b/>
          <w:bCs/>
          <w:sz w:val="20"/>
          <w:szCs w:val="20"/>
        </w:rPr>
        <w:t xml:space="preserve">7.3 </w:t>
      </w:r>
      <w:r>
        <w:rPr>
          <w:rFonts w:ascii="Arial" w:cs="Arial" w:eastAsia="Arial" w:hAnsi="Arial"/>
          <w:b/>
          <w:bCs/>
          <w:sz w:val="20"/>
          <w:szCs w:val="20"/>
        </w:rPr>
        <w:t xml:space="preserve">Survival.</w:t>
      </w:r>
    </w:p>
    <w:p>
      <w:pPr>
        <w:spacing w:after="120"/>
      </w:pPr>
      <w:r>
        <w:rPr>
          <w:rFonts w:ascii="Arial" w:cs="Arial" w:eastAsia="Arial" w:hAnsi="Arial"/>
          <w:sz w:val="20"/>
          <w:szCs w:val="20"/>
        </w:rPr>
        <w:t xml:space="preserve">The obligations set forth in Sections 2 (Ownership of Intellectual Property), 3 (Confidentiality), 4 (Portability), and 5 (Restrictions) shall survive the termination or expiration of this Agreement. Confidentiality obligations shall survive for a period of three (3) years following termination. Provider’s rights in Provider Strategies under Section 2.4 shall survive in perpetuity.</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8. REMEDIES</w:t>
      </w:r>
    </w:p>
    <w:p>
      <w:pPr>
        <w:spacing w:after="100" w:before="200"/>
      </w:pPr>
      <w:r>
        <w:rPr>
          <w:rFonts w:ascii="Arial" w:cs="Arial" w:eastAsia="Arial" w:hAnsi="Arial"/>
          <w:b/>
          <w:bCs/>
          <w:sz w:val="20"/>
          <w:szCs w:val="20"/>
        </w:rPr>
        <w:t xml:space="preserve">8.1 </w:t>
      </w:r>
      <w:r>
        <w:rPr>
          <w:rFonts w:ascii="Arial" w:cs="Arial" w:eastAsia="Arial" w:hAnsi="Arial"/>
          <w:b/>
          <w:bCs/>
          <w:sz w:val="20"/>
          <w:szCs w:val="20"/>
        </w:rPr>
        <w:t xml:space="preserve">Injunctive Relief.</w:t>
      </w:r>
    </w:p>
    <w:p>
      <w:pPr>
        <w:spacing w:after="120"/>
      </w:pPr>
      <w:r>
        <w:rPr>
          <w:rFonts w:ascii="Arial" w:cs="Arial" w:eastAsia="Arial" w:hAnsi="Arial"/>
          <w:sz w:val="20"/>
          <w:szCs w:val="20"/>
        </w:rPr>
        <w:t xml:space="preserve">The Parties acknowledge that a breach of the confidentiality or IP provisions of this Agreement may cause irreparable harm for which monetary damages would be an inadequate remedy. Accordingly, the non-breaching Party shall be entitled to seek injunctive or other equitable relief, in addition to any other remedies available at law or in equity.</w:t>
      </w:r>
    </w:p>
    <w:p>
      <w:pPr>
        <w:spacing w:after="100" w:before="200"/>
      </w:pPr>
      <w:r>
        <w:rPr>
          <w:rFonts w:ascii="Arial" w:cs="Arial" w:eastAsia="Arial" w:hAnsi="Arial"/>
          <w:b/>
          <w:bCs/>
          <w:sz w:val="20"/>
          <w:szCs w:val="20"/>
        </w:rPr>
        <w:t xml:space="preserve">8.2 </w:t>
      </w:r>
      <w:r>
        <w:rPr>
          <w:rFonts w:ascii="Arial" w:cs="Arial" w:eastAsia="Arial" w:hAnsi="Arial"/>
          <w:b/>
          <w:bCs/>
          <w:sz w:val="20"/>
          <w:szCs w:val="20"/>
        </w:rPr>
        <w:t xml:space="preserve">Indemnification.</w:t>
      </w:r>
    </w:p>
    <w:p>
      <w:pPr>
        <w:spacing w:after="120"/>
      </w:pPr>
      <w:r>
        <w:rPr>
          <w:rFonts w:ascii="Arial" w:cs="Arial" w:eastAsia="Arial" w:hAnsi="Arial"/>
          <w:sz w:val="20"/>
          <w:szCs w:val="20"/>
        </w:rPr>
        <w:t xml:space="preserve">Provider shall indemnify, defend, and hold harmless Client from and against any losses, damages, liabilities, costs, and expenses (including reasonable attorneys’ fees) arising from Provider’s breach of this Agreement.</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9. GOVERNING LAW AND DISPUTE RESOLUTION</w:t>
      </w:r>
    </w:p>
    <w:p>
      <w:pPr>
        <w:spacing w:after="100" w:before="200"/>
      </w:pPr>
      <w:r>
        <w:rPr>
          <w:rFonts w:ascii="Arial" w:cs="Arial" w:eastAsia="Arial" w:hAnsi="Arial"/>
          <w:b/>
          <w:bCs/>
          <w:sz w:val="20"/>
          <w:szCs w:val="20"/>
        </w:rPr>
        <w:t xml:space="preserve">9.1 </w:t>
      </w:r>
      <w:r>
        <w:rPr>
          <w:rFonts w:ascii="Arial" w:cs="Arial" w:eastAsia="Arial" w:hAnsi="Arial"/>
          <w:b/>
          <w:bCs/>
          <w:sz w:val="20"/>
          <w:szCs w:val="20"/>
        </w:rPr>
        <w:t xml:space="preserve">Governing Law.</w:t>
      </w:r>
    </w:p>
    <w:p>
      <w:pPr>
        <w:spacing w:after="120"/>
      </w:pPr>
      <w:r>
        <w:rPr>
          <w:rFonts w:ascii="Arial" w:cs="Arial" w:eastAsia="Arial" w:hAnsi="Arial"/>
          <w:sz w:val="20"/>
          <w:szCs w:val="20"/>
        </w:rPr>
        <w:t xml:space="preserve">This Agreement shall be governed by and construed in accordance with the laws of the State of Delaware, United States of America, without regard to its conflict of laws principles.</w:t>
      </w:r>
    </w:p>
    <w:p>
      <w:pPr>
        <w:spacing w:after="100" w:before="200"/>
      </w:pPr>
      <w:r>
        <w:rPr>
          <w:rFonts w:ascii="Arial" w:cs="Arial" w:eastAsia="Arial" w:hAnsi="Arial"/>
          <w:b/>
          <w:bCs/>
          <w:sz w:val="20"/>
          <w:szCs w:val="20"/>
        </w:rPr>
        <w:t xml:space="preserve">9.2 </w:t>
      </w:r>
      <w:r>
        <w:rPr>
          <w:rFonts w:ascii="Arial" w:cs="Arial" w:eastAsia="Arial" w:hAnsi="Arial"/>
          <w:b/>
          <w:bCs/>
          <w:sz w:val="20"/>
          <w:szCs w:val="20"/>
        </w:rPr>
        <w:t xml:space="preserve">Jurisdiction.</w:t>
      </w:r>
    </w:p>
    <w:p>
      <w:pPr>
        <w:spacing w:after="120"/>
      </w:pPr>
      <w:r>
        <w:rPr>
          <w:rFonts w:ascii="Arial" w:cs="Arial" w:eastAsia="Arial" w:hAnsi="Arial"/>
          <w:sz w:val="20"/>
          <w:szCs w:val="20"/>
        </w:rPr>
        <w:t xml:space="preserve">The Parties consent to the exclusive jurisdiction and venue of the state and federal courts located in the State of Delaware for any disputes arising under this Agreement.</w:t>
      </w:r>
    </w:p>
    <w:p>
      <w:pPr>
        <w:spacing w:after="100" w:before="200"/>
      </w:pPr>
      <w:r>
        <w:rPr>
          <w:rFonts w:ascii="Arial" w:cs="Arial" w:eastAsia="Arial" w:hAnsi="Arial"/>
          <w:b/>
          <w:bCs/>
          <w:sz w:val="20"/>
          <w:szCs w:val="20"/>
        </w:rPr>
        <w:t xml:space="preserve">9.3 </w:t>
      </w:r>
      <w:r>
        <w:rPr>
          <w:rFonts w:ascii="Arial" w:cs="Arial" w:eastAsia="Arial" w:hAnsi="Arial"/>
          <w:b/>
          <w:bCs/>
          <w:sz w:val="20"/>
          <w:szCs w:val="20"/>
        </w:rPr>
        <w:t xml:space="preserve">Mediation.</w:t>
      </w:r>
    </w:p>
    <w:p>
      <w:pPr>
        <w:spacing w:after="120"/>
      </w:pPr>
      <w:r>
        <w:rPr>
          <w:rFonts w:ascii="Arial" w:cs="Arial" w:eastAsia="Arial" w:hAnsi="Arial"/>
          <w:sz w:val="20"/>
          <w:szCs w:val="20"/>
        </w:rPr>
        <w:t xml:space="preserve">Prior to initiating litigation, the Parties agree to attempt in good faith to resolve any dispute through mediation administered by a mutually agreed-upon mediator. If mediation does not resolve the dispute within thirty (30) days of initiation, either Party may proceed with litigation.</w:t>
      </w:r>
    </w:p>
    <w:p>
      <w:pPr>
        <w:pBdr>
          <w:bottom w:val="single" w:color="CCCCCC" w:sz="1" w:space="1"/>
        </w:pBdr>
        <w:spacing w:after="200" w:before="200"/>
      </w:pPr>
    </w:p>
    <w:p>
      <w:pPr>
        <w:spacing w:after="200" w:before="360"/>
      </w:pPr>
      <w:r>
        <w:rPr>
          <w:rFonts w:ascii="Arial" w:cs="Arial" w:eastAsia="Arial" w:hAnsi="Arial"/>
          <w:b/>
          <w:bCs/>
          <w:color w:val="1B3A5C"/>
          <w:sz w:val="22"/>
          <w:szCs w:val="22"/>
        </w:rPr>
        <w:t xml:space="preserve">10. GENERAL PROVISIONS</w:t>
      </w:r>
    </w:p>
    <w:p>
      <w:pPr>
        <w:spacing w:after="100" w:before="200"/>
      </w:pPr>
      <w:r>
        <w:rPr>
          <w:rFonts w:ascii="Arial" w:cs="Arial" w:eastAsia="Arial" w:hAnsi="Arial"/>
          <w:b/>
          <w:bCs/>
          <w:sz w:val="20"/>
          <w:szCs w:val="20"/>
        </w:rPr>
        <w:t xml:space="preserve">10.1 </w:t>
      </w:r>
      <w:r>
        <w:rPr>
          <w:rFonts w:ascii="Arial" w:cs="Arial" w:eastAsia="Arial" w:hAnsi="Arial"/>
          <w:b/>
          <w:bCs/>
          <w:sz w:val="20"/>
          <w:szCs w:val="20"/>
        </w:rPr>
        <w:t xml:space="preserve">Entire Agreement.</w:t>
      </w:r>
    </w:p>
    <w:p>
      <w:pPr>
        <w:spacing w:after="120"/>
      </w:pPr>
      <w:r>
        <w:rPr>
          <w:rFonts w:ascii="Arial" w:cs="Arial" w:eastAsia="Arial" w:hAnsi="Arial"/>
          <w:sz w:val="20"/>
          <w:szCs w:val="20"/>
        </w:rPr>
        <w:t xml:space="preserve">This Agreement constitutes the entire agreement between the Parties with respect to its subject matter and supersedes all prior or contemporaneous understandings, agreements, or representations.</w:t>
      </w:r>
    </w:p>
    <w:p>
      <w:pPr>
        <w:spacing w:after="100" w:before="200"/>
      </w:pPr>
      <w:r>
        <w:rPr>
          <w:rFonts w:ascii="Arial" w:cs="Arial" w:eastAsia="Arial" w:hAnsi="Arial"/>
          <w:b/>
          <w:bCs/>
          <w:sz w:val="20"/>
          <w:szCs w:val="20"/>
        </w:rPr>
        <w:t xml:space="preserve">10.2 </w:t>
      </w:r>
      <w:r>
        <w:rPr>
          <w:rFonts w:ascii="Arial" w:cs="Arial" w:eastAsia="Arial" w:hAnsi="Arial"/>
          <w:b/>
          <w:bCs/>
          <w:sz w:val="20"/>
          <w:szCs w:val="20"/>
        </w:rPr>
        <w:t xml:space="preserve">Amendments.</w:t>
      </w:r>
    </w:p>
    <w:p>
      <w:pPr>
        <w:spacing w:after="120"/>
      </w:pPr>
      <w:r>
        <w:rPr>
          <w:rFonts w:ascii="Arial" w:cs="Arial" w:eastAsia="Arial" w:hAnsi="Arial"/>
          <w:sz w:val="20"/>
          <w:szCs w:val="20"/>
        </w:rPr>
        <w:t xml:space="preserve">This Agreement may not be amended except by a written instrument signed by both Parties.</w:t>
      </w:r>
    </w:p>
    <w:p>
      <w:pPr>
        <w:spacing w:after="100" w:before="200"/>
      </w:pPr>
      <w:r>
        <w:rPr>
          <w:rFonts w:ascii="Arial" w:cs="Arial" w:eastAsia="Arial" w:hAnsi="Arial"/>
          <w:b/>
          <w:bCs/>
          <w:sz w:val="20"/>
          <w:szCs w:val="20"/>
        </w:rPr>
        <w:t xml:space="preserve">10.3 </w:t>
      </w:r>
      <w:r>
        <w:rPr>
          <w:rFonts w:ascii="Arial" w:cs="Arial" w:eastAsia="Arial" w:hAnsi="Arial"/>
          <w:b/>
          <w:bCs/>
          <w:sz w:val="20"/>
          <w:szCs w:val="20"/>
        </w:rPr>
        <w:t xml:space="preserve">Severability.</w:t>
      </w:r>
    </w:p>
    <w:p>
      <w:pPr>
        <w:spacing w:after="120"/>
      </w:pPr>
      <w:r>
        <w:rPr>
          <w:rFonts w:ascii="Arial" w:cs="Arial" w:eastAsia="Arial" w:hAnsi="Arial"/>
          <w:sz w:val="20"/>
          <w:szCs w:val="20"/>
        </w:rPr>
        <w:t xml:space="preserve">If any provision of this Agreement is held to be invalid or unenforceable, the remaining provisions shall continue in full force and effect.</w:t>
      </w:r>
    </w:p>
    <w:p>
      <w:pPr>
        <w:spacing w:after="100" w:before="200"/>
      </w:pPr>
      <w:r>
        <w:rPr>
          <w:rFonts w:ascii="Arial" w:cs="Arial" w:eastAsia="Arial" w:hAnsi="Arial"/>
          <w:b/>
          <w:bCs/>
          <w:sz w:val="20"/>
          <w:szCs w:val="20"/>
        </w:rPr>
        <w:t xml:space="preserve">10.4 </w:t>
      </w:r>
      <w:r>
        <w:rPr>
          <w:rFonts w:ascii="Arial" w:cs="Arial" w:eastAsia="Arial" w:hAnsi="Arial"/>
          <w:b/>
          <w:bCs/>
          <w:sz w:val="20"/>
          <w:szCs w:val="20"/>
        </w:rPr>
        <w:t xml:space="preserve">Waiver.</w:t>
      </w:r>
    </w:p>
    <w:p>
      <w:pPr>
        <w:spacing w:after="120"/>
      </w:pPr>
      <w:r>
        <w:rPr>
          <w:rFonts w:ascii="Arial" w:cs="Arial" w:eastAsia="Arial" w:hAnsi="Arial"/>
          <w:sz w:val="20"/>
          <w:szCs w:val="20"/>
        </w:rPr>
        <w:t xml:space="preserve">The failure of either Party to enforce any provision of this Agreement shall not constitute a waiver of that Party’s right to enforce that provision or any other provision.</w:t>
      </w:r>
    </w:p>
    <w:p>
      <w:pPr>
        <w:spacing w:after="100" w:before="200"/>
      </w:pPr>
      <w:r>
        <w:rPr>
          <w:rFonts w:ascii="Arial" w:cs="Arial" w:eastAsia="Arial" w:hAnsi="Arial"/>
          <w:b/>
          <w:bCs/>
          <w:sz w:val="20"/>
          <w:szCs w:val="20"/>
        </w:rPr>
        <w:t xml:space="preserve">10.5 </w:t>
      </w:r>
      <w:r>
        <w:rPr>
          <w:rFonts w:ascii="Arial" w:cs="Arial" w:eastAsia="Arial" w:hAnsi="Arial"/>
          <w:b/>
          <w:bCs/>
          <w:sz w:val="20"/>
          <w:szCs w:val="20"/>
        </w:rPr>
        <w:t xml:space="preserve">Notices.</w:t>
      </w:r>
    </w:p>
    <w:p>
      <w:pPr>
        <w:spacing w:after="120"/>
      </w:pPr>
      <w:r>
        <w:rPr>
          <w:rFonts w:ascii="Arial" w:cs="Arial" w:eastAsia="Arial" w:hAnsi="Arial"/>
          <w:sz w:val="20"/>
          <w:szCs w:val="20"/>
        </w:rPr>
        <w:t xml:space="preserve">All notices under this Agreement shall be in writing and shall be deemed given when delivered personally, sent by email with confirmation of receipt, or sent by certified mail, return receipt requested, to the addresses set forth above.</w:t>
      </w:r>
    </w:p>
    <w:p>
      <w:pPr>
        <w:spacing w:after="100" w:before="200"/>
      </w:pPr>
      <w:r>
        <w:rPr>
          <w:rFonts w:ascii="Arial" w:cs="Arial" w:eastAsia="Arial" w:hAnsi="Arial"/>
          <w:b/>
          <w:bCs/>
          <w:sz w:val="20"/>
          <w:szCs w:val="20"/>
        </w:rPr>
        <w:t xml:space="preserve">10.6 </w:t>
      </w:r>
      <w:r>
        <w:rPr>
          <w:rFonts w:ascii="Arial" w:cs="Arial" w:eastAsia="Arial" w:hAnsi="Arial"/>
          <w:b/>
          <w:bCs/>
          <w:sz w:val="20"/>
          <w:szCs w:val="20"/>
        </w:rPr>
        <w:t xml:space="preserve">Assignment.</w:t>
      </w:r>
    </w:p>
    <w:p>
      <w:pPr>
        <w:spacing w:after="120"/>
      </w:pPr>
      <w:r>
        <w:rPr>
          <w:rFonts w:ascii="Arial" w:cs="Arial" w:eastAsia="Arial" w:hAnsi="Arial"/>
          <w:sz w:val="20"/>
          <w:szCs w:val="20"/>
        </w:rPr>
        <w:t xml:space="preserve">Neither Party may assign this Agreement without the prior written consent of the other Party, except that either Party may assign this Agreement in connection with a merger, acquisition, or sale of substantially all of its assets.</w:t>
      </w:r>
    </w:p>
    <w:p>
      <w:pPr>
        <w:spacing w:after="100" w:before="200"/>
      </w:pPr>
      <w:r>
        <w:rPr>
          <w:rFonts w:ascii="Arial" w:cs="Arial" w:eastAsia="Arial" w:hAnsi="Arial"/>
          <w:b/>
          <w:bCs/>
          <w:sz w:val="20"/>
          <w:szCs w:val="20"/>
        </w:rPr>
        <w:t xml:space="preserve">10.7 </w:t>
      </w:r>
      <w:r>
        <w:rPr>
          <w:rFonts w:ascii="Arial" w:cs="Arial" w:eastAsia="Arial" w:hAnsi="Arial"/>
          <w:b/>
          <w:bCs/>
          <w:sz w:val="20"/>
          <w:szCs w:val="20"/>
        </w:rPr>
        <w:t xml:space="preserve">Counterparts.</w:t>
      </w:r>
    </w:p>
    <w:p>
      <w:pPr>
        <w:spacing w:after="120"/>
      </w:pPr>
      <w:r>
        <w:rPr>
          <w:rFonts w:ascii="Arial" w:cs="Arial" w:eastAsia="Arial" w:hAnsi="Arial"/>
          <w:sz w:val="20"/>
          <w:szCs w:val="20"/>
        </w:rPr>
        <w:t xml:space="preserve">This Agreement may be executed in counterparts, each of which shall be deemed an original and all of which together shall constitute one and the same instrument.</w:t>
      </w:r>
    </w:p>
    <w:p>
      <w:pPr>
        <w:pBdr>
          <w:bottom w:val="single" w:color="CCCCCC" w:sz="1" w:space="1"/>
        </w:pBdr>
        <w:spacing w:after="200" w:before="200"/>
      </w:pPr>
    </w:p>
    <w:p>
      <w:r>
        <w:br w:type="page"/>
      </w:r>
    </w:p>
    <w:p>
      <w:pPr>
        <w:spacing w:after="200" w:before="360"/>
      </w:pPr>
      <w:r>
        <w:rPr>
          <w:rFonts w:ascii="Arial" w:cs="Arial" w:eastAsia="Arial" w:hAnsi="Arial"/>
          <w:b/>
          <w:bCs/>
          <w:color w:val="1B3A5C"/>
          <w:sz w:val="22"/>
          <w:szCs w:val="22"/>
        </w:rPr>
        <w:t xml:space="preserve">SIGNATURES</w:t>
      </w:r>
    </w:p>
    <w:p>
      <w:pPr>
        <w:spacing w:after="300"/>
      </w:pPr>
    </w:p>
    <w:p>
      <w:pPr>
        <w:spacing w:after="40"/>
      </w:pPr>
      <w:r>
        <w:rPr>
          <w:rFonts w:ascii="Arial" w:cs="Arial" w:eastAsia="Arial" w:hAnsi="Arial"/>
          <w:b/>
          <w:bCs/>
          <w:color w:val="1B3A5C"/>
          <w:sz w:val="22"/>
          <w:szCs w:val="22"/>
        </w:rPr>
        <w:t xml:space="preserve">AGENTIC WORLD, LLC</w:t>
      </w:r>
    </w:p>
    <w:p>
      <w:pPr>
        <w:spacing w:after="200"/>
      </w:pPr>
    </w:p>
    <w:p>
      <w:pPr>
        <w:spacing w:after="80"/>
      </w:pPr>
      <w:r>
        <w:rPr>
          <w:rFonts w:ascii="Arial" w:cs="Arial" w:eastAsia="Arial" w:hAnsi="Arial"/>
          <w:sz w:val="20"/>
          <w:szCs w:val="20"/>
        </w:rPr>
        <w:t xml:space="preserve">Signature: </w:t>
      </w:r>
      <w:r>
        <w:rPr>
          <w:rFonts w:ascii="Arial" w:cs="Arial" w:eastAsia="Arial" w:hAnsi="Arial"/>
          <w:color w:val="999999"/>
          <w:sz w:val="20"/>
          <w:szCs w:val="20"/>
        </w:rPr>
        <w:t xml:space="preserve">___________________________</w:t>
      </w:r>
    </w:p>
    <w:p>
      <w:pPr>
        <w:spacing w:after="80"/>
      </w:pPr>
    </w:p>
    <w:p>
      <w:pPr>
        <w:spacing w:after="80"/>
      </w:pPr>
      <w:r>
        <w:rPr>
          <w:rFonts w:ascii="Arial" w:cs="Arial" w:eastAsia="Arial" w:hAnsi="Arial"/>
          <w:sz w:val="20"/>
          <w:szCs w:val="20"/>
        </w:rPr>
        <w:t xml:space="preserve">Name: </w:t>
      </w:r>
      <w:r>
        <w:rPr>
          <w:rFonts w:ascii="Arial" w:cs="Arial" w:eastAsia="Arial" w:hAnsi="Arial"/>
          <w:sz w:val="20"/>
          <w:szCs w:val="20"/>
        </w:rPr>
        <w:t xml:space="preserve">Sherin Chacko Thomas</w:t>
      </w:r>
    </w:p>
    <w:p>
      <w:pPr>
        <w:spacing w:after="80"/>
      </w:pPr>
      <w:r>
        <w:rPr>
          <w:rFonts w:ascii="Arial" w:cs="Arial" w:eastAsia="Arial" w:hAnsi="Arial"/>
          <w:sz w:val="20"/>
          <w:szCs w:val="20"/>
        </w:rPr>
        <w:t xml:space="preserve">Title: </w:t>
      </w:r>
      <w:r>
        <w:rPr>
          <w:rFonts w:ascii="Arial" w:cs="Arial" w:eastAsia="Arial" w:hAnsi="Arial"/>
          <w:sz w:val="20"/>
          <w:szCs w:val="20"/>
        </w:rPr>
        <w:t xml:space="preserve">Managing Member</w:t>
      </w:r>
    </w:p>
    <w:p>
      <w:pPr>
        <w:spacing w:after="80"/>
      </w:pPr>
      <w:r>
        <w:rPr>
          <w:rFonts w:ascii="Arial" w:cs="Arial" w:eastAsia="Arial" w:hAnsi="Arial"/>
          <w:sz w:val="20"/>
          <w:szCs w:val="20"/>
        </w:rPr>
        <w:t xml:space="preserve">Date: </w:t>
      </w:r>
      <w:r>
        <w:rPr>
          <w:rFonts w:ascii="Arial" w:cs="Arial" w:eastAsia="Arial" w:hAnsi="Arial"/>
          <w:color w:val="999999"/>
          <w:sz w:val="20"/>
          <w:szCs w:val="20"/>
        </w:rPr>
        <w:t xml:space="preserve">___________________________</w:t>
      </w:r>
    </w:p>
    <w:p>
      <w:pPr>
        <w:spacing w:after="600"/>
      </w:pPr>
    </w:p>
    <w:p>
      <w:pPr>
        <w:spacing w:after="40"/>
      </w:pPr>
      <w:r>
        <w:rPr>
          <w:rFonts w:ascii="Arial" w:cs="Arial" w:eastAsia="Arial" w:hAnsi="Arial"/>
          <w:b/>
          <w:bCs/>
          <w:color w:val="999999"/>
          <w:sz w:val="22"/>
          <w:szCs w:val="22"/>
        </w:rPr>
        <w:t xml:space="preserve">_______________________</w:t>
      </w:r>
    </w:p>
    <w:p>
      <w:pPr>
        <w:spacing w:after="200"/>
      </w:pPr>
    </w:p>
    <w:p>
      <w:pPr>
        <w:spacing w:after="80"/>
      </w:pPr>
      <w:r>
        <w:rPr>
          <w:rFonts w:ascii="Arial" w:cs="Arial" w:eastAsia="Arial" w:hAnsi="Arial"/>
          <w:sz w:val="20"/>
          <w:szCs w:val="20"/>
        </w:rPr>
        <w:t xml:space="preserve">Signature: </w:t>
      </w:r>
      <w:r>
        <w:rPr>
          <w:rFonts w:ascii="Arial" w:cs="Arial" w:eastAsia="Arial" w:hAnsi="Arial"/>
          <w:color w:val="999999"/>
          <w:sz w:val="20"/>
          <w:szCs w:val="20"/>
        </w:rPr>
        <w:t xml:space="preserve">___________________________</w:t>
      </w:r>
    </w:p>
    <w:p>
      <w:pPr>
        <w:spacing w:after="80"/>
      </w:pPr>
    </w:p>
    <w:p>
      <w:pPr>
        <w:spacing w:after="80"/>
      </w:pPr>
      <w:r>
        <w:rPr>
          <w:rFonts w:ascii="Arial" w:cs="Arial" w:eastAsia="Arial" w:hAnsi="Arial"/>
          <w:sz w:val="20"/>
          <w:szCs w:val="20"/>
        </w:rPr>
        <w:t xml:space="preserve">Name: </w:t>
      </w:r>
      <w:r>
        <w:rPr>
          <w:rFonts w:ascii="Arial" w:cs="Arial" w:eastAsia="Arial" w:hAnsi="Arial"/>
          <w:color w:val="999999"/>
          <w:sz w:val="20"/>
          <w:szCs w:val="20"/>
        </w:rPr>
        <w:t xml:space="preserve">___________________________</w:t>
      </w:r>
    </w:p>
    <w:p>
      <w:pPr>
        <w:spacing w:after="80"/>
      </w:pPr>
      <w:r>
        <w:rPr>
          <w:rFonts w:ascii="Arial" w:cs="Arial" w:eastAsia="Arial" w:hAnsi="Arial"/>
          <w:sz w:val="20"/>
          <w:szCs w:val="20"/>
        </w:rPr>
        <w:t xml:space="preserve">Title: </w:t>
      </w:r>
      <w:r>
        <w:rPr>
          <w:rFonts w:ascii="Arial" w:cs="Arial" w:eastAsia="Arial" w:hAnsi="Arial"/>
          <w:color w:val="999999"/>
          <w:sz w:val="20"/>
          <w:szCs w:val="20"/>
        </w:rPr>
        <w:t xml:space="preserve">___________________________</w:t>
      </w:r>
    </w:p>
    <w:p>
      <w:pPr>
        <w:spacing w:after="80"/>
      </w:pPr>
      <w:r>
        <w:rPr>
          <w:rFonts w:ascii="Arial" w:cs="Arial" w:eastAsia="Arial" w:hAnsi="Arial"/>
          <w:sz w:val="20"/>
          <w:szCs w:val="20"/>
        </w:rPr>
        <w:t xml:space="preserve">Date: </w:t>
      </w:r>
      <w:r>
        <w:rPr>
          <w:rFonts w:ascii="Arial" w:cs="Arial" w:eastAsia="Arial" w:hAnsi="Arial"/>
          <w:color w:val="999999"/>
          <w:sz w:val="20"/>
          <w:szCs w:val="20"/>
        </w:rPr>
        <w:t xml:space="preserve">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sz="0"/>
        <w:left w:val="none" w:sz="0"/>
        <w:bottom w:val="none" w:sz="0"/>
        <w:right w:val="none" w:sz="0"/>
        <w:insideH w:val="none" w:sz="0"/>
        <w:insideV w:val="none" w:sz="0"/>
      </w:tblBorders>
    </w:tblPr>
    <w:tblGrid>
      <w:gridCol w:w="700"/>
      <w:gridCol w:w="8660"/>
    </w:tblGrid>
    <w:tr>
      <w:tc>
        <w:tcPr>
          <w:tcW w:type="dxa" w:w="700"/>
          <w:tcBorders>
            <w:top w:val="none"/>
            <w:left w:val="none"/>
            <w:bottom w:val="none"/>
            <w:right w:val="none"/>
          </w:tcBorders>
          <w:vAlign w:val="center"/>
        </w:tcPr>
        <w:p>
          <w:r>
            <w:drawing>
              <wp:inline distT="0" distB="0" distL="0" distR="0">
                <wp:extent cx="304800" cy="304800"/>
                <wp:effectExtent t="0" r="0" b="0" l="0"/>
                <wp:docPr id="1" name="logo" descr="Agentberlin logo" title="Agentberl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tc>
      <w:tc>
        <w:tcPr>
          <w:tcW w:type="dxa" w:w="8660"/>
          <w:tcBorders>
            <w:top w:val="none"/>
            <w:left w:val="none"/>
            <w:bottom w:val="none"/>
            <w:right w:val="none"/>
          </w:tcBorders>
          <w:vAlign w:val="center"/>
        </w:tcPr>
        <w:p>
          <w:pPr>
            <w:spacing w:after="0"/>
          </w:pPr>
          <w:r>
            <w:rPr>
              <w:rFonts w:ascii="Arial" w:cs="Arial" w:eastAsia="Arial" w:hAnsi="Arial"/>
              <w:b/>
              <w:bCs/>
              <w:color w:val="1B3A5C"/>
              <w:sz w:val="20"/>
              <w:szCs w:val="20"/>
            </w:rPr>
            <w:t xml:space="preserve">AGENTIC WORLD, LLC</w:t>
          </w:r>
        </w:p>
        <w:p>
          <w:pPr>
            <w:spacing w:after="0"/>
          </w:pPr>
          <w:r>
            <w:rPr>
              <w:rFonts w:ascii="Arial" w:cs="Arial" w:eastAsia="Arial" w:hAnsi="Arial"/>
              <w:color w:val="666666"/>
              <w:sz w:val="16"/>
              <w:szCs w:val="16"/>
            </w:rPr>
            <w:t xml:space="preserve">1111B S Governors Ave, STE 29991, Dover, DE 19904</w:t>
          </w:r>
        </w:p>
      </w:tc>
    </w:tr>
  </w:tbl>
  <w:p>
    <w:pPr>
      <w:pBdr>
        <w:bottom w:val="single" w:color="1B3A5C" w:sz="1"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449daeafa61fcb80e47cbd83b89ed5500df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2026-04-01T14:24:21.065Z</dcterms:created>
  <dcterms:modified xsi:type="dcterms:W3CDTF">2026-04-01T14:24:21.065Z</dcterms:modified>
</cp:coreProperties>
</file>

<file path=docProps/custom.xml><?xml version="1.0" encoding="utf-8"?>
<Properties xmlns="http://schemas.openxmlformats.org/officeDocument/2006/custom-properties" xmlns:vt="http://schemas.openxmlformats.org/officeDocument/2006/docPropsVTypes"/>
</file>