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2E2CEF10">
      <w:pPr>
        <w:spacing w:after="216" w:line="396"/>
        <w:jc w:val="left"/>
        <w:rPr>
          <w:color w:val="15507f"/>
        </w:rPr>
      </w:pPr>
      <w:r>
        <w:rPr>
          <w:rFonts w:hint="eastAsia" w:ascii="黑体" w:hAnsi="黑体" w:eastAsia="黑体" w:cs="黑体"/>
          <w:b w:val="1"/>
          <w:color w:val="15507f"/>
          <w:spacing w:val="33"/>
          <w:sz w:val="20"/>
        </w:rPr>
        <w:t>产品与工程设计文档</w:t>
      </w:r>
    </w:p>
    <w:p w14:paraId="45496497">
      <w:pPr>
        <w:spacing w:after="216" w:line="324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60"/>
        </w:rPr>
        <w:t>鲸鱼记账</w:t>
      </w:r>
    </w:p>
    <w:p w14:paraId="0C3254D8">
      <w:pPr>
        <w:spacing w:after="360" w:line="324"/>
        <w:jc w:val="left"/>
        <w:rPr>
          <w:color w:val="1a1a1a"/>
        </w:rPr>
      </w:pPr>
      <w:r>
        <w:rPr>
          <w:rFonts w:hint="eastAsia" w:ascii="黑体" w:hAnsi="黑体" w:eastAsia="黑体" w:cs="黑体"/>
          <w:color w:val="1a1a1a"/>
          <w:sz w:val="28"/>
        </w:rPr>
        <w:t>Windows 11 个人记账软件</w:t>
      </w:r>
      <w:r>
        <w:br w:type="textWrapping"/>
      </w:r>
      <w:r>
        <w:rPr>
          <w:rFonts w:hint="eastAsia" w:ascii="黑体" w:hAnsi="黑体" w:eastAsia="黑体" w:cs="黑体"/>
          <w:color w:val="1a1a1a"/>
          <w:sz w:val="28"/>
        </w:rPr>
        <w:t>需求分析与技术方案设计文档</w:t>
      </w:r>
    </w:p>
    <w:p w14:paraId="6A001A87">
      <w:pPr>
        <w:spacing w:after="360" w:line="396"/>
        <w:jc w:val="left"/>
        <w:rPr>
          <w:color w:val="5b6b7a"/>
        </w:rPr>
      </w:pPr>
      <w:r>
        <w:rPr>
          <w:rFonts w:hint="eastAsia" w:ascii="宋体" w:hAnsi="宋体" w:eastAsia="宋体" w:cs="宋体"/>
          <w:color w:val="5b6b7a"/>
          <w:sz w:val="20"/>
        </w:rPr>
        <w:t>功能范围梳理 · 需求分析 · 架构设计 · 技术选型论证 · 实施计划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5"/>
        <w:gridCol w:w="5981"/>
      </w:tblGrid>
      <w:tr>
        <w:trPr>
          <w:tblHeader w:val="1"/>
        </w:trPr>
        <w:tc>
          <w:tcPr>
            <w:tcW w:w="2325" w:type="dxa"/>
            <w:vAlign w:val="center"/>
          </w:tcPr>
          <w:p w14:paraId="1FB7548A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文档信息</w:t>
            </w:r>
          </w:p>
        </w:tc>
        <w:tc>
          <w:tcPr>
            <w:tcW w:w="5981" w:type="dxa"/>
            <w:vAlign w:val="center"/>
          </w:tcPr>
          <w:p w14:paraId="1864A9B0">
            <w:pPr>
              <w:rPr>
                <w:b w:val="1"/>
                <w:bCs w:val="1"/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4"/>
              </w:rPr>
              <w:t>内容</w:t>
            </w:r>
          </w:p>
        </w:tc>
      </w:tr>
      <w:tr>
        <w:trPr/>
        <w:tc>
          <w:tcPr>
            <w:tcW w:w="2325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D6E1E">
            <w:pPr>
              <w:jc w:val="left"/>
              <w:rPr>
                <w:color w:val="5b6b7a"/>
              </w:rPr>
            </w:pPr>
            <w:r>
              <w:rPr>
                <w:rFonts w:hint="eastAsia" w:ascii="宋体" w:hAnsi="宋体" w:eastAsia="宋体" w:cs="宋体"/>
                <w:color w:val="5b6b7a"/>
                <w:sz w:val="20"/>
              </w:rPr>
              <w:t>文档编号</w:t>
            </w:r>
          </w:p>
        </w:tc>
        <w:tc>
          <w:tcPr>
            <w:tcW w:w="5981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01F3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WL-SPEC-2026-001</w:t>
            </w:r>
          </w:p>
        </w:tc>
      </w:tr>
      <w:tr>
        <w:trPr/>
        <w:tc>
          <w:tcPr>
            <w:tcW w:w="2325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03643">
            <w:pPr>
              <w:jc w:val="left"/>
              <w:rPr>
                <w:color w:val="5b6b7a"/>
              </w:rPr>
            </w:pPr>
            <w:r>
              <w:rPr>
                <w:rFonts w:hint="eastAsia" w:ascii="宋体" w:hAnsi="宋体" w:eastAsia="宋体" w:cs="宋体"/>
                <w:color w:val="5b6b7a"/>
                <w:sz w:val="20"/>
              </w:rPr>
              <w:t>文档版本</w:t>
            </w:r>
          </w:p>
        </w:tc>
        <w:tc>
          <w:tcPr>
            <w:tcW w:w="5981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2465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V0.1（立项初稿，待评审）</w:t>
            </w:r>
          </w:p>
        </w:tc>
      </w:tr>
      <w:tr>
        <w:trPr/>
        <w:tc>
          <w:tcPr>
            <w:tcW w:w="2325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5CEE4">
            <w:pPr>
              <w:jc w:val="left"/>
              <w:rPr>
                <w:color w:val="5b6b7a"/>
              </w:rPr>
            </w:pPr>
            <w:r>
              <w:rPr>
                <w:rFonts w:hint="eastAsia" w:ascii="宋体" w:hAnsi="宋体" w:eastAsia="宋体" w:cs="宋体"/>
                <w:color w:val="5b6b7a"/>
                <w:sz w:val="20"/>
              </w:rPr>
              <w:t>文档类型</w:t>
            </w:r>
          </w:p>
        </w:tc>
        <w:tc>
          <w:tcPr>
            <w:tcW w:w="5981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F180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需求分析与技术方案设计</w:t>
            </w:r>
          </w:p>
        </w:tc>
      </w:tr>
      <w:tr>
        <w:trPr/>
        <w:tc>
          <w:tcPr>
            <w:tcW w:w="2325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729BE">
            <w:pPr>
              <w:jc w:val="left"/>
              <w:rPr>
                <w:color w:val="5b6b7a"/>
              </w:rPr>
            </w:pPr>
            <w:r>
              <w:rPr>
                <w:rFonts w:hint="eastAsia" w:ascii="宋体" w:hAnsi="宋体" w:eastAsia="宋体" w:cs="宋体"/>
                <w:color w:val="5b6b7a"/>
                <w:sz w:val="20"/>
              </w:rPr>
              <w:t>适用平台</w:t>
            </w:r>
          </w:p>
        </w:tc>
        <w:tc>
          <w:tcPr>
            <w:tcW w:w="5981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4A0A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Windows 11 x64</w:t>
            </w:r>
          </w:p>
        </w:tc>
      </w:tr>
      <w:tr>
        <w:trPr/>
        <w:tc>
          <w:tcPr>
            <w:tcW w:w="2325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DE35B">
            <w:pPr>
              <w:jc w:val="left"/>
              <w:rPr>
                <w:color w:val="5b6b7a"/>
              </w:rPr>
            </w:pPr>
            <w:r>
              <w:rPr>
                <w:rFonts w:hint="eastAsia" w:ascii="宋体" w:hAnsi="宋体" w:eastAsia="宋体" w:cs="宋体"/>
                <w:color w:val="5b6b7a"/>
                <w:sz w:val="20"/>
              </w:rPr>
              <w:t>编制日期</w:t>
            </w:r>
          </w:p>
        </w:tc>
        <w:tc>
          <w:tcPr>
            <w:tcW w:w="5981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010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2026 年 10 月 18 日</w:t>
            </w:r>
          </w:p>
        </w:tc>
      </w:tr>
      <w:tr>
        <w:trPr/>
        <w:tc>
          <w:tcPr>
            <w:tcW w:w="2325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030D7">
            <w:pPr>
              <w:jc w:val="left"/>
              <w:rPr>
                <w:color w:val="5b6b7a"/>
              </w:rPr>
            </w:pPr>
            <w:r>
              <w:rPr>
                <w:rFonts w:hint="eastAsia" w:ascii="宋体" w:hAnsi="宋体" w:eastAsia="宋体" w:cs="宋体"/>
                <w:color w:val="5b6b7a"/>
                <w:sz w:val="20"/>
              </w:rPr>
              <w:t>技术方案</w:t>
            </w:r>
          </w:p>
        </w:tc>
        <w:tc>
          <w:tcPr>
            <w:tcW w:w="5981" w:type="dxa"/>
            <w:tcBorders>
              <w:top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6AF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Tauri 2 + React 19 + Rust + SQLite（SQLCipher）</w:t>
            </w:r>
          </w:p>
        </w:tc>
      </w:tr>
    </w:tbl>
    <w:p w14:paraId="22B6CFBF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C1EA66E">
      <w:pPr>
        <w:spacing w:before="240" w:after="120"/>
      </w:pPr>
      <w:r>
        <w:rPr>
          <w:rFonts w:hint="eastAsia"/>
          <w:b w:val="1"/>
        </w:rPr>
        <w:t>目录</w:t>
      </w:r>
    </w:p>
    <w:p w14:paraId="6ED70AA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"sec-1" </w:instrText>
      </w:r>
      <w:r>
        <w:fldChar w:fldCharType="separate" w:fldLock="0" w:dirty="0"/>
      </w:r>
      <w:r>
        <w:rPr>
          <w:rFonts w:hint="eastAsia"/>
        </w:rPr>
        <w:t>1 文档说明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B944F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"sec-1-1" </w:instrText>
      </w:r>
      <w:r>
        <w:fldChar w:fldCharType="separate" w:fldLock="0" w:dirty="0"/>
      </w:r>
      <w:r>
        <w:rPr>
          <w:rFonts w:hint="eastAsia"/>
        </w:rPr>
        <w:t>1.1 文档目的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93923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"sec-1-2" </w:instrText>
      </w:r>
      <w:r>
        <w:fldChar w:fldCharType="separate" w:fldLock="0" w:dirty="0"/>
      </w:r>
      <w:r>
        <w:rPr>
          <w:rFonts w:hint="eastAsia"/>
        </w:rPr>
        <w:t>1.2 术语与约定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D94E5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"sec-1-3" </w:instrText>
      </w:r>
      <w:r>
        <w:fldChar w:fldCharType="separate" w:fldLock="0" w:dirty="0"/>
      </w:r>
      <w:r>
        <w:rPr>
          <w:rFonts w:hint="eastAsia"/>
        </w:rPr>
        <w:t>1.3 版本与修订记录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EE8B0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"sec-2" </w:instrText>
      </w:r>
      <w:r>
        <w:fldChar w:fldCharType="separate" w:fldLock="0" w:dirty="0"/>
      </w:r>
      <w:r>
        <w:rPr>
          <w:rFonts w:hint="eastAsia"/>
        </w:rPr>
        <w:t>2 项目概述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D8F66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"sec-2-1" </w:instrText>
      </w:r>
      <w:r>
        <w:fldChar w:fldCharType="separate" w:fldLock="0" w:dirty="0"/>
      </w:r>
      <w:r>
        <w:rPr>
          <w:rFonts w:hint="eastAsia"/>
        </w:rPr>
        <w:t>2.1 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3AACC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"sec-2-2" </w:instrText>
      </w:r>
      <w:r>
        <w:fldChar w:fldCharType="separate" w:fldLock="0" w:dirty="0"/>
      </w:r>
      <w:r>
        <w:rPr>
          <w:rFonts w:hint="eastAsia"/>
        </w:rPr>
        <w:t>2.2 产品定位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2E173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"sec-2-3" </w:instrText>
      </w:r>
      <w:r>
        <w:fldChar w:fldCharType="separate" w:fldLock="0" w:dirty="0"/>
      </w:r>
      <w:r>
        <w:rPr>
          <w:rFonts w:hint="eastAsia"/>
        </w:rPr>
        <w:t>2.3 目标用户与核心场景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00410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"sec-2-4" </w:instrText>
      </w:r>
      <w:r>
        <w:fldChar w:fldCharType="separate" w:fldLock="0" w:dirty="0"/>
      </w:r>
      <w:r>
        <w:rPr>
          <w:rFonts w:hint="eastAsia"/>
        </w:rPr>
        <w:t>2.4 明确不做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13B12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"sec-2-5" </w:instrText>
      </w:r>
      <w:r>
        <w:fldChar w:fldCharType="separate" w:fldLock="0" w:dirty="0"/>
      </w:r>
      <w:r>
        <w:rPr>
          <w:rFonts w:hint="eastAsia"/>
        </w:rPr>
        <w:t>2.5 成功度量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5925C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"sec-3" </w:instrText>
      </w:r>
      <w:r>
        <w:fldChar w:fldCharType="separate" w:fldLock="0" w:dirty="0"/>
      </w:r>
      <w:r>
        <w:rPr>
          <w:rFonts w:hint="eastAsia"/>
        </w:rPr>
        <w:t>3 同类产品功能梳理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9E39E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"sec-3-1" </w:instrText>
      </w:r>
      <w:r>
        <w:fldChar w:fldCharType="separate" w:fldLock="0" w:dirty="0"/>
      </w:r>
      <w:r>
        <w:rPr>
          <w:rFonts w:hint="eastAsia"/>
        </w:rPr>
        <w:t>3.1 调研对象与方法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95ED8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"sec-3-2" </w:instrText>
      </w:r>
      <w:r>
        <w:fldChar w:fldCharType="separate" w:fldLock="0" w:dirty="0"/>
      </w:r>
      <w:r>
        <w:rPr>
          <w:rFonts w:hint="eastAsia"/>
        </w:rPr>
        <w:t>3.2 代表产品的能力特征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AB1DA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"sec-3-3" </w:instrText>
      </w:r>
      <w:r>
        <w:fldChar w:fldCharType="separate" w:fldLock="0" w:dirty="0"/>
      </w:r>
      <w:r>
        <w:rPr>
          <w:rFonts w:hint="eastAsia"/>
        </w:rPr>
        <w:t>3.3 功能矩阵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9215C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"sec-3-4" </w:instrText>
      </w:r>
      <w:r>
        <w:fldChar w:fldCharType="separate" w:fldLock="0" w:dirty="0"/>
      </w:r>
      <w:r>
        <w:rPr>
          <w:rFonts w:hint="eastAsia"/>
        </w:rPr>
        <w:t>3.4 桌面端的能力空白与机会点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1FFA2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"sec-3-5" </w:instrText>
      </w:r>
      <w:r>
        <w:fldChar w:fldCharType="separate" w:fldLock="0" w:dirty="0"/>
      </w:r>
      <w:r>
        <w:rPr>
          <w:rFonts w:hint="eastAsia"/>
        </w:rPr>
        <w:t>3.5 功能范围结论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C8DD1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"sec-4" </w:instrText>
      </w:r>
      <w:r>
        <w:fldChar w:fldCharType="separate" w:fldLock="0" w:dirty="0"/>
      </w:r>
      <w:r>
        <w:rPr>
          <w:rFonts w:hint="eastAsia"/>
        </w:rPr>
        <w:t>4 需求分析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F8F8E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"sec-4-1" </w:instrText>
      </w:r>
      <w:r>
        <w:fldChar w:fldCharType="separate" w:fldLock="0" w:dirty="0"/>
      </w:r>
      <w:r>
        <w:rPr>
          <w:rFonts w:hint="eastAsia"/>
        </w:rPr>
        <w:t>4.1 用户任务模型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C8D4B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"sec-4-2" </w:instrText>
      </w:r>
      <w:r>
        <w:fldChar w:fldCharType="separate" w:fldLock="0" w:dirty="0"/>
      </w:r>
      <w:r>
        <w:rPr>
          <w:rFonts w:hint="eastAsia"/>
        </w:rPr>
        <w:t>4.2 功能需求清单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48B29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"sec-4-3" </w:instrText>
      </w:r>
      <w:r>
        <w:fldChar w:fldCharType="separate" w:fldLock="0" w:dirty="0"/>
      </w:r>
      <w:r>
        <w:rPr>
          <w:rFonts w:hint="eastAsia"/>
        </w:rPr>
        <w:t>4.3 关键业务规则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80871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"sec-4-4" </w:instrText>
      </w:r>
      <w:r>
        <w:fldChar w:fldCharType="separate" w:fldLock="0" w:dirty="0"/>
      </w:r>
      <w:r>
        <w:rPr>
          <w:rFonts w:hint="eastAsia"/>
        </w:rPr>
        <w:t>4.4 非功能需求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924B2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"sec-4-5" </w:instrText>
      </w:r>
      <w:r>
        <w:fldChar w:fldCharType="separate" w:fldLock="0" w:dirty="0"/>
      </w:r>
      <w:r>
        <w:rPr>
          <w:rFonts w:hint="eastAsia"/>
        </w:rPr>
        <w:t>4.5 优先级与版本规划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77A05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"sec-5" </w:instrText>
      </w:r>
      <w:r>
        <w:fldChar w:fldCharType="separate" w:fldLock="0" w:dirty="0"/>
      </w:r>
      <w:r>
        <w:rPr>
          <w:rFonts w:hint="eastAsia"/>
        </w:rPr>
        <w:t>5 架构设计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CA729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"sec-5-1" </w:instrText>
      </w:r>
      <w:r>
        <w:fldChar w:fldCharType="separate" w:fldLock="0" w:dirty="0"/>
      </w:r>
      <w:r>
        <w:rPr>
          <w:rFonts w:hint="eastAsia"/>
        </w:rPr>
        <w:t>5.1 设计原则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AC04E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"sec-5-2" </w:instrText>
      </w:r>
      <w:r>
        <w:fldChar w:fldCharType="separate" w:fldLock="0" w:dirty="0"/>
      </w:r>
      <w:r>
        <w:rPr>
          <w:rFonts w:hint="eastAsia"/>
        </w:rPr>
        <w:t>5.2 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8092F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"sec-5-3" </w:instrText>
      </w:r>
      <w:r>
        <w:fldChar w:fldCharType="separate" w:fldLock="0" w:dirty="0"/>
      </w:r>
      <w:r>
        <w:rPr>
          <w:rFonts w:hint="eastAsia"/>
        </w:rPr>
        <w:t>5.3 进程模型与 IPC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8F6E0B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"sec-5-4" </w:instrText>
      </w:r>
      <w:r>
        <w:fldChar w:fldCharType="separate" w:fldLock="0" w:dirty="0"/>
      </w:r>
      <w:r>
        <w:rPr>
          <w:rFonts w:hint="eastAsia"/>
        </w:rPr>
        <w:t>5.4 模块划分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5B318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"sec-5-5" </w:instrText>
      </w:r>
      <w:r>
        <w:fldChar w:fldCharType="separate" w:fldLock="0" w:dirty="0"/>
      </w:r>
      <w:r>
        <w:rPr>
          <w:rFonts w:hint="eastAsia"/>
        </w:rPr>
        <w:t>5.5 数据模型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2D4DB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"sec-5-10" </w:instrText>
      </w:r>
      <w:r>
        <w:fldChar w:fldCharType="separate" w:fldLock="0" w:dirty="0"/>
      </w:r>
      <w:r>
        <w:rPr>
          <w:rFonts w:hint="eastAsia"/>
        </w:rPr>
        <w:t>5.6 关键流程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80EA4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"sec-5-16" </w:instrText>
      </w:r>
      <w:r>
        <w:fldChar w:fldCharType="separate" w:fldLock="0" w:dirty="0"/>
      </w:r>
      <w:r>
        <w:rPr>
          <w:rFonts w:hint="eastAsia"/>
        </w:rPr>
        <w:t>5.7 一致性与事务策略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00D5D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"sec-5-17" </w:instrText>
      </w:r>
      <w:r>
        <w:fldChar w:fldCharType="separate" w:fldLock="0" w:dirty="0"/>
      </w:r>
      <w:r>
        <w:rPr>
          <w:rFonts w:hint="eastAsia"/>
        </w:rPr>
        <w:t>5.8 性能设计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DAC59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"sec-5-18" </w:instrText>
      </w:r>
      <w:r>
        <w:fldChar w:fldCharType="separate" w:fldLock="0" w:dirty="0"/>
      </w:r>
      <w:r>
        <w:rPr>
          <w:rFonts w:hint="eastAsia"/>
        </w:rPr>
        <w:t>5.9 安全与隐私设计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F80B58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"sec-5-19" </w:instrText>
      </w:r>
      <w:r>
        <w:fldChar w:fldCharType="separate" w:fldLock="0" w:dirty="0"/>
      </w:r>
      <w:r>
        <w:rPr>
          <w:rFonts w:hint="eastAsia"/>
        </w:rPr>
        <w:t>5.10 可观测性与诊断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sec-5-19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35042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"sec-5-20" </w:instrText>
      </w:r>
      <w:r>
        <w:fldChar w:fldCharType="separate" w:fldLock="0" w:dirty="0"/>
      </w:r>
      <w:r>
        <w:rPr>
          <w:rFonts w:hint="eastAsia"/>
        </w:rPr>
        <w:t>5.11 部署、升级与备份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sec-5-20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07404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"sec-5-21" </w:instrText>
      </w:r>
      <w:r>
        <w:fldChar w:fldCharType="separate" w:fldLock="0" w:dirty="0"/>
      </w:r>
      <w:r>
        <w:rPr>
          <w:rFonts w:hint="eastAsia"/>
        </w:rPr>
        <w:t>5.12 扩展性设计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sec-5-21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FA199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"sec-6" </w:instrText>
      </w:r>
      <w:r>
        <w:fldChar w:fldCharType="separate" w:fldLock="0" w:dirty="0"/>
      </w:r>
      <w:r>
        <w:rPr>
          <w:rFonts w:hint="eastAsia"/>
        </w:rPr>
        <w:t>6 技术选型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5C4A8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"sec-6-1" </w:instrText>
      </w:r>
      <w:r>
        <w:fldChar w:fldCharType="separate" w:fldLock="0" w:dirty="0"/>
      </w:r>
      <w:r>
        <w:rPr>
          <w:rFonts w:hint="eastAsia"/>
        </w:rPr>
        <w:t>6.1 候选方案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5E16B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"sec-6-2" </w:instrText>
      </w:r>
      <w:r>
        <w:fldChar w:fldCharType="separate" w:fldLock="0" w:dirty="0"/>
      </w:r>
      <w:r>
        <w:rPr>
          <w:rFonts w:hint="eastAsia"/>
        </w:rPr>
        <w:t>6.2 开发环境实测基线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8152D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"sec-6-3" </w:instrText>
      </w:r>
      <w:r>
        <w:fldChar w:fldCharType="separate" w:fldLock="0" w:dirty="0"/>
      </w:r>
      <w:r>
        <w:rPr>
          <w:rFonts w:hint="eastAsia"/>
        </w:rPr>
        <w:t>6.3 评估方法与评分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3A0C1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"sec-6-4" </w:instrText>
      </w:r>
      <w:r>
        <w:fldChar w:fldCharType="separate" w:fldLock="0" w:dirty="0"/>
      </w:r>
      <w:r>
        <w:rPr>
          <w:rFonts w:hint="eastAsia"/>
        </w:rPr>
        <w:t>6.4 结论与理由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65DA1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"sec-6-5" </w:instrText>
      </w:r>
      <w:r>
        <w:fldChar w:fldCharType="separate" w:fldLock="0" w:dirty="0"/>
      </w:r>
      <w:r>
        <w:rPr>
          <w:rFonts w:hint="eastAsia"/>
        </w:rPr>
        <w:t>6.5 选型清单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67F75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"sec-6-6" </w:instrText>
      </w:r>
      <w:r>
        <w:fldChar w:fldCharType="separate" w:fldLock="0" w:dirty="0"/>
      </w:r>
      <w:r>
        <w:rPr>
          <w:rFonts w:hint="eastAsia"/>
        </w:rPr>
        <w:t>6.6 环境搭建步骤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6DF33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"sec-6-7" </w:instrText>
      </w:r>
      <w:r>
        <w:fldChar w:fldCharType="separate" w:fldLock="0" w:dirty="0"/>
      </w:r>
      <w:r>
        <w:rPr>
          <w:rFonts w:hint="eastAsia"/>
        </w:rPr>
        <w:t>6.7 选型风险与缓解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sec-6-7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64A81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"sec-7" </w:instrText>
      </w:r>
      <w:r>
        <w:fldChar w:fldCharType="separate" w:fldLock="0" w:dirty="0"/>
      </w:r>
      <w:r>
        <w:rPr>
          <w:rFonts w:hint="eastAsia"/>
        </w:rPr>
        <w:t>7 工程实施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16DA2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"sec-7-1" </w:instrText>
      </w:r>
      <w:r>
        <w:fldChar w:fldCharType="separate" w:fldLock="0" w:dirty="0"/>
      </w:r>
      <w:r>
        <w:rPr>
          <w:rFonts w:hint="eastAsia"/>
        </w:rPr>
        <w:t>7.1 工程结构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96BED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"sec-7-2" </w:instrText>
      </w:r>
      <w:r>
        <w:fldChar w:fldCharType="separate" w:fldLock="0" w:dirty="0"/>
      </w:r>
      <w:r>
        <w:rPr>
          <w:rFonts w:hint="eastAsia"/>
        </w:rPr>
        <w:t>7.2 编码规范要点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8308A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"sec-7-3" </w:instrText>
      </w:r>
      <w:r>
        <w:fldChar w:fldCharType="separate" w:fldLock="0" w:dirty="0"/>
      </w:r>
      <w:r>
        <w:rPr>
          <w:rFonts w:hint="eastAsia"/>
        </w:rPr>
        <w:t>7.3 测试策略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4A5ED0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"sec-7-4" </w:instrText>
      </w:r>
      <w:r>
        <w:fldChar w:fldCharType="separate" w:fldLock="0" w:dirty="0"/>
      </w:r>
      <w:r>
        <w:rPr>
          <w:rFonts w:hint="eastAsia"/>
        </w:rPr>
        <w:t>7.4 里程碑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77B92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"sec-7-5" </w:instrText>
      </w:r>
      <w:r>
        <w:fldChar w:fldCharType="separate" w:fldLock="0" w:dirty="0"/>
      </w:r>
      <w:r>
        <w:rPr>
          <w:rFonts w:hint="eastAsia"/>
        </w:rPr>
        <w:t>7.5 验收标准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FDA355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"sec-8" </w:instrText>
      </w:r>
      <w:r>
        <w:fldChar w:fldCharType="separate" w:fldLock="0" w:dirty="0"/>
      </w:r>
      <w:r>
        <w:rPr>
          <w:rFonts w:hint="eastAsia"/>
        </w:rPr>
        <w:t>8 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BCAD6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"sec-8-1" </w:instrText>
      </w:r>
      <w:r>
        <w:fldChar w:fldCharType="separate" w:fldLock="0" w:dirty="0"/>
      </w:r>
      <w:r>
        <w:rPr>
          <w:rFonts w:hint="eastAsia"/>
        </w:rPr>
        <w:t>8.1 数据库初始化脚本（节选）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24821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"sec-8-2" </w:instrText>
      </w:r>
      <w:r>
        <w:fldChar w:fldCharType="separate" w:fldLock="0" w:dirty="0"/>
      </w:r>
      <w:r>
        <w:rPr>
          <w:rFonts w:hint="eastAsia"/>
        </w:rPr>
        <w:t>8.2 默认快捷键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6EB8D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"sec-8-3" </w:instrText>
      </w:r>
      <w:r>
        <w:fldChar w:fldCharType="separate" w:fldLock="0" w:dirty="0"/>
      </w:r>
      <w:r>
        <w:rPr>
          <w:rFonts w:hint="eastAsia"/>
        </w:rPr>
        <w:t>8.3 风险登记册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F350D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"sec-8-4" </w:instrText>
      </w:r>
      <w:r>
        <w:fldChar w:fldCharType="separate" w:fldLock="0" w:dirty="0"/>
      </w:r>
      <w:r>
        <w:rPr>
          <w:rFonts w:hint="eastAsia"/>
        </w:rPr>
        <w:t>8.4 参考资料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sec-8-4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77BA54D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c9d6e3" w:sz="6"/>
              <w:left w:val="single" w:color="15507f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6FC6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5"/>
              </w:rPr>
              <w:t>文档摘要（Executive Summary）</w:t>
            </w:r>
          </w:p>
        </w:tc>
      </w:tr>
      <w:tr>
        <w:trPr/>
        <w:tc>
          <w:tcPr>
            <w:tcW w:w="8306" w:type="dxa"/>
            <w:tcBorders>
              <w:left w:val="single" w:color="15507f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DD9577">
            <w:pPr>
              <w:spacing w:before="78" w:after="78"/>
              <w:ind w:firstLine="480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范围结论：覆盖市面主流记账产品的基础能力（收支记账、二级分类、多账户与转账、预算、统计报表、导入导出、备份恢复、密码锁），并在桌面端补足全局快捷键、托盘常驻与键盘全流程操作三项差异化能力；共享账本、银行直连与理财产品明确不做。</w:t>
            </w:r>
          </w:p>
          <w:p w14:paraId="27781827">
            <w:pPr>
              <w:spacing w:before="78" w:after="78"/>
              <w:ind w:firstLine="480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架构结论：采用表现层、应用层、领域层、基础设施层四层结构，前端以 Web 技术栈承载界面，后端以 Rust 承载业务规则与数据访问，单文件加密 SQLite 落库，转账不计收支、余额为可重算的派生数据。</w:t>
            </w:r>
          </w:p>
          <w:p w14:paraId="1D24ACE1">
            <w:pPr>
              <w:spacing w:before="78" w:after="78"/>
              <w:ind w:firstLine="480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选型结论：在八项准则加权评分中，Tauri 2 方案以 4.50 分居首，Electron 3.65 分、WPF 3.55 分、WinUI 3 3.00 分随后；决定性因素是当前环境零前置安装即可开工，以及安装包体积与界面开发效率的双重优势。</w:t>
            </w:r>
          </w:p>
          <w:p w14:paraId="0D3C94A0">
            <w:pPr>
              <w:spacing w:before="78" w:after="78"/>
              <w:ind w:firstLine="480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环境结论：本机实测 .NET SDK 缺失（仅有 6.0 与 7.0 运行时），而 VS 2022 的 MSVC 14.44、Windows SDK 10.0.26100、Rust 1.95 msvc、Node 22 与 WebView2 155 均已就绪，npm 镜像、crates.io 与 nuget.org 三条依赖链均可访问。</w:t>
            </w:r>
          </w:p>
          <w:p w14:paraId="75E549D4">
            <w:pPr>
              <w:spacing w:before="78" w:after="78"/>
              <w:ind w:firstLine="480"/>
              <w:jc w:val="both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4"/>
              </w:rPr>
              <w:t>实施结论：V1.0 以 8 周、5 个里程碑推进，数据层先行；交付以 10 条验收标准为准，其中性能、余额一致性、断电恢复与加密四项为不可妥协的底线。</w:t>
            </w:r>
          </w:p>
        </w:tc>
      </w:tr>
    </w:tbl>
    <w:p w14:paraId="27815A64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1" w:name="sec-1"/>
      <w:r>
        <w:rPr>
          <w:rFonts w:hint="eastAsia" w:ascii="黑体" w:hAnsi="黑体" w:eastAsia="黑体" w:cs="黑体"/>
          <w:b w:val="1"/>
          <w:color w:val="0e3a5d"/>
          <w:sz w:val="36"/>
        </w:rPr>
        <w:t>1 文档说明</w:t>
      </w:r>
      <w:bookmarkEnd w:id="1"/>
    </w:p>
    <w:p w14:paraId="37EF028F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" w:name="sec-1-1"/>
      <w:r>
        <w:rPr>
          <w:rFonts w:hint="eastAsia" w:ascii="黑体" w:hAnsi="黑体" w:eastAsia="黑体" w:cs="黑体"/>
          <w:b w:val="1"/>
          <w:color w:val="15507f"/>
          <w:sz w:val="28"/>
        </w:rPr>
        <w:t>1.1 文档目的</w:t>
      </w:r>
      <w:bookmarkEnd w:id="2"/>
    </w:p>
    <w:p w14:paraId="4AEFA183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本文档为"鲸鱼记账"Windows 11 桌面端个人记账软件的立项与开发依据，覆盖三个层次的内容：一是同类产品功能梳理与需求范围界定，二是系统架构与数据模型设计，三是基于本项目实际开发环境实测结果的技术选型论证。文档的预期读者为产品负责人、开发工程师与测试工程师，阅读后应当能够直接进入开发排期与代码实施，无需再就"做什么、怎么做、用什么做"作二次决策。</w:t>
      </w:r>
    </w:p>
    <w:p w14:paraId="64E6310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按照文档定位，本文档给出的是</w:t>
      </w:r>
      <w:r>
        <w:rPr>
          <w:rFonts w:hint="eastAsia" w:ascii="宋体" w:hAnsi="宋体" w:eastAsia="宋体" w:cs="宋体"/>
          <w:b w:val="1"/>
          <w:color w:val="1a1a1a"/>
          <w:sz w:val="24"/>
        </w:rPr>
        <w:t>可执行的工程约定</w:t>
      </w:r>
      <w:r>
        <w:rPr>
          <w:rFonts w:hint="eastAsia" w:ascii="宋体" w:hAnsi="宋体" w:eastAsia="宋体" w:cs="宋体"/>
          <w:color w:val="1a1a1a"/>
          <w:sz w:val="24"/>
        </w:rPr>
        <w:t>（含表结构、接口契约、目录结构、验收标准），而非方向性描述。凡涉及取舍之处，均给出结论、依据与备选路径，便于后续复盘。</w:t>
      </w:r>
    </w:p>
    <w:p w14:paraId="2DC8453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文档按三个档位组织，每档回答一组独立问题，可分别评审、分别签署。阅读路径如下：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3D57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档位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46DC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回答的问题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4D13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对应章节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A0E2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主要读者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13EF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评审产出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EB7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第一档 需求分析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E97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做什么、给谁做、先做什么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619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 2、3、4 章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299D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产品、测试、业务方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3B24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功能范围与优先级冻结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320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第二档 架构设计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E02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怎么拆、数据怎么存、流程怎么走、如何演进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6020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 5 章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5E02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开发工程师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15C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数据模型与接口契约冻结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D96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第三档 技术选型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447D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用什么做、为什么不用别的、代价是什么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CCF7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 6 章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446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技术负责人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A6040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技术栈与依赖基线冻结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C4D8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附 实施约束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E8CA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怎么排期、怎么测、按什么验收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1DB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 7、8 章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5BB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全员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32C4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里程碑与验收清单</w:t>
            </w:r>
          </w:p>
        </w:tc>
      </w:tr>
    </w:tbl>
    <w:p w14:paraId="7482822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三档之间存在依赖关系：需求优先级决定架构中哪些能力必须前置，架构的扩展点决定技术选型的硬性约束（如是否需要原生层、是否要求跨平台），技术选型的结论反过来约束需求的实现成本。因此评审应按档位顺序进行，不宜并行拍板。</w:t>
      </w:r>
    </w:p>
    <w:p w14:paraId="2666131F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3" w:name="sec-1-2"/>
      <w:r>
        <w:rPr>
          <w:rFonts w:hint="eastAsia" w:ascii="黑体" w:hAnsi="黑体" w:eastAsia="黑体" w:cs="黑体"/>
          <w:b w:val="1"/>
          <w:color w:val="15507f"/>
          <w:sz w:val="28"/>
        </w:rPr>
        <w:t>1.2 术语与约定</w:t>
      </w:r>
      <w:bookmarkEnd w:id="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6831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术语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71303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780F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交易（Txn）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5E6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一条记账流水，类型为支出、收入或转账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CCCC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账本（Ledger）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860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数据隔离单元，如"日常生活""装修""副业"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8A1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账户（Account）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EB8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资金的载体，如现金、储蓄卡、信用卡、第三方支付余额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8ABC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分类（Category）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338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收支的用途归属，支持一级与二级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509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余额（Balance）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7FC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账户当前可用或欠款金额，由初始余额与全部流水推导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F07A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最小货币单位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AFCC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金额以"分"为单位的整数存储，避免浮点误差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B555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派生数据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5003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可由流水重新计算得到的数据，如账户余额、月度汇总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D038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基线版本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8902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本文档对应的 V1.0 范围，即首个可交付版本</w:t>
            </w:r>
          </w:p>
        </w:tc>
      </w:tr>
    </w:tbl>
    <w:p w14:paraId="6E49B8C5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金额在文档中统一以"分"为存储单位、以"元"为展示单位。时间语义上，"发生日期"指用户所在时区的日历日（不带时区），"创建时间"指带时区的时刻。这一区分直接影响统计口径，详见 5.5.3。</w:t>
      </w:r>
    </w:p>
    <w:p w14:paraId="41CB43D3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" w:name="sec-1-3"/>
      <w:r>
        <w:rPr>
          <w:rFonts w:hint="eastAsia" w:ascii="黑体" w:hAnsi="黑体" w:eastAsia="黑体" w:cs="黑体"/>
          <w:b w:val="1"/>
          <w:color w:val="15507f"/>
          <w:sz w:val="28"/>
        </w:rPr>
        <w:t>1.3 版本与修订记录</w:t>
      </w:r>
      <w:bookmarkEnd w:id="4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A33E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版本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3E22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日期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B432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修订内容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AF0E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状态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15A3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0.1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6A1F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2026-10-18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6F4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立项初稿：功能范围、需求分析、架构与技术选型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88F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已归档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81FFD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0.2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C1CD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2026-10-18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539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增补三档导读（1.1）；新增扩展性设计专节（5.12）；补优先级判定标准（4.5）；按开发环境实测复核技术选型基线（6.2）；修正同类产品的两处表述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0A13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待评审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8BDD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1.0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C1C5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待定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40F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评审通过后冻结为开发基线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0AF7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计划</w:t>
            </w:r>
          </w:p>
        </w:tc>
      </w:tr>
    </w:tbl>
    <w:p w14:paraId="29943E03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5" w:name="sec-2"/>
      <w:r>
        <w:rPr>
          <w:rFonts w:hint="eastAsia" w:ascii="黑体" w:hAnsi="黑体" w:eastAsia="黑体" w:cs="黑体"/>
          <w:b w:val="1"/>
          <w:color w:val="0e3a5d"/>
          <w:sz w:val="36"/>
        </w:rPr>
        <w:t>2 项目概述</w:t>
      </w:r>
      <w:bookmarkEnd w:id="5"/>
    </w:p>
    <w:p w14:paraId="751C177C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6" w:name="sec-2-1"/>
      <w:r>
        <w:rPr>
          <w:rFonts w:hint="eastAsia" w:ascii="黑体" w:hAnsi="黑体" w:eastAsia="黑体" w:cs="黑体"/>
          <w:b w:val="1"/>
          <w:color w:val="15507f"/>
          <w:sz w:val="28"/>
        </w:rPr>
        <w:t>2.1 背景</w:t>
      </w:r>
      <w:bookmarkEnd w:id="6"/>
    </w:p>
    <w:p w14:paraId="7D65E10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个人记账软件市场在移动端已高度成熟，但在 Windows 桌面端存在明显的结构性空缺。这一空缺并非需求缺失，而是产品供给侧的偏移，具体表现为三类问题。</w:t>
      </w:r>
    </w:p>
    <w:p w14:paraId="5ADBE66B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第一类是在位产品的桌面端属于"移动端移植"。以国内用户量较大、且已在 Microsoft Store 上架 Windows 版的钱迹为例，其桌面端在交互上仍以移动端范式为主，键盘支持与多窗口能力有限；其"AI 自动记账"依赖移动系统的无障碍服务与通知监听权限，桌面端不具备对应机制，该能力在 Windows 版本上难以等价实现。这并非厂商能力不足，而是移动端能力迁移至桌面时的固有损耗。第二类是专业软件门槛过高。GnuCash 等复式记账工具功能完备但界面陈旧、概念负担重，个人用户的学习成本远超收益。第三类是通用表格的隐性成本。Excel 记账零门槛起步，但缺乏结构化约束，分类混乱、口径不一、跨年分析困难等问题在积累一到两年后集中爆发。</w:t>
      </w:r>
    </w:p>
    <w:p w14:paraId="69CD0669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与此同时，Windows 11 用户群体中存在一批高频、长周期、对数据主权敏感的用户：他们希望账单留在本地、希望录入速度以键盘为中心、希望一次性投入后十年可用。这类需求与云端订阅制产品的商业逻辑天然冲突，构成了本项目的机会窗口。</w:t>
      </w:r>
    </w:p>
    <w:p w14:paraId="79C75FE6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7" w:name="sec-2-2"/>
      <w:r>
        <w:rPr>
          <w:rFonts w:hint="eastAsia" w:ascii="黑体" w:hAnsi="黑体" w:eastAsia="黑体" w:cs="黑体"/>
          <w:b w:val="1"/>
          <w:color w:val="15507f"/>
          <w:sz w:val="28"/>
        </w:rPr>
        <w:t>2.2 产品定位</w:t>
      </w:r>
      <w:bookmarkEnd w:id="7"/>
    </w:p>
    <w:p w14:paraId="6B9BE29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一句话定位：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面向 Windows 11 的本地优先、键盘优先、纯记账无理财的个人财务工具。</w:t>
      </w:r>
    </w:p>
    <w:p w14:paraId="02AC238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三个关键词的边界含义如下。</w:t>
      </w:r>
    </w:p>
    <w:p w14:paraId="24CBCF91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本地优先</w:t>
      </w:r>
      <w:r>
        <w:rPr>
          <w:rFonts w:hint="eastAsia" w:ascii="宋体" w:hAnsi="宋体" w:eastAsia="宋体" w:cs="宋体"/>
          <w:color w:val="1a1a1a"/>
          <w:sz w:val="24"/>
        </w:rPr>
        <w:t>：全部数据存于本机 SQLite 文件，无强制账号、无强制联网。云同步作为可选增强（V2.0 之后评估），不作为 V1.0 的架构前提。</w:t>
      </w:r>
    </w:p>
    <w:p w14:paraId="04B0AC67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键盘优先</w:t>
      </w:r>
      <w:r>
        <w:rPr>
          <w:rFonts w:hint="eastAsia" w:ascii="宋体" w:hAnsi="宋体" w:eastAsia="宋体" w:cs="宋体"/>
          <w:color w:val="1a1a1a"/>
          <w:sz w:val="24"/>
        </w:rPr>
        <w:t>：从启动到完成一笔记账，全流程可在键盘内闭环，目标操作路径不超过 4 次击键加 1 次金额输入。这是与移动端移植产品的主要差异化点。</w:t>
      </w:r>
    </w:p>
    <w:p w14:paraId="047D68D5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无理财</w:t>
      </w:r>
      <w:r>
        <w:rPr>
          <w:rFonts w:hint="eastAsia" w:ascii="宋体" w:hAnsi="宋体" w:eastAsia="宋体" w:cs="宋体"/>
          <w:color w:val="1a1a1a"/>
          <w:sz w:val="24"/>
        </w:rPr>
        <w:t>：不提供基金、股票、网贷、信用卡分期商城等业务，不做流量变现。账户类型覆盖负债（信用卡、借款）仅为如实反映净资产，不延伸至金融产品销售。</w:t>
      </w:r>
    </w:p>
    <w:p w14:paraId="3D62BE20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8" w:name="sec-2-3"/>
      <w:r>
        <w:rPr>
          <w:rFonts w:hint="eastAsia" w:ascii="黑体" w:hAnsi="黑体" w:eastAsia="黑体" w:cs="黑体"/>
          <w:b w:val="1"/>
          <w:color w:val="15507f"/>
          <w:sz w:val="28"/>
        </w:rPr>
        <w:t>2.3 目标用户与核心场景</w:t>
      </w:r>
      <w:bookmarkEnd w:id="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A81E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用户类型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3DC1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典型特征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B490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核心诉求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2F21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首要场景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983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记录型个人用户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7544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25 至 40 岁，有稳定收入，记账 1 年以上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955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录入快、报表准、数据不丢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8F6F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日常消费随手记，月度复盘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3E79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家庭账务管理者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217B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掌握家庭共同开支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931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多账本、分类清晰、月度对比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E09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记录家庭支出与房贷水电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F354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自由职业者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5AA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收支项目混合，需区分业务与个人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E29BA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标签、报销状态、年度汇总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3B8D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项目收支归集与报税准备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CC59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数据敏感用户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DE19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拒绝上传账单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F68D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全离线、可加密、可导出可迁移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4FB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本地备份与加密保护</w:t>
            </w:r>
          </w:p>
        </w:tc>
      </w:tr>
    </w:tbl>
    <w:p w14:paraId="5B304C73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四条主线的共同点在于：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数据是长期资产，工具必须保证十年后仍可读、可迁移。</w:t>
      </w:r>
      <w:r>
        <w:rPr>
          <w:rFonts w:hint="eastAsia" w:ascii="宋体" w:hAnsi="宋体" w:eastAsia="宋体" w:cs="宋体"/>
          <w:color w:val="1a1a1a"/>
          <w:sz w:val="24"/>
        </w:rPr>
        <w:t xml:space="preserve"> 这一判断直接决定了后续两处关键设计——导出格式必须开放（CSV 与 xlsx），数据库必须提供无损快照备份。</w:t>
      </w:r>
    </w:p>
    <w:p w14:paraId="4B2D95EF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9" w:name="sec-2-4"/>
      <w:r>
        <w:rPr>
          <w:rFonts w:hint="eastAsia" w:ascii="黑体" w:hAnsi="黑体" w:eastAsia="黑体" w:cs="黑体"/>
          <w:b w:val="1"/>
          <w:color w:val="15507f"/>
          <w:sz w:val="28"/>
        </w:rPr>
        <w:t>2.4 明确不做</w:t>
      </w:r>
      <w:bookmarkEnd w:id="9"/>
    </w:p>
    <w:p w14:paraId="5E4B7F8B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以下内容在 V1.0 明确排除，以避免范围蔓延：</w:t>
      </w:r>
    </w:p>
    <w:p w14:paraId="419E0D5B">
      <w:pPr>
        <w:numPr>
          <w:ilvl w:val="0"/>
          <w:numId w:val="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银行直连与开放银行接口（国内个人场景获客成本与合规成本均不可控）。</w:t>
      </w:r>
    </w:p>
    <w:p w14:paraId="732DDA26">
      <w:pPr>
        <w:numPr>
          <w:ilvl w:val="0"/>
          <w:numId w:val="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云同步与多端实时协作（架构上预留，功能上不实现）。</w:t>
      </w:r>
    </w:p>
    <w:p w14:paraId="657B630A">
      <w:pPr>
        <w:numPr>
          <w:ilvl w:val="0"/>
          <w:numId w:val="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投资组合与净值曲线（区别于记账，属财富管理范畴）。</w:t>
      </w:r>
    </w:p>
    <w:p w14:paraId="3C6CA9AF">
      <w:pPr>
        <w:numPr>
          <w:ilvl w:val="0"/>
          <w:numId w:val="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发票 OCR 与票据识别（V2.0 评估）。</w:t>
      </w:r>
    </w:p>
    <w:p w14:paraId="38D93F79">
      <w:pPr>
        <w:numPr>
          <w:ilvl w:val="0"/>
          <w:numId w:val="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移动端 App（V1.0 仅 Windows，跨平台能力由技术选型保留）。</w:t>
      </w:r>
    </w:p>
    <w:p w14:paraId="28DAE6F5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0" w:name="sec-2-5"/>
      <w:r>
        <w:rPr>
          <w:rFonts w:hint="eastAsia" w:ascii="黑体" w:hAnsi="黑体" w:eastAsia="黑体" w:cs="黑体"/>
          <w:b w:val="1"/>
          <w:color w:val="15507f"/>
          <w:sz w:val="28"/>
        </w:rPr>
        <w:t>2.5 成功度量</w:t>
      </w:r>
      <w:bookmarkEnd w:id="10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2748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指标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BEE0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目标值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04C0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6AE8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冷启动时间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DEAE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不超过 1.5 秒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CA34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10 万条流水规模下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7EB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单笔记账耗时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4A2F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中位数不超过 8 秒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9B5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含分类选择与金额输入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C9C3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月度报表加载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ABBEF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不超过 300 毫秒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918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单账本 5 万条以内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1DC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安装包体积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CC6D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不超过 15 MB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039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不含 WebView2 运行时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059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常驻内存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0281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空闲不超过 200 MB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2738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主窗口打开状态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BAB8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数据可靠性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ABB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零丢失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D925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崩溃后可恢复至最近一次提交</w:t>
            </w:r>
          </w:p>
        </w:tc>
      </w:tr>
    </w:tbl>
    <w:p w14:paraId="625E7541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11" w:name="sec-3"/>
      <w:r>
        <w:rPr>
          <w:rFonts w:hint="eastAsia" w:ascii="黑体" w:hAnsi="黑体" w:eastAsia="黑体" w:cs="黑体"/>
          <w:b w:val="1"/>
          <w:color w:val="0e3a5d"/>
          <w:sz w:val="36"/>
        </w:rPr>
        <w:t>3 同类产品功能梳理</w:t>
      </w:r>
      <w:bookmarkEnd w:id="11"/>
    </w:p>
    <w:p w14:paraId="4F3064F3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2" w:name="sec-3-1"/>
      <w:r>
        <w:rPr>
          <w:rFonts w:hint="eastAsia" w:ascii="黑体" w:hAnsi="黑体" w:eastAsia="黑体" w:cs="黑体"/>
          <w:b w:val="1"/>
          <w:color w:val="15507f"/>
          <w:sz w:val="28"/>
        </w:rPr>
        <w:t>3.1 调研对象与方法</w:t>
      </w:r>
      <w:bookmarkEnd w:id="12"/>
    </w:p>
    <w:p w14:paraId="3306765E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调研覆盖三类产品：国内主流移动记账软件（钱迹、随手记、鲨鱼记账）、桌面专业记账软件（GnuCash）、跨平台商业软件（MoneyWiz），并纳入通用表格（Excel 记账模板）作为对照基线。信息来源为各产品官网与 Microsoft Store 公开的功能说明、第三方横向评测，以及笔者对同类产品交互路径的实际观察。</w:t>
      </w:r>
    </w:p>
    <w:p w14:paraId="6410114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需要说明的是，厂商公开信息在功能条目上可能将付费功能合并陈述，本节仅用于界定功能边界与交互范式，不用于评价产品质量；涉及具体版本的差异，以厂商当期说明为准。</w:t>
      </w:r>
    </w:p>
    <w:p w14:paraId="0D7011B3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3" w:name="sec-3-2"/>
      <w:r>
        <w:rPr>
          <w:rFonts w:hint="eastAsia" w:ascii="黑体" w:hAnsi="黑体" w:eastAsia="黑体" w:cs="黑体"/>
          <w:b w:val="1"/>
          <w:color w:val="15507f"/>
          <w:sz w:val="28"/>
        </w:rPr>
        <w:t>3.2 代表产品的能力特征</w:t>
      </w:r>
      <w:bookmarkEnd w:id="13"/>
    </w:p>
    <w:p w14:paraId="062CBC63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钱迹</w:t>
      </w:r>
      <w:r>
        <w:rPr>
          <w:rFonts w:hint="eastAsia" w:ascii="宋体" w:hAnsi="宋体" w:eastAsia="宋体" w:cs="宋体"/>
          <w:color w:val="1a1a1a"/>
          <w:sz w:val="24"/>
        </w:rPr>
        <w:t>的核心竞争力集中在"纯记账"这一条线上：无开屏、无广告、无理财，多账本与共享账本、周期记账、报销管理、退款关联、多币种、免费导入导出构成其主要功能盘，一级与二级分类、标签、日历视图、预算与多维度报表均已具备。其导入能力覆盖支付宝、微信等主流平台账单，是其留存率的重要支撑。桌面端为独立构建，安装包在 20 至 40 MB 区间（不同分发渠道统计口径不一），这说明"轻量加键盘友好"在桌面端确有市场，也说明纯记账定位可以支撑起商业产品。</w:t>
      </w:r>
    </w:p>
    <w:p w14:paraId="4210071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随手记</w:t>
      </w:r>
      <w:r>
        <w:rPr>
          <w:rFonts w:hint="eastAsia" w:ascii="宋体" w:hAnsi="宋体" w:eastAsia="宋体" w:cs="宋体"/>
          <w:color w:val="1a1a1a"/>
          <w:sz w:val="24"/>
        </w:rPr>
        <w:t>走功能全面路线，记账之外延伸至理财与社区，家庭共享账本与专项分类是其差异化点。代价是功能密度高、界面层级深，且免费版在精细化报表上设有限制。</w:t>
      </w:r>
    </w:p>
    <w:p w14:paraId="42A2438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鲨鱼记账</w:t>
      </w:r>
      <w:r>
        <w:rPr>
          <w:rFonts w:hint="eastAsia" w:ascii="宋体" w:hAnsi="宋体" w:eastAsia="宋体" w:cs="宋体"/>
          <w:color w:val="1a1a1a"/>
          <w:sz w:val="24"/>
        </w:rPr>
        <w:t>以极低操作门槛取胜，输入金额与关键词后自动归类，适合记账习惯尚未建立的用户。其短板是自定义能力弱，长期使用后会遇到分类体系受限的问题。</w:t>
      </w:r>
    </w:p>
    <w:p w14:paraId="6ED78767">
      <w:pPr>
        <w:spacing w:after="132" w:line="396"/>
        <w:ind w:firstLine="480"/>
        <w:jc w:val="both"/>
        <w:rPr>
          <w:color w:val="1a1a1a"/>
        </w:rPr>
      </w:pPr>
      <w:r>
        <w:rPr>
          <w:rFonts w:ascii="宋体" w:hAnsi="宋体" w:eastAsia="宋体" w:cs="宋体"/>
          <w:b w:val="1"/>
          <w:color w:val="1a1a1a"/>
          <w:sz w:val="24"/>
        </w:rPr>
        <w:t>GnuCash</w:t>
      </w:r>
      <w:r>
        <w:rPr>
          <w:rFonts w:hint="eastAsia" w:ascii="宋体" w:hAnsi="宋体" w:eastAsia="宋体" w:cs="宋体"/>
          <w:color w:val="1a1a1a"/>
          <w:sz w:val="24"/>
        </w:rPr>
        <w:t>遵循复式记账准则，账务核对、资产负债统计严谨，适合个体经营者；但术语体系与操作逻辑对普通个人用户不友好，无移动端。</w:t>
      </w:r>
    </w:p>
    <w:p w14:paraId="49227349">
      <w:pPr>
        <w:spacing w:after="132" w:line="396"/>
        <w:ind w:firstLine="480"/>
        <w:jc w:val="both"/>
        <w:rPr>
          <w:color w:val="1a1a1a"/>
        </w:rPr>
      </w:pPr>
      <w:r>
        <w:rPr>
          <w:rFonts w:ascii="宋体" w:hAnsi="宋体" w:eastAsia="宋体" w:cs="宋体"/>
          <w:b w:val="1"/>
          <w:color w:val="1a1a1a"/>
          <w:sz w:val="24"/>
        </w:rPr>
        <w:t>MoneyWiz</w:t>
      </w:r>
      <w:r>
        <w:rPr>
          <w:rFonts w:hint="eastAsia" w:ascii="宋体" w:hAnsi="宋体" w:eastAsia="宋体" w:cs="宋体"/>
          <w:color w:val="1a1a1a"/>
          <w:sz w:val="24"/>
        </w:rPr>
        <w:t>提供跨平台一致的体验与银行直连（依赖所在地区），采用订阅制，本地化与国内账单导入支持有限。</w:t>
      </w:r>
    </w:p>
    <w:p w14:paraId="73D58885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Excel 记账模板</w:t>
      </w:r>
      <w:r>
        <w:rPr>
          <w:rFonts w:hint="eastAsia" w:ascii="宋体" w:hAnsi="宋体" w:eastAsia="宋体" w:cs="宋体"/>
          <w:color w:val="1a1a1a"/>
          <w:sz w:val="24"/>
        </w:rPr>
        <w:t>的优势是零成本与完全自由，劣势是缺乏约束与自动化，无法承担预算控制与多账户联动。</w:t>
      </w:r>
    </w:p>
    <w:p w14:paraId="63DADF2E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4" w:name="sec-3-3"/>
      <w:r>
        <w:rPr>
          <w:rFonts w:hint="eastAsia" w:ascii="黑体" w:hAnsi="黑体" w:eastAsia="黑体" w:cs="黑体"/>
          <w:b w:val="1"/>
          <w:color w:val="15507f"/>
          <w:sz w:val="28"/>
        </w:rPr>
        <w:t>3.3 功能矩阵</w:t>
      </w:r>
      <w:bookmarkEnd w:id="14"/>
    </w:p>
    <w:p w14:paraId="449021A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下表按"记账与数据"维度横向对比。标记含义：✓ 原生支持；○ 部分支持或需付费/插件；— 不支持。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 w:val="1"/>
        </w:trPr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FB82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能力项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E5A1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钱迹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0E08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随手记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94B8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鲨鱼记账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97C1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GnuCash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C732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MoneyWiz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B90D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Excel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2B025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本期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C91F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支出/收入记账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2D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DF64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9B84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E653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6AED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F00E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49EB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FF7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二级分类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02F9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F57F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6DFB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E270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6908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9060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35FC8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B05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自定义分类与排序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4ADA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069E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BDDA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BD55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62607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2B23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8FCD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5C4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多账户与余额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9D35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663C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E93F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90BA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CBB5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07B6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FC22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02C9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信用卡/负债账户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CC10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951B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AE240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5899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939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47C7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0361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B76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账户间转账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BBACA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3D77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B5FA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B57D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2EFC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2873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97C4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9F6B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标签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E38D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686D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390D3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4E16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05E2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745A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FE9F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E1A1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退款与关联原单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6848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D9110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5A28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1FC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53B7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96B2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22B9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2274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报销状态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3837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BF35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BACD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05AF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CD8C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AA54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2724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65B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附件（凭证图片）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E316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6816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F2C2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466E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FDF1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7D49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6378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V1.1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9378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多币种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C683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1C78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DDF1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960B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20E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284A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4767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V2.0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BAD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周期记账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045D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B314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AE24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20C4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D8AC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F91A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042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V1.1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0C32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批量操作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753F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F9C2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60B9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F8B7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764B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CB20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D2D0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V1.1</w:t>
            </w:r>
          </w:p>
        </w:tc>
      </w:tr>
    </w:tbl>
    <w:p w14:paraId="3BEF28E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第二张表覆盖"组织与分析"维度。多账本与共享是家庭场景的分水岭，报表维度决定复盘效率，导入导出决定迁移成本与数据主权。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 w:val="1"/>
        </w:trPr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72E9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能力项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7F193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钱迹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F790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随手记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E020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鲨鱼记账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B5CA9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GnuCash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0DB6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MoneyWiz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07BD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Excel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BDBD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本期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2B6C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多账本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AB34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202C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2B4C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96AB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DD95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11DD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6B1E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V1.1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E911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共享账本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61D6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F963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7288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C470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0BE8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CE00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0560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不做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D78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预算（总额/分类）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92F6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CC72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050F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B26D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B8D5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2097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37E4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051B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分类占比报表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D1C4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99A5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FE092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564E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9322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4C0A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0B37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FF3F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趋势与环比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4438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0541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71A8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E8B3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60C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DA21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9F0B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ED18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资产负债视图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5A9DF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2152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3A05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6BF64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C3CB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1068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B2EC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5767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日历视图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9BF3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1F7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DAFE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957A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CDF6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0A69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F6C3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F81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全局搜索与筛选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6118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EEC3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8C98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C791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1A5A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DF27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980A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BDBC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账单导入（支付宝/微信/CSV）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063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EB13C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5A835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23B4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D783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9CAE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DCC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779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导出 Excel/CSV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F3C0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7F19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7FA10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714B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E9E0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628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9D6F3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95F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本地备份与恢复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457E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0EF3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B366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A785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226C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3EEF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EB40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551D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密码锁与数据加密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F941F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55EDA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1AA6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5786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EB53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6E2E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F501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  <w:tr>
        <w:trPr/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DF430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桌面端专属能力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46B8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0A80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51BB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BE936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6209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○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DF22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03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9C4E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✓</w:t>
            </w:r>
          </w:p>
        </w:tc>
      </w:tr>
    </w:tbl>
    <w:p w14:paraId="421395C3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5" w:name="sec-3-4"/>
      <w:r>
        <w:rPr>
          <w:rFonts w:hint="eastAsia" w:ascii="黑体" w:hAnsi="黑体" w:eastAsia="黑体" w:cs="黑体"/>
          <w:b w:val="1"/>
          <w:color w:val="15507f"/>
          <w:sz w:val="28"/>
        </w:rPr>
        <w:t>3.4 桌面端的能力空白与机会点</w:t>
      </w:r>
      <w:bookmarkEnd w:id="15"/>
    </w:p>
    <w:p w14:paraId="064CE23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将上表最后一行展开，可以定位到本项目的具体切入点。市面产品在 Windows 端普遍缺失以下六项能力，而它们恰好是桌面环境相对移动端的结构性优势。</w:t>
      </w:r>
    </w:p>
    <w:p w14:paraId="0FA65CA8">
      <w:pPr>
        <w:numPr>
          <w:ilvl w:val="0"/>
          <w:numId w:val="3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全局快捷键唤起</w:t>
      </w:r>
      <w:r>
        <w:rPr>
          <w:rFonts w:hint="eastAsia" w:ascii="宋体" w:hAnsi="宋体" w:eastAsia="宋体" w:cs="宋体"/>
          <w:color w:val="1a1a1a"/>
          <w:sz w:val="24"/>
        </w:rPr>
        <w:t>：任意应用中按下快捷键，浮出迷你记账窗，录入后按回车关闭，不打断当前工作流。移动端需切换应用，桌面端可做到零上下文切换。</w:t>
      </w:r>
    </w:p>
    <w:p w14:paraId="1E49AE62">
      <w:pPr>
        <w:numPr>
          <w:ilvl w:val="0"/>
          <w:numId w:val="3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常驻托盘与预算提醒</w:t>
      </w:r>
      <w:r>
        <w:rPr>
          <w:rFonts w:hint="eastAsia" w:ascii="宋体" w:hAnsi="宋体" w:eastAsia="宋体" w:cs="宋体"/>
          <w:color w:val="1a1a1a"/>
          <w:sz w:val="24"/>
        </w:rPr>
        <w:t>：托盘图标常驻，超支时通过系统通知提醒，用户在任意时刻可见当月剩余额度。</w:t>
      </w:r>
    </w:p>
    <w:p w14:paraId="324AE2FF">
      <w:pPr>
        <w:numPr>
          <w:ilvl w:val="0"/>
          <w:numId w:val="3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账单文件自动化</w:t>
      </w:r>
      <w:r>
        <w:rPr>
          <w:rFonts w:hint="eastAsia" w:ascii="宋体" w:hAnsi="宋体" w:eastAsia="宋体" w:cs="宋体"/>
          <w:color w:val="1a1a1a"/>
          <w:sz w:val="24"/>
        </w:rPr>
        <w:t>：监听指定文件夹，支付宝或微信导出的账单文件落地即自动解析入库，配合去重规则实现"半自动记账"。</w:t>
      </w:r>
    </w:p>
    <w:p w14:paraId="58875784">
      <w:pPr>
        <w:numPr>
          <w:ilvl w:val="0"/>
          <w:numId w:val="3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多窗口与快照对比</w:t>
      </w:r>
      <w:r>
        <w:rPr>
          <w:rFonts w:hint="eastAsia" w:ascii="宋体" w:hAnsi="宋体" w:eastAsia="宋体" w:cs="宋体"/>
          <w:color w:val="1a1a1a"/>
          <w:sz w:val="24"/>
        </w:rPr>
        <w:t>：同时打开本期与上期报表，或双屏并排查看，这是桌面屏幕面积带来的分析效率提升。</w:t>
      </w:r>
    </w:p>
    <w:p w14:paraId="2659EBB7">
      <w:pPr>
        <w:numPr>
          <w:ilvl w:val="0"/>
          <w:numId w:val="3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键盘全流程操作</w:t>
      </w:r>
      <w:r>
        <w:rPr>
          <w:rFonts w:hint="eastAsia" w:ascii="宋体" w:hAnsi="宋体" w:eastAsia="宋体" w:cs="宋体"/>
          <w:color w:val="1a1a1a"/>
          <w:sz w:val="24"/>
        </w:rPr>
        <w:t>：Tab 顺序、数字键盘金额输入、日期快捷偏移（如输入 "-1" 表示昨天），熟练用户的录入速度可达移动端的 3 至 5 倍。</w:t>
      </w:r>
    </w:p>
    <w:p w14:paraId="23A8AE4E">
      <w:pPr>
        <w:numPr>
          <w:ilvl w:val="0"/>
          <w:numId w:val="3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本地文件级数据主权</w:t>
      </w:r>
      <w:r>
        <w:rPr>
          <w:rFonts w:hint="eastAsia" w:ascii="宋体" w:hAnsi="宋体" w:eastAsia="宋体" w:cs="宋体"/>
          <w:color w:val="1a1a1a"/>
          <w:sz w:val="24"/>
        </w:rPr>
        <w:t>：数据库与备份是普通文件，可自行复制、归档、迁移至其他工具，不依赖厂商服务器存活。</w:t>
      </w:r>
    </w:p>
    <w:p w14:paraId="0B7EEB1F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上述六点构成 V1.0 的差异化设计基线，其中第 1、2、3、5 项纳入基线版本，第 4 项纳入 V1.1，第 6 项在架构层保证。</w:t>
      </w:r>
    </w:p>
    <w:p w14:paraId="7CE1DBF5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6" w:name="sec-3-5"/>
      <w:r>
        <w:rPr>
          <w:rFonts w:hint="eastAsia" w:ascii="黑体" w:hAnsi="黑体" w:eastAsia="黑体" w:cs="黑体"/>
          <w:b w:val="1"/>
          <w:color w:val="15507f"/>
          <w:sz w:val="28"/>
        </w:rPr>
        <w:t>3.5 功能范围结论</w:t>
      </w:r>
      <w:bookmarkEnd w:id="16"/>
    </w:p>
    <w:p w14:paraId="09FD572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综合功能矩阵与空白分析，确定范围策略为：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覆盖主流产品的记账主链路（记账、分类、账户、报表、导入导出、备份），在桌面交互上做差异化，在非核心能力上明确弃权。</w:t>
      </w:r>
    </w:p>
    <w:p w14:paraId="063C053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具体划分如下：</w:t>
      </w:r>
    </w:p>
    <w:p w14:paraId="4BEDD031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必须做（V1.0）：收支与转账记账、二级分类管理、多账户与余额、预算、统计报表、日历视图、搜索筛选、CSV/xlsx 导入导出、备份恢复、密码锁、全局快捷键与托盘。</w:t>
      </w:r>
    </w:p>
    <w:p w14:paraId="4695D491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应当做（V1.1）：周期记账、标签、报销、退款关联、批量操作、多账本、多窗口对比。</w:t>
      </w:r>
    </w:p>
    <w:p w14:paraId="20588121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可以延后（V2.0）：多币种、附件、账单自动监听、智能分类建议。</w:t>
      </w:r>
    </w:p>
    <w:p w14:paraId="624A4BC2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不做：共享账本、银行直连、理财产品。</w:t>
      </w:r>
    </w:p>
    <w:p w14:paraId="5FCA5A49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17" w:name="sec-4"/>
      <w:r>
        <w:rPr>
          <w:rFonts w:hint="eastAsia" w:ascii="黑体" w:hAnsi="黑体" w:eastAsia="黑体" w:cs="黑体"/>
          <w:b w:val="1"/>
          <w:color w:val="0e3a5d"/>
          <w:sz w:val="36"/>
        </w:rPr>
        <w:t>4 需求分析</w:t>
      </w:r>
      <w:bookmarkEnd w:id="17"/>
    </w:p>
    <w:p w14:paraId="027B58EA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8" w:name="sec-4-1"/>
      <w:r>
        <w:rPr>
          <w:rFonts w:hint="eastAsia" w:ascii="黑体" w:hAnsi="黑体" w:eastAsia="黑体" w:cs="黑体"/>
          <w:b w:val="1"/>
          <w:color w:val="15507f"/>
          <w:sz w:val="28"/>
        </w:rPr>
        <w:t>4.1 用户任务模型</w:t>
      </w:r>
      <w:bookmarkEnd w:id="18"/>
    </w:p>
    <w:p w14:paraId="3D91FF3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记账行为的完整闭环可拆解为五个任务：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录入、归类、核对、复盘、保全</w:t>
      </w:r>
      <w:r>
        <w:rPr>
          <w:rFonts w:hint="eastAsia" w:ascii="宋体" w:hAnsi="宋体" w:eastAsia="宋体" w:cs="宋体"/>
          <w:color w:val="1a1a1a"/>
          <w:sz w:val="24"/>
        </w:rPr>
        <w:t>。五个任务对应不同的交互重心，也对应不同的技术压力点。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7C1EC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任务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ACE4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用户目标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27D4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交互重心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A3A5D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技术压力点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35D6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录入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F540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3 秒内记完一笔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6C39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键盘路径、默认值智能填充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7F49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写入延迟、事务可靠性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E6AE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归类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C61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分类体系稳定且可演进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AE95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二级分类、排序、归档而非删除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88F6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引用完整性、历史数据不受影响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AE7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核对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5C88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账户余额与实际一致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CC64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余额可见、差异可查、可调整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4EE46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余额派生逻辑、并发写入一致性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46A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复盘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D5B7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看清钱花在哪、趋势如何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BBBB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报表维度、下钻、对比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28EA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聚合查询性能、时区与口径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A601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保全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E75F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数据不丢、可迁移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7A8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自动备份、导出格式开放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0C66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备份一致性、加密与恢复</w:t>
            </w:r>
          </w:p>
        </w:tc>
      </w:tr>
    </w:tbl>
    <w:p w14:paraId="797E2B5B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任务模型的意义在于确定优先级：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录入与核对是不可妥协的底线，复盘是价值主张，保全是信任基础。</w:t>
      </w:r>
      <w:r>
        <w:rPr>
          <w:rFonts w:hint="eastAsia" w:ascii="宋体" w:hAnsi="宋体" w:eastAsia="宋体" w:cs="宋体"/>
          <w:color w:val="1a1a1a"/>
          <w:sz w:val="24"/>
        </w:rPr>
        <w:t xml:space="preserve"> 若资源受限，宁可削减报表维度，也不可在录入速度或数据可靠性上让步。</w:t>
      </w:r>
    </w:p>
    <w:p w14:paraId="3515A846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19" w:name="sec-4-2"/>
      <w:r>
        <w:rPr>
          <w:rFonts w:hint="eastAsia" w:ascii="黑体" w:hAnsi="黑体" w:eastAsia="黑体" w:cs="黑体"/>
          <w:b w:val="1"/>
          <w:color w:val="15507f"/>
          <w:sz w:val="28"/>
        </w:rPr>
        <w:t>4.2 功能需求清单</w:t>
      </w:r>
      <w:bookmarkEnd w:id="19"/>
    </w:p>
    <w:p w14:paraId="2D745A4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需求编号规则为 FR-模块序号，优先级采用 MoSCoW（M 必须、S 应当、C 可以、W 不做）。下表为 V1.0 基线需求，V1.1 及以后的需求在 4.5 汇总。</w:t>
      </w:r>
    </w:p>
    <w:p w14:paraId="1AE8A8D4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FR-01 记账核心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CEA5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C5BA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238BF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85A1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5288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F1E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支持支出、收入、转账三种交易类型的新增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7D57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35674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三类交易均可从快捷键窗口完成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16FD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2BD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金额支持数字键盘输入，支持加减表达式（如 12.5+8）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D611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6AA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表达式求值结果正确，不产生浮点误差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F2BE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D6C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发生日期默认今天，支持键盘前后偏移与日历选择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A01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45EB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输入 -1 得到昨日，跨月跨年正确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8480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FB7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备注支持自由文本，长度不少于 200 字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7F8E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69E4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长文本不截断，可搜索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1204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FR-01-05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BBC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支持标签，一笔交易可挂多个标签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BFA7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A8B0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标签可筛选、可统计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1EC9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FR-01-06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FA43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支持对已保存交易编辑与删除，删除进入回收站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7714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FF5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删除后可恢复，不产生余额残差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CF7E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FR-01-07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34E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支持复制上一笔交易快速新建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A8448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9C5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复制后仅需改金额即可保存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CCC2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FR-01-08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E13C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支持退款，可关联原交易并支持多次部分退款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163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85AF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原单退款额不超过原金额</w:t>
            </w:r>
          </w:p>
        </w:tc>
      </w:tr>
    </w:tbl>
    <w:p w14:paraId="166BD597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FR-02 分类管理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3499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4A58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2A93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9DC1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4C7A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FR-02-01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D8D6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提供内置分类模板（餐饮、交通、居住、购物等）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C614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CBD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首次启动即具备可用分类树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F830E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FR-02-02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58B9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支持一级、二级分类的新增、改名、排序、归档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2C7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625B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归档后不出现在选择器，历史数据仍可显示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E8C4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FR-02-03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CBF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分类与收支方向绑定，支出分类不可用于收入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307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3460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选择器按交易类型过滤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14C9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FR-02-04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E25E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支持分类图标与颜色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6FDA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FE4D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报表与列表同步生效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6F34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FR-02-05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2CB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删除分类时要求迁移其下交易至目标分类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CCCE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3057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不产生孤儿引用</w:t>
            </w:r>
          </w:p>
        </w:tc>
      </w:tr>
    </w:tbl>
    <w:p w14:paraId="30910415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FR-03 账户管理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DB613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DA8E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820B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70E5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F944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FR-03-01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3391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支持现金、储蓄卡、信用卡、第三方支付、投资、借款等账户类型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A659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3A63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各类型语义正确，信用卡余额为负表示欠款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17BA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FR-03-02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FAA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显示每账户当前余额与全部账户净资产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8694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D59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与流水推导结果一致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15EE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FR-03-03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4878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支持账户初始余额设置与余额调整（对账差额）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2EF7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1497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调整生成一笔调整流水，可追溯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649D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FR-03-04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1D45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支持账户归档，归档账户不计入净资产（可配置）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DE3A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2D3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开关生效且报表同步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BC48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FR-03-05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AAA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支持账户排序与分组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A45F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DDD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排序持久化</w:t>
            </w:r>
          </w:p>
        </w:tc>
      </w:tr>
    </w:tbl>
    <w:p w14:paraId="47DCB8D2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FR-04 预算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B81F5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F2E4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4A7C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4B75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838E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FR-04-01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BB18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支持设置月度总预算与分类预算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BC20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A44E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超支状态在界面与托盘可见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653B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FR-04-02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E738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展示预算剩余、已用比例、日均可用额度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0F7A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169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计算口径与报表一致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A497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FR-04-03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36F8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支持预算结转选项（上月结余是否计入）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8001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81FA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开关可配置</w:t>
            </w:r>
          </w:p>
        </w:tc>
      </w:tr>
    </w:tbl>
    <w:p w14:paraId="4DF80ED3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FR-05 统计报表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4F05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79DB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FE1C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8055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592E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FR-05-01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368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提供月度、年度、自定义区间的收支汇总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32B8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AF0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数字与明细列表加总一致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5C1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FR-05-02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79C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提供分类占比环形图与排行，支持下钻至明细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F564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65C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下钻结果与图表数值对应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A469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FR-05-03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4A1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提供收支趋势折线图，支持按日、周、月粒度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2F26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8135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粒度切换不重算全表导致卡顿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C83F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FR-05-04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76C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提供同比与环比对比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C82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D81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无上期数据时给出明确提示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2EE1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FR-05-05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4869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提供资产负债视图（净资产构成）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8EC6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DDF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账户分类汇总正确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816D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FR-05-06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F79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提供日历视图，按日聚合显示收支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6C5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FDE29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点击日期可查看当日明细</w:t>
            </w:r>
          </w:p>
        </w:tc>
      </w:tr>
    </w:tbl>
    <w:p w14:paraId="2D787B8D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FR-06 数据导入导出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39B8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3539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31A3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86CE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479B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FR-06-01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E6FB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导入 CSV，支持字段映射向导与 GBK/UTF-8 编码识别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5A7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30C8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支付宝、微信导出文件可直接导入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A761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FR-06-02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C66C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导入过程支持预览、错误行报告、重复检测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2102C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7B3D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重复导入同一文件不产生重复流水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E100A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FR-06-03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A5D9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导出当前筛选结果为 CSV 与 xlsx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B900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5FF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中文不乱码，金额列可被 Excel 识别为数值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0EF64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FR-06-04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E25E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导出全量数据（含分类、账户、预算）为可迁移包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58D1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A9A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包内包含版本号与结构说明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A1B9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FR-06-05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A78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支持数据库快照备份与从备份恢复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13AD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851D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恢复后数据完整，操作前自动备份当前库</w:t>
            </w:r>
          </w:p>
        </w:tc>
      </w:tr>
    </w:tbl>
    <w:p w14:paraId="4368CEE3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FR-07 系统集成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4A02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5DF7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1178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8D78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3EE1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FR-07-01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A81B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全局快捷键唤起迷你记账窗口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111F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764D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任意前台应用中可用，可自定义组合键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F4BA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FR-07-02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55C0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托盘常驻，提供快速记账、显示主窗、退出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2A28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329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关闭主窗不退出进程，符合预期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A8ED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FR-07-03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4F7F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预算超支与备份结果通过系统通知提示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EBFC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7E75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通知可关闭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FCEEA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FR-07-04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19D9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跟随系统深色模式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A19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3AA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切换系统主题后界面同步，无需重启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4DBA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FR-07-05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4534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开机自启开关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9C37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168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默认关闭</w:t>
            </w:r>
          </w:p>
        </w:tc>
      </w:tr>
    </w:tbl>
    <w:p w14:paraId="5737C538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FR-08 安全与设置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7B5E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7281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需求描述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613EA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优先级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9CE8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4D73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FR-08-01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3D66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启动密码锁，支持数字密码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848B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55C5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连续错误锁定退避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855C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FR-08-02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449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数据库文件加密存储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FB4D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8531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未解锁状态下文件不可被外部工具直接读取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C4C8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FR-08-03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F361F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金额隐藏模式（一键将金额显示为星号）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2943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A08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全局生效，含图表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B68E7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FR-08-04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6AC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自动备份策略可配置（频率、保留份数）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0F69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M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1898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至少保留最近 7 份</w:t>
            </w:r>
          </w:p>
        </w:tc>
      </w:tr>
    </w:tbl>
    <w:p w14:paraId="6BF29A6B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0" w:name="sec-4-3"/>
      <w:r>
        <w:rPr>
          <w:rFonts w:hint="eastAsia" w:ascii="黑体" w:hAnsi="黑体" w:eastAsia="黑体" w:cs="黑体"/>
          <w:b w:val="1"/>
          <w:color w:val="15507f"/>
          <w:sz w:val="28"/>
        </w:rPr>
        <w:t>4.3 关键业务规则</w:t>
      </w:r>
      <w:bookmarkEnd w:id="20"/>
    </w:p>
    <w:p w14:paraId="3E47E22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需求条目之间存在若干跨模块的规则，若不显式定义，实现阶段必然产生口径分歧。以下六条为强制约定。</w:t>
      </w:r>
    </w:p>
    <w:p w14:paraId="71D50C75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规则一：转账不计入收支。</w:t>
      </w:r>
      <w:r>
        <w:rPr>
          <w:rFonts w:hint="eastAsia" w:ascii="宋体" w:hAnsi="宋体" w:eastAsia="宋体" w:cs="宋体"/>
          <w:color w:val="1a1a1a"/>
          <w:sz w:val="24"/>
        </w:rPr>
        <w:t xml:space="preserve"> 转账是账户间的资金位移，不产生收入或支出。统计口径中转账流水一律排除，否则"信用卡还款"会被计为支出，导致月度支出虚高。实现上，转账交易的分类字段为空，类型为 transfer，携带转出与转入两个账户引用。</w:t>
      </w:r>
    </w:p>
    <w:p w14:paraId="36B50CBF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规则二：信用卡余额为负。</w:t>
      </w:r>
      <w:r>
        <w:rPr>
          <w:rFonts w:hint="eastAsia" w:ascii="宋体" w:hAnsi="宋体" w:eastAsia="宋体" w:cs="宋体"/>
          <w:color w:val="1a1a1a"/>
          <w:sz w:val="24"/>
        </w:rPr>
        <w:t xml:space="preserve"> 负债类账户的余额方向与资产类相反。信用卡消费记为支出并减少该账户余额（余额向负方向变化），还款为转账，使余额回升。净资产等于资产账户余额之和加负债账户余额之和（负债为负值），不做符号翻转后再相加。</w:t>
      </w:r>
    </w:p>
    <w:p w14:paraId="2CE8966F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规则三：余额是派生数据，不是事实数据。</w:t>
      </w:r>
      <w:r>
        <w:rPr>
          <w:rFonts w:hint="eastAsia" w:ascii="宋体" w:hAnsi="宋体" w:eastAsia="宋体" w:cs="宋体"/>
          <w:color w:val="1a1a1a"/>
          <w:sz w:val="24"/>
        </w:rPr>
        <w:t xml:space="preserve"> 账户余额由初始余额与全部流水推导得出。系统可维护一份缓存值以加速读取，但缓存必须可通过重算命令从流水完整重建，任何时刻以重算结果为准。此规则保证了对账差异可定位。</w:t>
      </w:r>
    </w:p>
    <w:p w14:paraId="779C38AA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规则四：退款不删除原交易。</w:t>
      </w:r>
      <w:r>
        <w:rPr>
          <w:rFonts w:hint="eastAsia" w:ascii="宋体" w:hAnsi="宋体" w:eastAsia="宋体" w:cs="宋体"/>
          <w:color w:val="1a1a1a"/>
          <w:sz w:val="24"/>
        </w:rPr>
        <w:t xml:space="preserve"> 退款以独立交易表达，通过关联字段指向原交易，金额为负。原交易的分类与统计口径保持不变，退款单独体现为支出的抵减。部分退款允许多次，累计退款额不得超过原交易金额。</w:t>
      </w:r>
    </w:p>
    <w:p w14:paraId="6760AB9B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规则五：报销状态不影响收支统计。</w:t>
      </w:r>
      <w:r>
        <w:rPr>
          <w:rFonts w:hint="eastAsia" w:ascii="宋体" w:hAnsi="宋体" w:eastAsia="宋体" w:cs="宋体"/>
          <w:color w:val="1a1a1a"/>
          <w:sz w:val="24"/>
        </w:rPr>
        <w:t xml:space="preserve"> 报销是资金回收的标签，不是收支的抵消。用户可选择将已报销交易从统计中排除（开关项），但默认计入，以避免"看起来没花钱"的错觉。</w:t>
      </w:r>
    </w:p>
    <w:p w14:paraId="0857896E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规则六：删除采用软删除加回收站。</w:t>
      </w:r>
      <w:r>
        <w:rPr>
          <w:rFonts w:hint="eastAsia" w:ascii="宋体" w:hAnsi="宋体" w:eastAsia="宋体" w:cs="宋体"/>
          <w:color w:val="1a1a1a"/>
          <w:sz w:val="24"/>
        </w:rPr>
        <w:t xml:space="preserve"> 所有交易删除均写入 deleted_at 时间戳而非物理删除，回收站保留 30 天。物理清理由后台任务执行。此规则同时服务于误删恢复与审计追溯。</w:t>
      </w:r>
    </w:p>
    <w:p w14:paraId="5A771A02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1" w:name="sec-4-4"/>
      <w:r>
        <w:rPr>
          <w:rFonts w:hint="eastAsia" w:ascii="黑体" w:hAnsi="黑体" w:eastAsia="黑体" w:cs="黑体"/>
          <w:b w:val="1"/>
          <w:color w:val="15507f"/>
          <w:sz w:val="28"/>
        </w:rPr>
        <w:t>4.4 非功能需求</w:t>
      </w:r>
      <w:bookmarkEnd w:id="2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8F80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类别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41A1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1A41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要求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98B3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验证方式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D336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性能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273E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9945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冷启动不超过 1.5 秒（10 万流水）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199D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基准脚本计时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ED1A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性能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F8E9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DFFB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10 万条流水的月度报表聚合不超过 300 毫秒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5272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造数后压测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2DEE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性能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C014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NFR-03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DD255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列表滚动满帧，采用虚拟滚动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764A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人工观察与帧率采样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0931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可靠性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65B1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5283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任意时刻断电不损坏数据库（WAL 模式）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4042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断电注入测试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2F9E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可靠性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4054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NFR-05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51E4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写入使用事务，失败整体回滚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1DFE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单元测试覆盖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C07A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容量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EE4B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NFR-06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1F81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支持不少于 50 万条流水，数据库文件不超过 500 MB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962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造数验证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AFAB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安全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3C3B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NFR-07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C11B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密码派生使用 Argon2id，数据库使用 SQLCipher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79D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代码审查与文件检查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E468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隐私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8E6B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NFR-08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8EC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默认零网络请求；除更新检查外无出站连接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25ED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抓包验证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B2EC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可用性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2CDB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NFR-09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4351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全部功能支持键盘可达，焦点顺序合理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E4C9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仅键盘操作走查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6330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可维护性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8EB0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NFR-10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4B1DD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单元测试覆盖领域层核心逻辑，覆盖率不低于 70%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BF54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覆盖率报告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466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兼容性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516D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NFR-11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7080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 Windows 11 21H2 及以上，x64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F18B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虚拟机验证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5392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可观测性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1F52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NFR-12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25BD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结构化日志本地落盘，单文件不超过 10 MB 且轮转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D03B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日志检查</w:t>
            </w:r>
          </w:p>
        </w:tc>
      </w:tr>
    </w:tbl>
    <w:p w14:paraId="5E294CB1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2" w:name="sec-4-5"/>
      <w:r>
        <w:rPr>
          <w:rFonts w:hint="eastAsia" w:ascii="黑体" w:hAnsi="黑体" w:eastAsia="黑体" w:cs="黑体"/>
          <w:b w:val="1"/>
          <w:color w:val="15507f"/>
          <w:sz w:val="28"/>
        </w:rPr>
        <w:t>4.5 优先级与版本规划</w:t>
      </w:r>
      <w:bookmarkEnd w:id="22"/>
    </w:p>
    <w:p w14:paraId="3A6BCF5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优先级不能仅凭主观判断，需有可复用的判定标准。本项目的分级依据如下表，评审时对每条需求套用一次，结论应可复现。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27EF3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判定标准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50D5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判断依据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4582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对应级别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51C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阻断主链路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F0A7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缺失则"记账、核对、复盘"闭环无法完成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CDB9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M 必须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46B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影响留存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B184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不阻断流程，但缺失会显著降低长期使用意愿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BD5C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S 应当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42E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效率增强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07F7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有替代操作路径，仅提升速度或观感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8CE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C 可以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68E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与定位冲突或投入产出不成立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A85D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需要云端、需要资质、或维护成本高于收益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0E1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 不做</w:t>
            </w:r>
          </w:p>
        </w:tc>
      </w:tr>
    </w:tbl>
    <w:p w14:paraId="035D146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按此标准划分的三个版本如下。级别的意义在于控制范围：任一版本只承诺该级别以上的条目，C 级条目在资源允许时插入，不占用里程碑。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986B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版本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210F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范围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3D66B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目标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2DE4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V1.0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68A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FR-01 至 FR-08 中标记为 M 与 S 的条目（标签、退款关联除外）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CC36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完成记账闭环，可替代 Excel 日常使用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5C3F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V1.1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4C1E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标签、周期记账、报销、退款增强、批量操作、多账本、多窗口对比、附件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DB89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覆盖家庭与自由职业场景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6E80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V2.0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C5EE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多币种、账单文件夹监听、智能分类、可选的端到端加密同步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2055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形成差异化壁垒</w:t>
            </w:r>
          </w:p>
        </w:tc>
      </w:tr>
    </w:tbl>
    <w:p w14:paraId="6FB21F7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排期上，V1.0 采用"数据层先行"策略：第 1 至 2 周完成数据模型与领域逻辑，第 3 至 5 周完成录入与账户界面，第 6 至 7 周完成报表与导入导出，第 8 周联调、打包与验收。</w:t>
      </w:r>
    </w:p>
    <w:p w14:paraId="377D82B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需要说明一处取舍：标签（FR-01-05）与退款关联（FR-01-08）在 4.2 中标记为 S，按"V1.0 含 S 级"本应进入基线，但实际排入 V1.1。前者的原因是多对多关联表会使数据层在稳定之前反复变更，风险大于收益；后者需要部分退款的累计金额校验，属规则复杂度而非结构复杂度，后置可缩小首版的测试面。除这两项外，标记为 S 的条目均进入 V1.0，C 级条目不占用里程碑。</w:t>
      </w:r>
    </w:p>
    <w:p w14:paraId="4BF58201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23" w:name="sec-5"/>
      <w:r>
        <w:rPr>
          <w:rFonts w:hint="eastAsia" w:ascii="黑体" w:hAnsi="黑体" w:eastAsia="黑体" w:cs="黑体"/>
          <w:b w:val="1"/>
          <w:color w:val="0e3a5d"/>
          <w:sz w:val="36"/>
        </w:rPr>
        <w:t>5 架构设计</w:t>
      </w:r>
      <w:bookmarkEnd w:id="23"/>
    </w:p>
    <w:p w14:paraId="5BFCCBB4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4" w:name="sec-5-1"/>
      <w:r>
        <w:rPr>
          <w:rFonts w:hint="eastAsia" w:ascii="黑体" w:hAnsi="黑体" w:eastAsia="黑体" w:cs="黑体"/>
          <w:b w:val="1"/>
          <w:color w:val="15507f"/>
          <w:sz w:val="28"/>
        </w:rPr>
        <w:t>5.1 设计原则</w:t>
      </w:r>
      <w:bookmarkEnd w:id="24"/>
    </w:p>
    <w:p w14:paraId="3CD7090F">
      <w:pPr>
        <w:numPr>
          <w:ilvl w:val="0"/>
          <w:numId w:val="4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本地单机，无服务端依赖。</w:t>
      </w:r>
      <w:r>
        <w:rPr>
          <w:rFonts w:hint="eastAsia" w:ascii="宋体" w:hAnsi="宋体" w:eastAsia="宋体" w:cs="宋体"/>
          <w:color w:val="1a1a1a"/>
          <w:sz w:val="24"/>
        </w:rPr>
        <w:t xml:space="preserve"> 所有业务逻辑在客户端完成，不引入需要运维的服务组件。这条原则排除了"前端加本地 HTTP 服务"的架构，也决定了数据访问必须通过进程内的原生层。</w:t>
      </w:r>
    </w:p>
    <w:p w14:paraId="51995438">
      <w:pPr>
        <w:numPr>
          <w:ilvl w:val="0"/>
          <w:numId w:val="4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领域逻辑与界面解耦。</w:t>
      </w:r>
      <w:r>
        <w:rPr>
          <w:rFonts w:hint="eastAsia" w:ascii="宋体" w:hAnsi="宋体" w:eastAsia="宋体" w:cs="宋体"/>
          <w:color w:val="1a1a1a"/>
          <w:sz w:val="24"/>
        </w:rPr>
        <w:t xml:space="preserve"> 记账规则（余额推导、统计口径、退款约束）实现在领域层并以测试覆盖，界面层只负责呈现与采集。这使得后续若更换前端框架，业务规则无需重写。</w:t>
      </w:r>
    </w:p>
    <w:p w14:paraId="25529EC9">
      <w:pPr>
        <w:numPr>
          <w:ilvl w:val="0"/>
          <w:numId w:val="4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派生数据可重建。</w:t>
      </w:r>
      <w:r>
        <w:rPr>
          <w:rFonts w:hint="eastAsia" w:ascii="宋体" w:hAnsi="宋体" w:eastAsia="宋体" w:cs="宋体"/>
          <w:color w:val="1a1a1a"/>
          <w:sz w:val="24"/>
        </w:rPr>
        <w:t xml:space="preserve"> 任何缓存与汇总表都必须能由原始流水重建，重建工具作为内置命令提供。</w:t>
      </w:r>
    </w:p>
    <w:p w14:paraId="279FBBA3">
      <w:pPr>
        <w:numPr>
          <w:ilvl w:val="0"/>
          <w:numId w:val="4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契约显式化。</w:t>
      </w:r>
      <w:r>
        <w:rPr>
          <w:rFonts w:hint="eastAsia" w:ascii="宋体" w:hAnsi="宋体" w:eastAsia="宋体" w:cs="宋体"/>
          <w:color w:val="1a1a1a"/>
          <w:sz w:val="24"/>
        </w:rPr>
        <w:t xml:space="preserve"> 前后端之间的每个调用都有明确的输入输出类型定义，界面不直接接触 SQL，原生层不处理界面状态。</w:t>
      </w:r>
    </w:p>
    <w:p w14:paraId="707BF6E6">
      <w:pPr>
        <w:numPr>
          <w:ilvl w:val="0"/>
          <w:numId w:val="4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可逆演进。</w:t>
      </w:r>
      <w:r>
        <w:rPr>
          <w:rFonts w:hint="eastAsia" w:ascii="宋体" w:hAnsi="宋体" w:eastAsia="宋体" w:cs="宋体"/>
          <w:color w:val="1a1a1a"/>
          <w:sz w:val="24"/>
        </w:rPr>
        <w:t xml:space="preserve"> 数据库变更必须通过版本化迁移脚本，任何版本可向前升级；导出格式保持向后兼容。</w:t>
      </w:r>
    </w:p>
    <w:p w14:paraId="406B0F70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5" w:name="sec-5-2"/>
      <w:r>
        <w:rPr>
          <w:rFonts w:hint="eastAsia" w:ascii="黑体" w:hAnsi="黑体" w:eastAsia="黑体" w:cs="黑体"/>
          <w:b w:val="1"/>
          <w:color w:val="15507f"/>
          <w:sz w:val="28"/>
        </w:rPr>
        <w:t>5.2 总体架构</w:t>
      </w:r>
      <w:bookmarkEnd w:id="25"/>
    </w:p>
    <w:p w14:paraId="2C2ADB53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系统采用四层结构，前端为 Web 技术栈，后端为 Rust 原生层，通过 IPC 通信，数据落在单个加密 SQLite 文件中。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2335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层次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73A3D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职责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BCA3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主要技术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03B1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关键约束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910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表现层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6CE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界面渲染、交互、路由、图表、表单校验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55FB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React 19、TypeScript、Vite、ECharts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3F13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不直接访问数据库，不含业务规则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B761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应用层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9789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用例编排、参数校验、事务边界、事件发布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F91A5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Rust 命令处理（Command Handler）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2415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单一入口，统一错误类型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49DB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领域层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CBEF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交易、账户、预算、报表口径等核心规则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D8F8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Rust 纯函数与结构体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7682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无 IO 依赖，可独立单测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7C4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基础设施层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E9685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持久化、文件、加密、备份、导入解析、系统集成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F7DE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rusqlite、SQLCipher、calamine、rust_xlsxwriter、Tauri 插件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726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可替换实现</w:t>
            </w:r>
          </w:p>
        </w:tc>
      </w:tr>
    </w:tbl>
    <w:p w14:paraId="3EDEC3C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数据流方向为单向：界面触发命令 → 应用层校验并开启事务 → 领域层计算 → 基础设施层落库 → 返回结果并失效相关查询缓存。界面不持有权威状态，所有列表与报表均为查询结果的呈现。</w:t>
      </w:r>
    </w:p>
    <w:p w14:paraId="054DCB6F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选择"前端 Web 加原生后端"而非"纯原生 UI"的依据在 6.3 的评分中给出；此处仅说明该结构带来的两个直接收益：一是报表与图表的开发效率显著提高（ECharts 与虚拟滚动表格在 Web 生态中成熟度高），二是数据层以 Rust 实现，保证加密与文件操作的可靠性与性能。</w:t>
      </w:r>
    </w:p>
    <w:p w14:paraId="625E5456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6" w:name="sec-5-3"/>
      <w:r>
        <w:rPr>
          <w:rFonts w:hint="eastAsia" w:ascii="黑体" w:hAnsi="黑体" w:eastAsia="黑体" w:cs="黑体"/>
          <w:b w:val="1"/>
          <w:color w:val="15507f"/>
          <w:sz w:val="28"/>
        </w:rPr>
        <w:t>5.3 进程模型与 IPC</w:t>
      </w:r>
      <w:bookmarkEnd w:id="26"/>
    </w:p>
    <w:p w14:paraId="56DC8895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运行期为双进程模型：主进程（Rust）持有窗口、数据库连接与系统集成能力；渲染进程（WebView2）运行前端代码，受沙箱约束。</w:t>
      </w:r>
    </w:p>
    <w:p w14:paraId="5DE9C26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IPC 采用 Tauri 的命令（command）机制，前端通过类型化的调用封装访问后端。约定如下：</w:t>
      </w:r>
    </w:p>
    <w:p w14:paraId="01370642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命名规范：</w:t>
      </w:r>
      <w:r>
        <w:rPr>
          <w:rFonts w:ascii="Consolas" w:hAnsi="Consolas" w:eastAsia="Consolas" w:cs="Consolas"/>
          <w:color w:val="0e3a5d"/>
          <w:sz w:val="20"/>
        </w:rPr>
        <w:t>&lt;module&gt;_&lt;action&gt;</w:t>
      </w:r>
      <w:r>
        <w:rPr>
          <w:rFonts w:hint="eastAsia" w:ascii="宋体" w:hAnsi="宋体" w:eastAsia="宋体" w:cs="宋体"/>
          <w:color w:val="1a1a1a"/>
          <w:sz w:val="24"/>
        </w:rPr>
        <w:t xml:space="preserve">，如 </w:t>
      </w:r>
      <w:r>
        <w:rPr>
          <w:rFonts w:ascii="Consolas" w:hAnsi="Consolas" w:eastAsia="Consolas" w:cs="Consolas"/>
          <w:color w:val="0e3a5d"/>
          <w:sz w:val="20"/>
        </w:rPr>
        <w:t>txn_create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report_monthly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account_list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1C0D93F9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参数与返回值使用 serde 序列化的结构体，前端由 TypeScript 类型声明镜像，构建时通过代码生成保持一致。</w:t>
      </w:r>
    </w:p>
    <w:p w14:paraId="362F74DE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错误统一为 </w:t>
      </w:r>
      <w:r>
        <w:rPr>
          <w:rFonts w:ascii="Consolas" w:hAnsi="Consolas" w:eastAsia="Consolas" w:cs="Consolas"/>
          <w:color w:val="0e3a5d"/>
          <w:sz w:val="20"/>
        </w:rPr>
        <w:t>{ code, message, detail }</w:t>
      </w:r>
      <w:r>
        <w:rPr>
          <w:rFonts w:hint="eastAsia" w:ascii="宋体" w:hAnsi="宋体" w:eastAsia="宋体" w:cs="宋体"/>
          <w:color w:val="1a1a1a"/>
          <w:sz w:val="24"/>
        </w:rPr>
        <w:t xml:space="preserve"> 结构，</w:t>
      </w:r>
      <w:r>
        <w:rPr>
          <w:rFonts w:ascii="Consolas" w:hAnsi="Consolas" w:eastAsia="Consolas" w:cs="Consolas"/>
          <w:color w:val="0e3a5d"/>
          <w:sz w:val="20"/>
        </w:rPr>
        <w:t>code</w:t>
      </w:r>
      <w:r>
        <w:rPr>
          <w:rFonts w:hint="eastAsia" w:ascii="宋体" w:hAnsi="宋体" w:eastAsia="宋体" w:cs="宋体"/>
          <w:color w:val="1a1a1a"/>
          <w:sz w:val="24"/>
        </w:rPr>
        <w:t xml:space="preserve"> 为稳定的枚举字符串（如 </w:t>
      </w:r>
      <w:r>
        <w:rPr>
          <w:rFonts w:ascii="Consolas" w:hAnsi="Consolas" w:eastAsia="Consolas" w:cs="Consolas"/>
          <w:color w:val="0e3a5d"/>
          <w:sz w:val="20"/>
        </w:rPr>
        <w:t>VALIDATION_FAILED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CONFLICT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DB_ERROR</w:t>
      </w:r>
      <w:r>
        <w:rPr>
          <w:rFonts w:hint="eastAsia" w:ascii="宋体" w:hAnsi="宋体" w:eastAsia="宋体" w:cs="宋体"/>
          <w:color w:val="1a1a1a"/>
          <w:sz w:val="24"/>
        </w:rPr>
        <w:t xml:space="preserve">），前端据此决定提示文案，不解析 </w:t>
      </w:r>
      <w:r>
        <w:rPr>
          <w:rFonts w:ascii="Consolas" w:hAnsi="Consolas" w:eastAsia="Consolas" w:cs="Consolas"/>
          <w:color w:val="0e3a5d"/>
          <w:sz w:val="20"/>
        </w:rPr>
        <w:t>message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4113849C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长耗时任务（如导入、备份、重建余额）通过事件通道推送进度，命令立即返回任务标识。</w:t>
      </w:r>
    </w:p>
    <w:p w14:paraId="3C05FEEF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安全约束：渲染进程禁用 Node 集成，仅暴露白名单命令；文件系统访问一律经由后端命令完成，前端不获取任意路径读写能力。</w:t>
      </w:r>
    </w:p>
    <w:p w14:paraId="0C728613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7" w:name="sec-5-4"/>
      <w:r>
        <w:rPr>
          <w:rFonts w:hint="eastAsia" w:ascii="黑体" w:hAnsi="黑体" w:eastAsia="黑体" w:cs="黑体"/>
          <w:b w:val="1"/>
          <w:color w:val="15507f"/>
          <w:sz w:val="28"/>
        </w:rPr>
        <w:t>5.4 模块划分</w:t>
      </w:r>
      <w:bookmarkEnd w:id="2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52301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模块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B620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职责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3850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关键接口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0FAF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ledger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DD2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账本元信息与切换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60CB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ledger_list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ledger_switch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8F95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288B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交易的增删改查、退款关联、回收站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045C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txn_create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txn_update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txn_soft_delete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txn_restore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75A5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account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DB3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账户与余额、余额调整、归档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995F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account_list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account_adjust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account_recalc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CEC5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category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0F3F7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分类树、排序、归档、迁移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B2EE0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category_tree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category_merge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3D59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budget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4CC7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预算额度、执行进度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FD347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budget_upsert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budget_progress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608E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report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9D23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汇总、占比、趋势、对比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05E5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report_summary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report_by_category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report_trend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C454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importer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E85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CSV 解析、字段映射、去重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B4A1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import_preview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import_commit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2A4A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exporter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571C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CSV/xlsx 导出、全量迁移包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51F9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export_query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export_bundle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DF71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backup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2B6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快照、恢复、自动备份调度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6B34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backup_create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backup_restore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backup_list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E243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security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518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密码派生、解锁、加密库打开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CFEA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vault_unlock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vault_change_password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9C7F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settings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0BE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偏好设置、快捷键、主题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9B19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settings_get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settings_set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9590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system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B03E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托盘、全局快捷键、通知、自启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D02C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由 Tauri 插件承载，后端仅做编排</w:t>
            </w:r>
          </w:p>
        </w:tc>
      </w:tr>
    </w:tbl>
    <w:p w14:paraId="5AA8CDCF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28" w:name="sec-5-5"/>
      <w:r>
        <w:rPr>
          <w:rFonts w:hint="eastAsia" w:ascii="黑体" w:hAnsi="黑体" w:eastAsia="黑体" w:cs="黑体"/>
          <w:b w:val="1"/>
          <w:color w:val="15507f"/>
          <w:sz w:val="28"/>
        </w:rPr>
        <w:t>5.5 数据模型</w:t>
      </w:r>
      <w:bookmarkEnd w:id="28"/>
    </w:p>
    <w:p w14:paraId="43218943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数据模型的设计目标有两条：一是如实表达个人记账的事实结构，二是保证所有统计口径只有一个来源。为此实体数量被控制在六个，冗余字段仅保留可重算的余额缓存。</w:t>
      </w:r>
    </w:p>
    <w:p w14:paraId="1F3C2A36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29" w:name="sec-5-6"/>
      <w:r>
        <w:rPr>
          <w:rFonts w:hint="eastAsia" w:ascii="黑体" w:hAnsi="黑体" w:eastAsia="黑体" w:cs="黑体"/>
          <w:b w:val="1"/>
          <w:color w:val="1a1a1a"/>
          <w:sz w:val="25"/>
        </w:rPr>
        <w:t>5.5.1 实体关系</w:t>
      </w:r>
      <w:bookmarkEnd w:id="29"/>
    </w:p>
    <w:p w14:paraId="655AB83F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核心实体六个：账本（ledger）、账户（account）、分类（category）、交易（txn）、标签（tag）、预算（budget）。关系为：一个账本包含多个账户、分类与交易；一笔交易属于一个账本、一个账户（转账时另有一个对方账户）、可属于一个分类、可挂多个标签；预算按期间与分类维度设置。</w:t>
      </w:r>
    </w:p>
    <w:p w14:paraId="31A3B1A5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刻意简化的两处：交易不采用复式记账的双分录结构，转账以单条记录加双账户引用的方式表达；分类不做无限层级，固定两级。两处简化都以"个人记账的心智模型"为依据——用户理解的是"从工资卡转了 1000 到支付宝"，而不是"借记应付、贷记资产"。若采用双分录，写入放大一倍、界面需隐藏借贷概念，收益不足以抵偿复杂度。</w:t>
      </w:r>
    </w:p>
    <w:p w14:paraId="2AF2DE50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0" w:name="sec-5-7"/>
      <w:r>
        <w:rPr>
          <w:rFonts w:hint="eastAsia" w:ascii="黑体" w:hAnsi="黑体" w:eastAsia="黑体" w:cs="黑体"/>
          <w:b w:val="1"/>
          <w:color w:val="1a1a1a"/>
          <w:sz w:val="25"/>
        </w:rPr>
        <w:t>5.5.2 核心表结构</w:t>
      </w:r>
      <w:bookmarkEnd w:id="30"/>
    </w:p>
    <w:p w14:paraId="3AE1B6C3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txn（交易表）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400C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字段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9775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类型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95275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约束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6B7D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6FAF2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FB86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F5E2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PK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E9918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UUID v7，时间有序，便于分页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A7AA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ledger_id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3E0E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D63D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C0A3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所属账本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41A4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type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3E422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E511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476B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0 支出，1 收入，2 转账，3 余额调整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3EF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amount_minor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0A64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20A1F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NULL, CHECK &gt;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6FC8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金额（分），始终为正，方向由 type 决定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B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account_id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8826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2B816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EAC9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支出/收入/转出账户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688ED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to_account_id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0BE6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7CF9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C16F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转账的转入账户，非转账为空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C192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category_id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B442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2A50C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8BB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转账与调整为空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8883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occurred_on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0D36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FC02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A341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发生日期 YYYY-MM-DD（本地日历日）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AECE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37E6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3EFB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B8FF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备注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A6F3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refund_of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9D1CD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8F12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F900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关联的原交易（退款场景）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D031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reimburse_state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0DBA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A3D4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190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0 无，1 待报销，2 已报销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F8E3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exclude_from_stats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4D78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AF06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319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是否排除出统计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4CD4C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created_at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D52C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E6B2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F0A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创建时刻 ISO 8601（UTC）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4451B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updated_at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5B5A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A28B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336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更新时刻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4CFC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deleted_at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57FB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18F5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6AE9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软删除时间戳</w:t>
            </w:r>
          </w:p>
        </w:tc>
      </w:tr>
    </w:tbl>
    <w:p w14:paraId="34F73185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account（账户表）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6818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字段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6F28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类型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56C93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约束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61CAE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D331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CC83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8ABF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PK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33B5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UUID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331AC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ledger_id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44A4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43DA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6A09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所属账本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FE70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name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E860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D67F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DC6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账户名称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44EA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type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A765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389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7AB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0 现金，1 储蓄卡，2 信用卡，3 第三方支付，4 投资，5 借款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0DA0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currency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E053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3915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'CNY'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4C75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币种，V1.0 固定 CNY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6076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initial_minor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8791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215D1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122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初始余额（分，负债为负）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3AB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balance_minor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CF23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E9DE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E09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余额缓存，可重算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1676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include_in_net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DBFD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B984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1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CF1D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是否计入净资产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1E26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archived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CAA1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E8C3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CEA3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归档标记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8796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sort_order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A81F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2ACA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A6E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排序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D383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created_at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CA71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F300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E151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创建时刻</w:t>
            </w:r>
          </w:p>
        </w:tc>
      </w:tr>
    </w:tbl>
    <w:p w14:paraId="4E516954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category（分类表）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A2AD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字段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A8CC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类型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3734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约束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3E34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F35BD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8F3B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5437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PK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5E2A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UUID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6FD8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ledger_id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8518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68DEB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108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所属账本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54FD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parent_id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49FB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30ED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4E87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父分类，为空即一级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DB9E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name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DB22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6E210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F930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名称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7B39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kind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CDB1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9EA3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4C9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0 支出，1 收入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3B9C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icon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43B1C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A956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148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图标标识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5949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color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F147B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8278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E380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颜色值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4F6A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sort_order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10D3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A2CF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BEAB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排序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10BE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archived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1C36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8259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715F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归档标记</w:t>
            </w:r>
          </w:p>
        </w:tc>
      </w:tr>
    </w:tbl>
    <w:p w14:paraId="402838EB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budget（预算表）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DDED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字段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17F5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类型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6ADF4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约束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ABFC3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837C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3366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5C842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PK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AA12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UUID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8151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ledger_id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1100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F331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E3A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所属账本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813F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period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1135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ADAC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37DD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期间键，如 2026-10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58CB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category_id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6589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564F8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FK,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8173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为空表示总预算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170D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amount_minor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CD994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32A4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BC0A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预算额度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C9B6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carry_over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1E3F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7C2B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NOT NULL DEFAULT 0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73D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是否结转上期结余</w:t>
            </w:r>
          </w:p>
        </w:tc>
      </w:tr>
    </w:tbl>
    <w:p w14:paraId="66F4FE4A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tag 与 txn_tag（标签与关联）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8047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表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397B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字段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3E7E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A807A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tag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65B5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 TEXT PK, ledger_id TEXT FK, name TEXT, color TEXT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8A4B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标签主体，同名唯一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A54D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txn_tag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CAE5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txn_id TEXT FK, tag_id TEXT FK, PRIMARY KEY(txn_id, tag_id)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C5E6F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多对多关联</w:t>
            </w:r>
          </w:p>
        </w:tc>
      </w:tr>
    </w:tbl>
    <w:p w14:paraId="0C780A60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import_batch（导入批次与去重）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488B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字段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2EAF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类型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A6CB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DE20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id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E430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EF83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批次标识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7A0A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source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644A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CDEF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来源类型（alipay、wechat、generic）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33FA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file_name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82F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15F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源文件名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148B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imported_at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6BD9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781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导入时刻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6CCB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row_count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D833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INTEGER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DA85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成功行数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35B6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fingerprint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A32A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TEXT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66DB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行级去重指纹（时间+金额+对方+备注的哈希）</w:t>
            </w:r>
          </w:p>
        </w:tc>
      </w:tr>
    </w:tbl>
    <w:p w14:paraId="328CB1B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去重指纹独立成表 </w:t>
      </w:r>
      <w:r>
        <w:rPr>
          <w:rFonts w:ascii="Consolas" w:hAnsi="Consolas" w:eastAsia="Consolas" w:cs="Consolas"/>
          <w:color w:val="0e3a5d"/>
          <w:sz w:val="20"/>
        </w:rPr>
        <w:t>import_fingerprint(fingerprint TEXT PRIMARY KEY, txn_id TEXT)</w:t>
      </w:r>
      <w:r>
        <w:rPr>
          <w:rFonts w:hint="eastAsia" w:ascii="宋体" w:hAnsi="宋体" w:eastAsia="宋体" w:cs="宋体"/>
          <w:color w:val="1a1a1a"/>
          <w:sz w:val="24"/>
        </w:rPr>
        <w:t>，导入时对每行计算指纹并跳过已存在者。指纹算法为 SHA-256 截断 16 字节，碰撞概率在个人数据规模下可忽略。</w:t>
      </w:r>
    </w:p>
    <w:p w14:paraId="465300E2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1" w:name="sec-5-8"/>
      <w:r>
        <w:rPr>
          <w:rFonts w:hint="eastAsia" w:ascii="黑体" w:hAnsi="黑体" w:eastAsia="黑体" w:cs="黑体"/>
          <w:b w:val="1"/>
          <w:color w:val="1a1a1a"/>
          <w:sz w:val="25"/>
        </w:rPr>
        <w:t>5.5.3 时间语义</w:t>
      </w:r>
      <w:bookmarkEnd w:id="31"/>
    </w:p>
    <w:p w14:paraId="0B1877C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发生日期以 </w:t>
      </w:r>
      <w:r>
        <w:rPr>
          <w:rFonts w:ascii="Consolas" w:hAnsi="Consolas" w:eastAsia="Consolas" w:cs="Consolas"/>
          <w:color w:val="0e3a5d"/>
          <w:sz w:val="20"/>
        </w:rPr>
        <w:t>TEXT</w:t>
      </w:r>
      <w:r>
        <w:rPr>
          <w:rFonts w:hint="eastAsia" w:ascii="宋体" w:hAnsi="宋体" w:eastAsia="宋体" w:cs="宋体"/>
          <w:color w:val="1a1a1a"/>
          <w:sz w:val="24"/>
        </w:rPr>
        <w:t xml:space="preserve"> 存 </w:t>
      </w:r>
      <w:r>
        <w:rPr>
          <w:rFonts w:ascii="Consolas" w:hAnsi="Consolas" w:eastAsia="Consolas" w:cs="Consolas"/>
          <w:color w:val="0e3a5d"/>
          <w:sz w:val="20"/>
        </w:rPr>
        <w:t>YYYY-MM-DD</w:t>
      </w:r>
      <w:r>
        <w:rPr>
          <w:rFonts w:hint="eastAsia" w:ascii="宋体" w:hAnsi="宋体" w:eastAsia="宋体" w:cs="宋体"/>
          <w:color w:val="1a1a1a"/>
          <w:sz w:val="24"/>
        </w:rPr>
        <w:t>，不带时区。原因是个人记账的统计口径是"我所在时区的这一天花了多少钱"，若以 UTC 时间戳存储再转换，跨时区旅行或夏令时场景会导致同一笔账在两个月份间漂移。创建时间与更新时间则以 UTC ISO 8601 存储，仅用于排序与审计，不参与统计。</w:t>
      </w:r>
    </w:p>
    <w:p w14:paraId="731BC89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此决定带来一个实现约束：所有"本月""本周"的边界计算必须在应用层基于用户本地日历完成，SQL 中不得使用 </w:t>
      </w:r>
      <w:r>
        <w:rPr>
          <w:rFonts w:ascii="Consolas" w:hAnsi="Consolas" w:eastAsia="Consolas" w:cs="Consolas"/>
          <w:color w:val="0e3a5d"/>
          <w:sz w:val="20"/>
        </w:rPr>
        <w:t>date('now')</w:t>
      </w:r>
      <w:r>
        <w:rPr>
          <w:rFonts w:hint="eastAsia" w:ascii="宋体" w:hAnsi="宋体" w:eastAsia="宋体" w:cs="宋体"/>
          <w:color w:val="1a1a1a"/>
          <w:sz w:val="24"/>
        </w:rPr>
        <w:t xml:space="preserve"> 之类的本地时间函数，而应把计算好的起止日期作为参数传入。这一约束需在代码评审中作为检查项。</w:t>
      </w:r>
    </w:p>
    <w:p w14:paraId="078CE73C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2" w:name="sec-5-9"/>
      <w:r>
        <w:rPr>
          <w:rFonts w:hint="eastAsia" w:ascii="黑体" w:hAnsi="黑体" w:eastAsia="黑体" w:cs="黑体"/>
          <w:b w:val="1"/>
          <w:color w:val="1a1a1a"/>
          <w:sz w:val="25"/>
        </w:rPr>
        <w:t>5.5.4 索引设计</w:t>
      </w:r>
      <w:bookmarkEnd w:id="3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83E8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表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45F8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索引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1FF8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用途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84FA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D71C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(ledger_id, occurred_on DESC)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14DC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列表分页、区间统计的主路径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3536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A089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(account_id, occurred_on)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CF25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账户余额推导与账户明细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78463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847E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(category_id, occurred_on)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1A0C6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分类报表与下钻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33F1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0EE0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(deleted_at)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77BC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回收站查询，部分索引 WHERE deleted_at IS NULL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6034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12AE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(refund_of)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A02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退款关联查询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BF58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txn_tag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0E88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(tag_id)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16F3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按标签筛选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567B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budget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F1EC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(ledger_id, period)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CDE7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预算进度读取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9F1D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account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A0A7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(ledger_id, archived)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3331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账户列表</w:t>
            </w:r>
          </w:p>
        </w:tc>
      </w:tr>
    </w:tbl>
    <w:p w14:paraId="296F82F5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注意 </w:t>
      </w:r>
      <w:r>
        <w:rPr>
          <w:rFonts w:ascii="Consolas" w:hAnsi="Consolas" w:eastAsia="Consolas" w:cs="Consolas"/>
          <w:color w:val="0e3a5d"/>
          <w:sz w:val="20"/>
        </w:rPr>
        <w:t>txn</w:t>
      </w:r>
      <w:r>
        <w:rPr>
          <w:rFonts w:hint="eastAsia" w:ascii="宋体" w:hAnsi="宋体" w:eastAsia="宋体" w:cs="宋体"/>
          <w:color w:val="1a1a1a"/>
          <w:sz w:val="24"/>
        </w:rPr>
        <w:t xml:space="preserve"> 的主查询索引应建为覆盖索引的形态：</w:t>
      </w:r>
      <w:r>
        <w:rPr>
          <w:rFonts w:ascii="Consolas" w:hAnsi="Consolas" w:eastAsia="Consolas" w:cs="Consolas"/>
          <w:color w:val="0e3a5d"/>
          <w:sz w:val="20"/>
        </w:rPr>
        <w:t>(ledger_id, occurred_on DESC, id DESC)</w:t>
      </w:r>
      <w:r>
        <w:rPr>
          <w:rFonts w:hint="eastAsia" w:ascii="宋体" w:hAnsi="宋体" w:eastAsia="宋体" w:cs="宋体"/>
          <w:color w:val="1a1a1a"/>
          <w:sz w:val="24"/>
        </w:rPr>
        <w:t>，以支持"按时间倒序、同日期按 id 稳定排序"的游标分页，避免 OFFSET 在深分页时的性能衰减。</w:t>
      </w:r>
    </w:p>
    <w:p w14:paraId="19574B45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33" w:name="sec-5-10"/>
      <w:r>
        <w:rPr>
          <w:rFonts w:hint="eastAsia" w:ascii="黑体" w:hAnsi="黑体" w:eastAsia="黑体" w:cs="黑体"/>
          <w:b w:val="1"/>
          <w:color w:val="15507f"/>
          <w:sz w:val="28"/>
        </w:rPr>
        <w:t>5.6 关键流程</w:t>
      </w:r>
      <w:bookmarkEnd w:id="33"/>
    </w:p>
    <w:p w14:paraId="0E6DD726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以下五个流程覆盖写入、对账、统计、数据进出与数据保全，构成开发阶段的实现清单。每个流程均标注了事务边界与失败处理方式。</w:t>
      </w:r>
    </w:p>
    <w:p w14:paraId="3B862FD3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4" w:name="sec-5-11"/>
      <w:r>
        <w:rPr>
          <w:rFonts w:hint="eastAsia" w:ascii="黑体" w:hAnsi="黑体" w:eastAsia="黑体" w:cs="黑体"/>
          <w:b w:val="1"/>
          <w:color w:val="1a1a1a"/>
          <w:sz w:val="25"/>
        </w:rPr>
        <w:t>5.6.1 记账写入</w:t>
      </w:r>
      <w:bookmarkEnd w:id="34"/>
    </w:p>
    <w:p w14:paraId="474D1965">
      <w:pPr>
        <w:numPr>
          <w:ilvl w:val="0"/>
          <w:numId w:val="5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前端在迷你窗口或主窗口提交交易草稿，仅包含用户可见字段。</w:t>
      </w:r>
    </w:p>
    <w:p w14:paraId="4C7D5229">
      <w:pPr>
        <w:numPr>
          <w:ilvl w:val="0"/>
          <w:numId w:val="5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应用层校验：金额大于零、日期格式合法、分类方向与交易类型匹配、转账双方账户不同且同账本、账户未归档。</w:t>
      </w:r>
    </w:p>
    <w:p w14:paraId="51453E2D">
      <w:pPr>
        <w:numPr>
          <w:ilvl w:val="0"/>
          <w:numId w:val="5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开启事务（</w:t>
      </w:r>
      <w:r>
        <w:rPr>
          <w:rFonts w:ascii="Consolas" w:hAnsi="Consolas" w:eastAsia="Consolas" w:cs="Consolas"/>
          <w:color w:val="0e3a5d"/>
          <w:sz w:val="20"/>
        </w:rPr>
        <w:t>BEGIN IMMEDIATE</w:t>
      </w:r>
      <w:r>
        <w:rPr>
          <w:rFonts w:hint="eastAsia" w:ascii="宋体" w:hAnsi="宋体" w:eastAsia="宋体" w:cs="宋体"/>
          <w:color w:val="1a1a1a"/>
          <w:sz w:val="24"/>
        </w:rPr>
        <w:t>），插入 txn 记录。</w:t>
      </w:r>
    </w:p>
    <w:p w14:paraId="49470451">
      <w:pPr>
        <w:numPr>
          <w:ilvl w:val="0"/>
          <w:numId w:val="5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更新涉及账户的 </w:t>
      </w:r>
      <w:r>
        <w:rPr>
          <w:rFonts w:ascii="Consolas" w:hAnsi="Consolas" w:eastAsia="Consolas" w:cs="Consolas"/>
          <w:color w:val="0e3a5d"/>
          <w:sz w:val="20"/>
        </w:rPr>
        <w:t>balance_minor</w:t>
      </w:r>
      <w:r>
        <w:rPr>
          <w:rFonts w:hint="eastAsia" w:ascii="宋体" w:hAnsi="宋体" w:eastAsia="宋体" w:cs="宋体"/>
          <w:color w:val="1a1a1a"/>
          <w:sz w:val="24"/>
        </w:rPr>
        <w:t xml:space="preserve"> 缓存：支出减少、收入增加；转账为转出减少、转入增加（负债账户同样按此规则，因其初始余额为负，结果自然正确）。</w:t>
      </w:r>
    </w:p>
    <w:p w14:paraId="2E453B2A">
      <w:pPr>
        <w:numPr>
          <w:ilvl w:val="0"/>
          <w:numId w:val="5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提交事务，返回新交易标识。</w:t>
      </w:r>
    </w:p>
    <w:p w14:paraId="139A6C3A">
      <w:pPr>
        <w:numPr>
          <w:ilvl w:val="0"/>
          <w:numId w:val="5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前端失效受影响的查询键（当月汇总、账户列表、预算进度），触发重取。</w:t>
      </w:r>
    </w:p>
    <w:p w14:paraId="3543150E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写入路径不存在异步队列，全部同步完成。理由是单笔写入的数据量极小（一行加两次更新），同步写入的延迟在毫秒级，异步化只会引入状态不一致的风险。</w:t>
      </w:r>
    </w:p>
    <w:p w14:paraId="1ABD1265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5" w:name="sec-5-12"/>
      <w:r>
        <w:rPr>
          <w:rFonts w:hint="eastAsia" w:ascii="黑体" w:hAnsi="黑体" w:eastAsia="黑体" w:cs="黑体"/>
          <w:b w:val="1"/>
          <w:color w:val="1a1a1a"/>
          <w:sz w:val="25"/>
        </w:rPr>
        <w:t>5.6.2 余额推导与重算</w:t>
      </w:r>
      <w:bookmarkEnd w:id="35"/>
    </w:p>
    <w:p w14:paraId="461983D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余额的权威计算式为：</w:t>
      </w:r>
    </w:p>
    <w:p w14:paraId="7D47117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balance = initial_minor</w:t>
      </w:r>
    </w:p>
    <w:p w14:paraId="619BD804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 + Σ(收入金额 where account_id = 本账户)</w:t>
      </w:r>
    </w:p>
    <w:p w14:paraId="6230E148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 - Σ(支出金额 where account_id = 本账户)</w:t>
      </w:r>
    </w:p>
    <w:p w14:paraId="00457B17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 + Σ(转入金额 where to_account_id = 本账户)</w:t>
      </w:r>
    </w:p>
    <w:p w14:paraId="2E78B649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 - Σ(转出金额 where account_id = 本账户 且 type = 转账)</w:t>
      </w:r>
    </w:p>
    <w:p w14:paraId="10C71E31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 + Σ(调整金额，按调整方向)</w:t>
      </w:r>
    </w:p>
    <w:p w14:paraId="1969959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其中已软删除的记录不参与计算。缓存值与重算值的偏差若超过阈值（默认 0），在内置诊断页给出告警，并提供一键重算。重算命令在单个事务内逐账户更新缓存，耗时与流水量线性相关，10 万条规模在 1 秒内完成。</w:t>
      </w:r>
    </w:p>
    <w:p w14:paraId="1B1ECCC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需要强调：</w:t>
      </w:r>
      <w:r>
        <w:rPr>
          <w:rFonts w:hint="eastAsia" w:ascii="宋体" w:hAnsi="宋体" w:eastAsia="宋体" w:cs="宋体"/>
          <w:b w:val="1"/>
          <w:color w:val="1a1a1a"/>
          <w:sz w:val="24"/>
        </w:rPr>
        <w:t>当缓存与重算冲突时，以重算为准，并记录一条诊断日志。</w:t>
      </w:r>
      <w:r>
        <w:rPr>
          <w:rFonts w:hint="eastAsia" w:ascii="宋体" w:hAnsi="宋体" w:eastAsia="宋体" w:cs="宋体"/>
          <w:color w:val="1a1a1a"/>
          <w:sz w:val="24"/>
        </w:rPr>
        <w:t xml:space="preserve"> 这避免了"缓存写错后永久错下去"的隐性债务。</w:t>
      </w:r>
    </w:p>
    <w:p w14:paraId="47C7D5D1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6" w:name="sec-5-13"/>
      <w:r>
        <w:rPr>
          <w:rFonts w:hint="eastAsia" w:ascii="黑体" w:hAnsi="黑体" w:eastAsia="黑体" w:cs="黑体"/>
          <w:b w:val="1"/>
          <w:color w:val="1a1a1a"/>
          <w:sz w:val="25"/>
        </w:rPr>
        <w:t>5.6.3 报表聚合</w:t>
      </w:r>
      <w:bookmarkEnd w:id="36"/>
    </w:p>
    <w:p w14:paraId="35317A79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月度汇总采用单条 SQL 聚合完成，避免多次往返：</w:t>
      </w:r>
    </w:p>
    <w:p w14:paraId="226BBBB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SELECT type,</w:t>
      </w:r>
    </w:p>
    <w:p w14:paraId="1D74155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COUNT(*) AS cnt,</w:t>
      </w:r>
    </w:p>
    <w:p w14:paraId="01C7566C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SUM(amount_minor) AS total_minor</w:t>
      </w:r>
    </w:p>
    <w:p w14:paraId="71ED6FF9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FROM txn</w:t>
      </w:r>
    </w:p>
    <w:p w14:paraId="0F6B153F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WHERE ledger_id = ?1</w:t>
      </w:r>
    </w:p>
    <w:p w14:paraId="6DB5125F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AND occurred_on BETWEEN ?2 AND ?3</w:t>
      </w:r>
    </w:p>
    <w:p w14:paraId="06708223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AND deleted_at IS NULL</w:t>
      </w:r>
    </w:p>
    <w:p w14:paraId="3053847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AND exclude_from_stats = 0</w:t>
      </w:r>
    </w:p>
    <w:p w14:paraId="6DF9563C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AND type IN (0, 1)</w:t>
      </w:r>
    </w:p>
    <w:p w14:paraId="16B08F45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GROUP BY type;</w:t>
      </w:r>
    </w:p>
    <w:p w14:paraId="20D08C6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分类占比需先按二级分类聚合，再上卷至一级。实现上使用一次 </w:t>
      </w:r>
      <w:r>
        <w:rPr>
          <w:rFonts w:ascii="Consolas" w:hAnsi="Consolas" w:eastAsia="Consolas" w:cs="Consolas"/>
          <w:color w:val="0e3a5d"/>
          <w:sz w:val="20"/>
        </w:rPr>
        <w:t>LEFT JOIN</w:t>
      </w:r>
      <w:r>
        <w:rPr>
          <w:rFonts w:hint="eastAsia" w:ascii="宋体" w:hAnsi="宋体" w:eastAsia="宋体" w:cs="宋体"/>
          <w:color w:val="1a1a1a"/>
          <w:sz w:val="24"/>
        </w:rPr>
        <w:t xml:space="preserve"> 加 </w:t>
      </w:r>
      <w:r>
        <w:rPr>
          <w:rFonts w:ascii="Consolas" w:hAnsi="Consolas" w:eastAsia="Consolas" w:cs="Consolas"/>
          <w:color w:val="0e3a5d"/>
          <w:sz w:val="20"/>
        </w:rPr>
        <w:t>CASE</w:t>
      </w:r>
      <w:r>
        <w:rPr>
          <w:rFonts w:hint="eastAsia" w:ascii="宋体" w:hAnsi="宋体" w:eastAsia="宋体" w:cs="宋体"/>
          <w:color w:val="1a1a1a"/>
          <w:sz w:val="24"/>
        </w:rPr>
        <w:t xml:space="preserve"> 上卷，避免两次查询后在前端合并：</w:t>
      </w:r>
    </w:p>
    <w:p w14:paraId="32D6FF3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SELECT COALESCE(c.parent_id, c.id) AS top_id,</w:t>
      </w:r>
    </w:p>
    <w:p w14:paraId="72E25D6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SUM(t.amount_minor) AS total_minor</w:t>
      </w:r>
    </w:p>
    <w:p w14:paraId="3D4559D3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FROM txn t</w:t>
      </w:r>
    </w:p>
    <w:p w14:paraId="75B09A7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JOIN category c ON c.id = t.category_id</w:t>
      </w:r>
    </w:p>
    <w:p w14:paraId="4E42B19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WHERE t.ledger_id = ?1</w:t>
      </w:r>
    </w:p>
    <w:p w14:paraId="685D3FC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AND t.occurred_on BETWEEN ?2 AND ?3</w:t>
      </w:r>
    </w:p>
    <w:p w14:paraId="0C9FC0A2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AND t.type = 0</w:t>
      </w:r>
    </w:p>
    <w:p w14:paraId="636D0CB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AND t.deleted_at IS NULL</w:t>
      </w:r>
    </w:p>
    <w:p w14:paraId="07EBC3A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GROUP BY top_id</w:t>
      </w:r>
    </w:p>
    <w:p w14:paraId="57FE2A4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ORDER BY total_minor DESC;</w:t>
      </w:r>
    </w:p>
    <w:p w14:paraId="66798DC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趋势图按日聚合时，若区间内某日无数据，SQL 不返回该行。前端需按日期序列补零，不可依赖数据库补齐，否则折线断裂。这一细节在实现阶段极易遗漏，列入验收检查项。</w:t>
      </w:r>
    </w:p>
    <w:p w14:paraId="15EE32D6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7" w:name="sec-5-14"/>
      <w:r>
        <w:rPr>
          <w:rFonts w:hint="eastAsia" w:ascii="黑体" w:hAnsi="黑体" w:eastAsia="黑体" w:cs="黑体"/>
          <w:b w:val="1"/>
          <w:color w:val="1a1a1a"/>
          <w:sz w:val="25"/>
        </w:rPr>
        <w:t>5.6.4 导入流程</w:t>
      </w:r>
      <w:bookmarkEnd w:id="37"/>
    </w:p>
    <w:p w14:paraId="4A2CEB8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导入分为三步，彼此可中断而不留脏数据。</w:t>
      </w:r>
    </w:p>
    <w:p w14:paraId="10A8DD38">
      <w:pPr>
        <w:numPr>
          <w:ilvl w:val="0"/>
          <w:numId w:val="6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解析预览</w:t>
      </w:r>
      <w:r>
        <w:rPr>
          <w:rFonts w:hint="eastAsia" w:ascii="宋体" w:hAnsi="宋体" w:eastAsia="宋体" w:cs="宋体"/>
          <w:color w:val="1a1a1a"/>
          <w:sz w:val="24"/>
        </w:rPr>
        <w:t>：读取文件，自动识别编码（先试 UTF-8，失败回退 GB18030），识别表头并匹配内置模板（支付宝、微信）或交由用户手工映射列。展示前 20 行预览与总行数。</w:t>
      </w:r>
    </w:p>
    <w:p w14:paraId="100F919B">
      <w:pPr>
        <w:numPr>
          <w:ilvl w:val="0"/>
          <w:numId w:val="6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校验与去重</w:t>
      </w:r>
      <w:r>
        <w:rPr>
          <w:rFonts w:hint="eastAsia" w:ascii="宋体" w:hAnsi="宋体" w:eastAsia="宋体" w:cs="宋体"/>
          <w:color w:val="1a1a1a"/>
          <w:sz w:val="24"/>
        </w:rPr>
        <w:t xml:space="preserve">：逐行校验日期与金额，对每行计算指纹并与 </w:t>
      </w:r>
      <w:r>
        <w:rPr>
          <w:rFonts w:ascii="Consolas" w:hAnsi="Consolas" w:eastAsia="Consolas" w:cs="Consolas"/>
          <w:color w:val="0e3a5d"/>
          <w:sz w:val="20"/>
        </w:rPr>
        <w:t>import_fingerprint</w:t>
      </w:r>
      <w:r>
        <w:rPr>
          <w:rFonts w:hint="eastAsia" w:ascii="宋体" w:hAnsi="宋体" w:eastAsia="宋体" w:cs="宋体"/>
          <w:color w:val="1a1a1a"/>
          <w:sz w:val="24"/>
        </w:rPr>
        <w:t xml:space="preserve"> 比对，标记重复行与错误行。用户可选择跳过或覆盖重复。</w:t>
      </w:r>
    </w:p>
    <w:p w14:paraId="7A704672">
      <w:pPr>
        <w:numPr>
          <w:ilvl w:val="0"/>
          <w:numId w:val="6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提交入库</w:t>
      </w:r>
      <w:r>
        <w:rPr>
          <w:rFonts w:hint="eastAsia" w:ascii="宋体" w:hAnsi="宋体" w:eastAsia="宋体" w:cs="宋体"/>
          <w:color w:val="1a1a1a"/>
          <w:sz w:val="24"/>
        </w:rPr>
        <w:t>：在单一事务内批量插入，同时写入指纹与批次记录。若任一行硬性失败，整体回滚并报告行号。</w:t>
      </w:r>
    </w:p>
    <w:p w14:paraId="54D0417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支付宝与微信账单的共性问题有三：金额列可能带货币符号、收支方向由"收/支"文字表达而非正负号、部分行是"不计收支"的状态记录（如余额宝转入）。适配器需显式处理这三点，否则导入后的统计口径会失真。</w:t>
      </w:r>
    </w:p>
    <w:p w14:paraId="7E6E1CB6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38" w:name="sec-5-15"/>
      <w:r>
        <w:rPr>
          <w:rFonts w:hint="eastAsia" w:ascii="黑体" w:hAnsi="黑体" w:eastAsia="黑体" w:cs="黑体"/>
          <w:b w:val="1"/>
          <w:color w:val="1a1a1a"/>
          <w:sz w:val="25"/>
        </w:rPr>
        <w:t>5.6.5 备份与恢复</w:t>
      </w:r>
      <w:bookmarkEnd w:id="38"/>
    </w:p>
    <w:p w14:paraId="790CEB5E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备份使用 SQLite 的 </w:t>
      </w:r>
      <w:r>
        <w:rPr>
          <w:rFonts w:ascii="Consolas" w:hAnsi="Consolas" w:eastAsia="Consolas" w:cs="Consolas"/>
          <w:color w:val="0e3a5d"/>
          <w:sz w:val="20"/>
        </w:rPr>
        <w:t>VACUUM INTO</w:t>
      </w:r>
      <w:r>
        <w:rPr>
          <w:rFonts w:hint="eastAsia" w:ascii="宋体" w:hAnsi="宋体" w:eastAsia="宋体" w:cs="宋体"/>
          <w:color w:val="1a1a1a"/>
          <w:sz w:val="24"/>
        </w:rPr>
        <w:t xml:space="preserve"> 生成一致性快照，避免直接复制在 WAL 模式下可能出现的半写状态。备份文件命名含时间戳，默认保留最近 7 份，超期自动清理。</w:t>
      </w:r>
    </w:p>
    <w:p w14:paraId="35E8F94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恢复流程为：校验目标文件可打开且 </w:t>
      </w:r>
      <w:r>
        <w:rPr>
          <w:rFonts w:ascii="Consolas" w:hAnsi="Consolas" w:eastAsia="Consolas" w:cs="Consolas"/>
          <w:color w:val="0e3a5d"/>
          <w:sz w:val="20"/>
        </w:rPr>
        <w:t>user_version</w:t>
      </w:r>
      <w:r>
        <w:rPr>
          <w:rFonts w:hint="eastAsia" w:ascii="宋体" w:hAnsi="宋体" w:eastAsia="宋体" w:cs="宋体"/>
          <w:color w:val="1a1a1a"/>
          <w:sz w:val="24"/>
        </w:rPr>
        <w:t xml:space="preserve"> 不高于当前程序版本 → 将当前库另存为 </w:t>
      </w:r>
      <w:r>
        <w:rPr>
          <w:rFonts w:hint="eastAsia" w:ascii="Consolas" w:hAnsi="Consolas" w:eastAsia="Consolas" w:cs="Consolas"/>
          <w:color w:val="0e3a5d"/>
          <w:sz w:val="20"/>
        </w:rPr>
        <w:t>pre-restore-&lt;时间戳&gt;.db</w:t>
      </w:r>
      <w:r>
        <w:rPr>
          <w:rFonts w:hint="eastAsia" w:ascii="宋体" w:hAnsi="宋体" w:eastAsia="宋体" w:cs="宋体"/>
          <w:color w:val="1a1a1a"/>
          <w:sz w:val="24"/>
        </w:rPr>
        <w:t xml:space="preserve"> → 关闭连接 → 替换文件 → 重新打开并校验完整性（</w:t>
      </w:r>
      <w:r>
        <w:rPr>
          <w:rFonts w:ascii="Consolas" w:hAnsi="Consolas" w:eastAsia="Consolas" w:cs="Consolas"/>
          <w:color w:val="0e3a5d"/>
          <w:sz w:val="20"/>
        </w:rPr>
        <w:t>PRAGMA integrity_check</w:t>
      </w:r>
      <w:r>
        <w:rPr>
          <w:rFonts w:hint="eastAsia" w:ascii="宋体" w:hAnsi="宋体" w:eastAsia="宋体" w:cs="宋体"/>
          <w:color w:val="1a1a1a"/>
          <w:sz w:val="24"/>
        </w:rPr>
        <w:t>）→ 失败则回滚替换。恢复必须重启渲染进程以清空前端缓存。</w:t>
      </w:r>
    </w:p>
    <w:p w14:paraId="3C26217E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39" w:name="sec-5-16"/>
      <w:r>
        <w:rPr>
          <w:rFonts w:hint="eastAsia" w:ascii="黑体" w:hAnsi="黑体" w:eastAsia="黑体" w:cs="黑体"/>
          <w:b w:val="1"/>
          <w:color w:val="15507f"/>
          <w:sz w:val="28"/>
        </w:rPr>
        <w:t>5.7 一致性与事务策略</w:t>
      </w:r>
      <w:bookmarkEnd w:id="39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68D3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场景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90EF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策略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F049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单笔写入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ED79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单事务，含交易与账户缓存更新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9BC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批量导入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3E4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单事务，分批提交阈值设为 500 行以控制内存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23C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余额重算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DEB5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单事务全量，失败整体回滚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62B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分类合并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F4A8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单事务，先迁移引用再删除源分类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73D0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备份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58E6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读快照，不影响写；与写入并发安全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2F92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并发写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1E7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单实例锁保证仅一个进程写库；进程内以 Mutex 串行化写连接</w:t>
            </w:r>
          </w:p>
        </w:tc>
      </w:tr>
    </w:tbl>
    <w:p w14:paraId="16E272CF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数据库以 WAL 模式运行，读写分离：写连接唯一，读连接可多个。这一配置在单用户桌面场景下足以避免锁竞争，同时保证崩溃后可恢复。</w:t>
      </w:r>
    </w:p>
    <w:p w14:paraId="1D45FADF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要说明单实例约束：若允许两个进程同时写同一数据库，余额缓存与唯一的写连接模型都会被破坏。故应用启动时通过命名互斥量检测，若已有实例则激活其主窗口后退出。多开需求（如双屏对比）通过多窗口而非多进程实现。</w:t>
      </w:r>
    </w:p>
    <w:p w14:paraId="0CBCA3AA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0" w:name="sec-5-17"/>
      <w:r>
        <w:rPr>
          <w:rFonts w:hint="eastAsia" w:ascii="黑体" w:hAnsi="黑体" w:eastAsia="黑体" w:cs="黑体"/>
          <w:b w:val="1"/>
          <w:color w:val="15507f"/>
          <w:sz w:val="28"/>
        </w:rPr>
        <w:t>5.8 性能设计</w:t>
      </w:r>
      <w:bookmarkEnd w:id="40"/>
    </w:p>
    <w:p w14:paraId="59A5C06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按 10 万条流水、5 年跨度估算，单月数据约 1600 条，单年约 2 万条。这一量级下无需预聚合表，索引良好的聚合查询可在百毫秒内完成。具体措施如下。</w:t>
      </w:r>
    </w:p>
    <w:p w14:paraId="6029236E">
      <w:pPr>
        <w:numPr>
          <w:ilvl w:val="0"/>
          <w:numId w:val="7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分页采用游标而非 OFFSET。</w:t>
      </w:r>
      <w:r>
        <w:rPr>
          <w:rFonts w:hint="eastAsia" w:ascii="宋体" w:hAnsi="宋体" w:eastAsia="宋体" w:cs="宋体"/>
          <w:color w:val="1a1a1a"/>
          <w:sz w:val="24"/>
        </w:rPr>
        <w:t xml:space="preserve"> 以 </w:t>
      </w:r>
      <w:r>
        <w:rPr>
          <w:rFonts w:ascii="Consolas" w:hAnsi="Consolas" w:eastAsia="Consolas" w:cs="Consolas"/>
          <w:color w:val="0e3a5d"/>
          <w:sz w:val="20"/>
        </w:rPr>
        <w:t>(occurred_on, id)</w:t>
      </w:r>
      <w:r>
        <w:rPr>
          <w:rFonts w:hint="eastAsia" w:ascii="宋体" w:hAnsi="宋体" w:eastAsia="宋体" w:cs="宋体"/>
          <w:color w:val="1a1a1a"/>
          <w:sz w:val="24"/>
        </w:rPr>
        <w:t xml:space="preserve"> 为游标，避免深分页扫描。</w:t>
      </w:r>
    </w:p>
    <w:p w14:paraId="645E55BB">
      <w:pPr>
        <w:numPr>
          <w:ilvl w:val="0"/>
          <w:numId w:val="7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列表虚拟滚动。</w:t>
      </w:r>
      <w:r>
        <w:rPr>
          <w:rFonts w:hint="eastAsia" w:ascii="宋体" w:hAnsi="宋体" w:eastAsia="宋体" w:cs="宋体"/>
          <w:color w:val="1a1a1a"/>
          <w:sz w:val="24"/>
        </w:rPr>
        <w:t xml:space="preserve"> 前端只渲染可视区加缓冲区的行，DOM 节点数恒定在百余个。</w:t>
      </w:r>
    </w:p>
    <w:p w14:paraId="613490CB">
      <w:pPr>
        <w:numPr>
          <w:ilvl w:val="0"/>
          <w:numId w:val="7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报表查询加内存缓存。</w:t>
      </w:r>
      <w:r>
        <w:rPr>
          <w:rFonts w:hint="eastAsia" w:ascii="宋体" w:hAnsi="宋体" w:eastAsia="宋体" w:cs="宋体"/>
          <w:color w:val="1a1a1a"/>
          <w:sz w:val="24"/>
        </w:rPr>
        <w:t xml:space="preserve"> 以"账本+区间+粒度+筛选条件"为键，TTL 设为 30 秒，写入时主动失效。</w:t>
      </w:r>
    </w:p>
    <w:p w14:paraId="44892031">
      <w:pPr>
        <w:numPr>
          <w:ilvl w:val="0"/>
          <w:numId w:val="7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首屏与报表解耦。</w:t>
      </w:r>
      <w:r>
        <w:rPr>
          <w:rFonts w:hint="eastAsia" w:ascii="宋体" w:hAnsi="宋体" w:eastAsia="宋体" w:cs="宋体"/>
          <w:color w:val="1a1a1a"/>
          <w:sz w:val="24"/>
        </w:rPr>
        <w:t xml:space="preserve"> 主窗口首屏只查当月汇总与最近 50 条，历史区间按需加载。</w:t>
      </w:r>
    </w:p>
    <w:p w14:paraId="32C2C1B2">
      <w:pPr>
        <w:numPr>
          <w:ilvl w:val="0"/>
          <w:numId w:val="7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避免 N+1。</w:t>
      </w:r>
      <w:r>
        <w:rPr>
          <w:rFonts w:hint="eastAsia" w:ascii="宋体" w:hAnsi="宋体" w:eastAsia="宋体" w:cs="宋体"/>
          <w:color w:val="1a1a1a"/>
          <w:sz w:val="24"/>
        </w:rPr>
        <w:t xml:space="preserve"> 列表查询通过 JOIN 一次性取回分类名与账户名，不在前端逐行请求。</w:t>
      </w:r>
    </w:p>
    <w:p w14:paraId="66896AD1">
      <w:pPr>
        <w:numPr>
          <w:ilvl w:val="0"/>
          <w:numId w:val="7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数据库参数调优。</w:t>
      </w:r>
      <w:r>
        <w:rPr>
          <w:rFonts w:ascii="Consolas" w:hAnsi="Consolas" w:eastAsia="Consolas" w:cs="Consolas"/>
          <w:color w:val="0e3a5d"/>
          <w:sz w:val="20"/>
        </w:rPr>
        <w:t>synchronous=NORMAL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cache_size=-32000</w:t>
      </w:r>
      <w:r>
        <w:rPr>
          <w:rFonts w:hint="eastAsia" w:ascii="宋体" w:hAnsi="宋体" w:eastAsia="宋体" w:cs="宋体"/>
          <w:color w:val="1a1a1a"/>
          <w:sz w:val="24"/>
        </w:rPr>
        <w:t>（32 MB）、</w:t>
      </w:r>
      <w:r>
        <w:rPr>
          <w:rFonts w:ascii="Consolas" w:hAnsi="Consolas" w:eastAsia="Consolas" w:cs="Consolas"/>
          <w:color w:val="0e3a5d"/>
          <w:sz w:val="20"/>
        </w:rPr>
        <w:t>temp_store=MEMORY</w:t>
      </w:r>
      <w:r>
        <w:rPr>
          <w:rFonts w:hint="eastAsia" w:ascii="宋体" w:hAnsi="宋体" w:eastAsia="宋体" w:cs="宋体"/>
          <w:color w:val="1a1a1a"/>
          <w:sz w:val="24"/>
        </w:rPr>
        <w:t>，在可靠性与速度间取平衡。</w:t>
      </w:r>
    </w:p>
    <w:p w14:paraId="0B6B4C4F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1" w:name="sec-5-18"/>
      <w:r>
        <w:rPr>
          <w:rFonts w:hint="eastAsia" w:ascii="黑体" w:hAnsi="黑体" w:eastAsia="黑体" w:cs="黑体"/>
          <w:b w:val="1"/>
          <w:color w:val="15507f"/>
          <w:sz w:val="28"/>
        </w:rPr>
        <w:t>5.9 安全与隐私设计</w:t>
      </w:r>
      <w:bookmarkEnd w:id="41"/>
    </w:p>
    <w:p w14:paraId="1FD0129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数据敏感性要求安全设计前置，而非后期加固。四层措施如下。</w:t>
      </w:r>
    </w:p>
    <w:p w14:paraId="107B95C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第一层：文件级加密。</w:t>
      </w:r>
      <w:r>
        <w:rPr>
          <w:rFonts w:hint="eastAsia" w:ascii="宋体" w:hAnsi="宋体" w:eastAsia="宋体" w:cs="宋体"/>
          <w:color w:val="1a1a1a"/>
          <w:sz w:val="24"/>
        </w:rPr>
        <w:t xml:space="preserve"> 数据库使用 SQLCipher（通过 rusqlite 的 bundled-sqlcipher 特性引入），采用 AES-256 加密页存储。密钥不落盘明文，而由用户密码经 Argon2id 派生（内存 64 MB、迭代 3 次、并行度 4），派生结果仅驻留内存。</w:t>
      </w:r>
    </w:p>
    <w:p w14:paraId="698B03A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第二层：启动锁。</w:t>
      </w:r>
      <w:r>
        <w:rPr>
          <w:rFonts w:hint="eastAsia" w:ascii="宋体" w:hAnsi="宋体" w:eastAsia="宋体" w:cs="宋体"/>
          <w:color w:val="1a1a1a"/>
          <w:sz w:val="24"/>
        </w:rPr>
        <w:t xml:space="preserve"> 应用启动时要求输入密码，错误次数递增延迟（1、2、4、8 秒，上限 30 秒）。密码找回不做后门，仅提供"以密码重置方式清空并新建库"的选项，并在操作前强制导出加密备份。</w:t>
      </w:r>
    </w:p>
    <w:p w14:paraId="5B757ED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第三层：最小网络暴露。</w:t>
      </w:r>
      <w:r>
        <w:rPr>
          <w:rFonts w:hint="eastAsia" w:ascii="宋体" w:hAnsi="宋体" w:eastAsia="宋体" w:cs="宋体"/>
          <w:color w:val="1a1a1a"/>
          <w:sz w:val="24"/>
        </w:rPr>
        <w:t xml:space="preserve"> 默认仅允许更新检查这一条出站请求，且可通过设置关闭。不集成任何统计 SDK。</w:t>
      </w:r>
    </w:p>
    <w:p w14:paraId="726DA98E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第四层：导出与分享的最小化。</w:t>
      </w:r>
      <w:r>
        <w:rPr>
          <w:rFonts w:hint="eastAsia" w:ascii="宋体" w:hAnsi="宋体" w:eastAsia="宋体" w:cs="宋体"/>
          <w:color w:val="1a1a1a"/>
          <w:sz w:val="24"/>
        </w:rPr>
        <w:t xml:space="preserve"> 导出文件默认不含账户完整名称（可配置），避免将账户信息带入协作场景。</w:t>
      </w:r>
    </w:p>
    <w:p w14:paraId="1F8F106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需要明确一处权衡：文件级加密会使数据库无法被第三方工具直接读取，牺牲了"用 DB Browser 打开看看"的便利性，也使得崩溃后的现场诊断更困难。缓解措施是提供"导出明文快照"的诊断命令，由用户显式触发并知晓风险。</w:t>
      </w:r>
    </w:p>
    <w:p w14:paraId="08D05550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2" w:name="sec-5-19"/>
      <w:r>
        <w:rPr>
          <w:rFonts w:hint="eastAsia" w:ascii="黑体" w:hAnsi="黑体" w:eastAsia="黑体" w:cs="黑体"/>
          <w:b w:val="1"/>
          <w:color w:val="15507f"/>
          <w:sz w:val="28"/>
        </w:rPr>
        <w:t>5.10 可观测性与诊断</w:t>
      </w:r>
      <w:bookmarkEnd w:id="42"/>
    </w:p>
    <w:p w14:paraId="2DD047B0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日志采用结构化格式（JSON Lines），按天轮转，单文件上限 10 MB，保留 7 天。记录内容限于：命令名、耗时、结果状态、错误码、数据量级；</w:t>
      </w:r>
      <w:r>
        <w:rPr>
          <w:rFonts w:hint="eastAsia" w:ascii="宋体" w:hAnsi="宋体" w:eastAsia="宋体" w:cs="宋体"/>
          <w:b w:val="1"/>
          <w:color w:val="1a1a1a"/>
          <w:sz w:val="24"/>
        </w:rPr>
        <w:t>不记录金额、备注、账户名等业务内容</w:t>
      </w:r>
      <w:r>
        <w:rPr>
          <w:rFonts w:hint="eastAsia" w:ascii="宋体" w:hAnsi="宋体" w:eastAsia="宋体" w:cs="宋体"/>
          <w:color w:val="1a1a1a"/>
          <w:sz w:val="24"/>
        </w:rPr>
        <w:t>，避免日志成为隐私泄漏面。</w:t>
      </w:r>
    </w:p>
    <w:p w14:paraId="576593BE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内置诊断页展示：数据库文件大小、各表行数、索引使用情况、余额缓存校验结果、最近一次备份时间、日志路径。该页面是用户自助排查与研发远程支持的主要入口。</w:t>
      </w:r>
    </w:p>
    <w:p w14:paraId="2E23B2D9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3" w:name="sec-5-20"/>
      <w:r>
        <w:rPr>
          <w:rFonts w:hint="eastAsia" w:ascii="黑体" w:hAnsi="黑体" w:eastAsia="黑体" w:cs="黑体"/>
          <w:b w:val="1"/>
          <w:color w:val="15507f"/>
          <w:sz w:val="28"/>
        </w:rPr>
        <w:t>5.11 部署、升级与备份</w:t>
      </w:r>
      <w:bookmarkEnd w:id="43"/>
    </w:p>
    <w:p w14:paraId="02B5C941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分发形态</w:t>
      </w:r>
      <w:r>
        <w:rPr>
          <w:rFonts w:hint="eastAsia" w:ascii="宋体" w:hAnsi="宋体" w:eastAsia="宋体" w:cs="宋体"/>
          <w:color w:val="1a1a1a"/>
          <w:sz w:val="24"/>
        </w:rPr>
        <w:t xml:space="preserve">：NSIS 安装包（x64），可选 MSI 供企业环境静默部署。单用户安装，写入 </w:t>
      </w:r>
      <w:r>
        <w:rPr>
          <w:rFonts w:ascii="Consolas" w:hAnsi="Consolas" w:eastAsia="Consolas" w:cs="Consolas"/>
          <w:color w:val="0e3a5d"/>
          <w:sz w:val="20"/>
        </w:rPr>
        <w:t>%LOCALAPPDATA%</w:t>
      </w:r>
      <w:r>
        <w:rPr>
          <w:rFonts w:hint="eastAsia" w:ascii="宋体" w:hAnsi="宋体" w:eastAsia="宋体" w:cs="宋体"/>
          <w:color w:val="1a1a1a"/>
          <w:sz w:val="24"/>
        </w:rPr>
        <w:t>，无需管理员权限。</w:t>
      </w:r>
    </w:p>
    <w:p w14:paraId="4EF8D5B1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运行时依赖</w:t>
      </w:r>
      <w:r>
        <w:rPr>
          <w:rFonts w:hint="eastAsia" w:ascii="宋体" w:hAnsi="宋体" w:eastAsia="宋体" w:cs="宋体"/>
          <w:color w:val="1a1a1a"/>
          <w:sz w:val="24"/>
        </w:rPr>
        <w:t>：Windows 11 自带 WebView2 运行时，安装包使用 Evergreen Bootstrapper 模式，缺失时引导安装。</w:t>
      </w:r>
    </w:p>
    <w:p w14:paraId="2CFFCDA3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数据目录</w:t>
      </w:r>
      <w:r>
        <w:rPr>
          <w:rFonts w:hint="eastAsia" w:ascii="宋体" w:hAnsi="宋体" w:eastAsia="宋体" w:cs="宋体"/>
          <w:color w:val="1a1a1a"/>
          <w:sz w:val="24"/>
        </w:rPr>
        <w:t>：</w:t>
      </w:r>
      <w:r>
        <w:rPr>
          <w:rFonts w:ascii="Consolas" w:hAnsi="Consolas" w:eastAsia="Consolas" w:cs="Consolas"/>
          <w:color w:val="0e3a5d"/>
          <w:sz w:val="20"/>
        </w:rPr>
        <w:t>%APPDATA%\WhaleLedger\</w:t>
      </w:r>
      <w:r>
        <w:rPr>
          <w:rFonts w:hint="eastAsia" w:ascii="宋体" w:hAnsi="宋体" w:eastAsia="宋体" w:cs="宋体"/>
          <w:color w:val="1a1a1a"/>
          <w:sz w:val="24"/>
        </w:rPr>
        <w:t xml:space="preserve">，含 </w:t>
      </w:r>
      <w:r>
        <w:rPr>
          <w:rFonts w:ascii="Consolas" w:hAnsi="Consolas" w:eastAsia="Consolas" w:cs="Consolas"/>
          <w:color w:val="0e3a5d"/>
          <w:sz w:val="20"/>
        </w:rPr>
        <w:t>data.db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backups\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logs\</w:t>
      </w:r>
      <w:r>
        <w:rPr>
          <w:rFonts w:hint="eastAsia" w:ascii="宋体" w:hAnsi="宋体" w:eastAsia="宋体" w:cs="宋体"/>
          <w:color w:val="1a1a1a"/>
          <w:sz w:val="24"/>
        </w:rPr>
        <w:t>、</w:t>
      </w:r>
      <w:r>
        <w:rPr>
          <w:rFonts w:ascii="Consolas" w:hAnsi="Consolas" w:eastAsia="Consolas" w:cs="Consolas"/>
          <w:color w:val="0e3a5d"/>
          <w:sz w:val="20"/>
        </w:rPr>
        <w:t>exports\</w:t>
      </w:r>
      <w:r>
        <w:rPr>
          <w:rFonts w:hint="eastAsia" w:ascii="宋体" w:hAnsi="宋体" w:eastAsia="宋体" w:cs="宋体"/>
          <w:color w:val="1a1a1a"/>
          <w:sz w:val="24"/>
        </w:rPr>
        <w:t>。目录可在设置中迁移。</w:t>
      </w:r>
    </w:p>
    <w:p w14:paraId="031D1D9A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升级</w:t>
      </w:r>
      <w:r>
        <w:rPr>
          <w:rFonts w:hint="eastAsia" w:ascii="宋体" w:hAnsi="宋体" w:eastAsia="宋体" w:cs="宋体"/>
          <w:color w:val="1a1a1a"/>
          <w:sz w:val="24"/>
        </w:rPr>
        <w:t xml:space="preserve">：内置更新检查（读取静态版本清单），下载后校验签名再安装。数据库迁移在启动时按 </w:t>
      </w:r>
      <w:r>
        <w:rPr>
          <w:rFonts w:ascii="Consolas" w:hAnsi="Consolas" w:eastAsia="Consolas" w:cs="Consolas"/>
          <w:color w:val="0e3a5d"/>
          <w:sz w:val="20"/>
        </w:rPr>
        <w:t>user_version</w:t>
      </w:r>
      <w:r>
        <w:rPr>
          <w:rFonts w:hint="eastAsia" w:ascii="宋体" w:hAnsi="宋体" w:eastAsia="宋体" w:cs="宋体"/>
          <w:color w:val="1a1a1a"/>
          <w:sz w:val="24"/>
        </w:rPr>
        <w:t xml:space="preserve"> 顺序执行，迁移前自动备份。</w:t>
      </w:r>
    </w:p>
    <w:p w14:paraId="43FC3F41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回滚</w:t>
      </w:r>
      <w:r>
        <w:rPr>
          <w:rFonts w:hint="eastAsia" w:ascii="宋体" w:hAnsi="宋体" w:eastAsia="宋体" w:cs="宋体"/>
          <w:color w:val="1a1a1a"/>
          <w:sz w:val="24"/>
        </w:rPr>
        <w:t>：保留上一版本安装包；数据库不提供降级迁移，故升级前备份为强约束。</w:t>
      </w:r>
    </w:p>
    <w:p w14:paraId="7F08C6B3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44" w:name="sec-5-21"/>
      <w:r>
        <w:rPr>
          <w:rFonts w:hint="eastAsia" w:ascii="黑体" w:hAnsi="黑体" w:eastAsia="黑体" w:cs="黑体"/>
          <w:b w:val="1"/>
          <w:color w:val="15507f"/>
          <w:sz w:val="28"/>
        </w:rPr>
        <w:t>5.12 扩展性设计</w:t>
      </w:r>
      <w:bookmarkEnd w:id="44"/>
    </w:p>
    <w:p w14:paraId="38C61B28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扩展性不做泛泛承诺，而以"可估量的改动范围"为判据。本节先给出判据，再列扩展点矩阵，最后说明哪些抽象被刻意放弃。</w:t>
      </w:r>
    </w:p>
    <w:p w14:paraId="16E6F448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45" w:name="sec-5-22"/>
      <w:r>
        <w:rPr>
          <w:rFonts w:hint="eastAsia" w:ascii="黑体" w:hAnsi="黑体" w:eastAsia="黑体" w:cs="黑体"/>
          <w:b w:val="1"/>
          <w:color w:val="1a1a1a"/>
          <w:sz w:val="25"/>
        </w:rPr>
        <w:t>5.12.1 判据</w:t>
      </w:r>
      <w:bookmarkEnd w:id="45"/>
    </w:p>
    <w:p w14:paraId="2F8B483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两条判据同时成立才算预留充分：其一，新增一项能力时，改动不应跨越两个以上层次（表现、应用、领域、基础设施）；其二，改动文件数不应超过五个。反之，若为尚未发生的需求预先引入抽象层，则属过度设计，同样计入技术债。本节所有预留均按此两条权衡后保留。</w:t>
      </w:r>
    </w:p>
    <w:p w14:paraId="2451927B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46" w:name="sec-5-23"/>
      <w:r>
        <w:rPr>
          <w:rFonts w:hint="eastAsia" w:ascii="黑体" w:hAnsi="黑体" w:eastAsia="黑体" w:cs="黑体"/>
          <w:b w:val="1"/>
          <w:color w:val="1a1a1a"/>
          <w:sz w:val="25"/>
        </w:rPr>
        <w:t>5.12.2 扩展点矩阵</w:t>
      </w:r>
      <w:bookmarkEnd w:id="4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5D935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扩展点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69D3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现实触发条件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7482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预留机制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7FEF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改动范围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70E5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预估成本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6DF4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多账本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996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家庭与经营账目分离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5BE0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所有业务表已带 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ledger_id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9509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界面切换与查询条件，表结构零改动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C62B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2 至 3 人日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0F18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多币种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79A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境外消费或外币资产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2507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account.currency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 已存在；交易表加汇率与本位币金额两列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2D71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一次迁移加报表聚合层一处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5C7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5 至 8 人日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D7F9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附件凭证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674E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票据留存与报销举证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A539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独立 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attachment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 表，不改交易主表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AAC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新增表、一个命令、一个组件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3DBF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3 至 4 人日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23B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周期记账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182B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房租、订阅、固定工资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760C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交易表加 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recurrence_id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，由调度器生成实例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9B7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新增规则表与定时任务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247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4 至 6 人日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B18B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新账单来源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22D1B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银行、券商或其它记账软件迁移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F24A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0e3a5d"/>
                <w:sz w:val="20"/>
              </w:rPr>
              <w:t>Importer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 以统一接口适配，按表头特征匹配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643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新增一个实现文件并注册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574B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 至 2 人日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40AE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跨平台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3CC3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扩展至 macOS 或 Linux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1969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平台能力收敛于 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system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 模块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6CC2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平台适配层，领域层复用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7F26D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5 至 10 人日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E58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云同步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D24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多设备同账本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B3A1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UUID 主键、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updated_at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>、可加的版本向量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D38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新增同步模块与冲突策略，不含服务端运维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8925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15 至 25 人日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77DC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复式记账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F614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审计或专业记账需求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D262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交易表可作为分录聚合视图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C080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需重构写入模型，不建议在此架构上追加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A408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30 人日以上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0AD9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插件与脚本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1E5F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无真实需求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09D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明确不预留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6D15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0A2D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不做</w:t>
            </w:r>
          </w:p>
        </w:tc>
      </w:tr>
    </w:tbl>
    <w:p w14:paraId="55E6566A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矩阵中最值得注意的是</w:t>
      </w:r>
      <w:r>
        <w:rPr>
          <w:rFonts w:hint="eastAsia" w:ascii="宋体" w:hAnsi="宋体" w:eastAsia="宋体" w:cs="宋体"/>
          <w:b w:val="1"/>
          <w:color w:val="1a1a1a"/>
          <w:sz w:val="24"/>
        </w:rPr>
        <w:t>多账本零迁移</w:t>
      </w:r>
      <w:r>
        <w:rPr>
          <w:rFonts w:hint="eastAsia" w:ascii="宋体" w:hAnsi="宋体" w:eastAsia="宋体" w:cs="宋体"/>
          <w:color w:val="1a1a1a"/>
          <w:sz w:val="24"/>
        </w:rPr>
        <w:t xml:space="preserve">：V1.0 虽只启用默认账本，但所有业务表从第一版起即携带 </w:t>
      </w:r>
      <w:r>
        <w:rPr>
          <w:rFonts w:ascii="Consolas" w:hAnsi="Consolas" w:eastAsia="Consolas" w:cs="Consolas"/>
          <w:color w:val="0e3a5d"/>
          <w:sz w:val="20"/>
        </w:rPr>
        <w:t>ledger_id</w:t>
      </w:r>
      <w:r>
        <w:rPr>
          <w:rFonts w:hint="eastAsia" w:ascii="宋体" w:hAnsi="宋体" w:eastAsia="宋体" w:cs="宋体"/>
          <w:color w:val="1a1a1a"/>
          <w:sz w:val="24"/>
        </w:rPr>
        <w:t>，使 V1.1 的多账本只涉及界面与查询条件，不触碰表结构。这是本设计中投入最小、收益最确定的一处预留。</w:t>
      </w:r>
    </w:p>
    <w:p w14:paraId="3A426C39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相反，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复式记账被明确排除在演进路径之外</w:t>
      </w:r>
      <w:r>
        <w:rPr>
          <w:rFonts w:hint="eastAsia" w:ascii="宋体" w:hAnsi="宋体" w:eastAsia="宋体" w:cs="宋体"/>
          <w:color w:val="1a1a1a"/>
          <w:sz w:val="24"/>
        </w:rPr>
        <w:t>。若未来确需复式能力，正确做法是另建产品线而非在本架构上叠加，因为交易表一旦改为借贷分录，全部统计查询、导入适配与界面语义都需重写，改动量超过新建。</w:t>
      </w:r>
    </w:p>
    <w:p w14:paraId="1143BF1E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47" w:name="sec-5-24"/>
      <w:r>
        <w:rPr>
          <w:rFonts w:hint="eastAsia" w:ascii="黑体" w:hAnsi="黑体" w:eastAsia="黑体" w:cs="黑体"/>
          <w:b w:val="1"/>
          <w:color w:val="1a1a1a"/>
          <w:sz w:val="25"/>
        </w:rPr>
        <w:t>5.12.3 三处硬性约定</w:t>
      </w:r>
      <w:bookmarkEnd w:id="47"/>
    </w:p>
    <w:p w14:paraId="6B87B2C8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以下三条是扩展能力的前提，违反其中任何一条都会使上表的成本估算失效，须在代码评审中作为否决项。</w:t>
      </w:r>
    </w:p>
    <w:p w14:paraId="34630408">
      <w:pPr>
        <w:numPr>
          <w:ilvl w:val="0"/>
          <w:numId w:val="8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主键一律使用 UUID v7，禁止自增整数。</w:t>
      </w:r>
      <w:r>
        <w:rPr>
          <w:rFonts w:hint="eastAsia" w:ascii="宋体" w:hAnsi="宋体" w:eastAsia="宋体" w:cs="宋体"/>
          <w:color w:val="1a1a1a"/>
          <w:sz w:val="24"/>
        </w:rPr>
        <w:t xml:space="preserve"> 这是数据合并、跨库导入与未来同步的前提。自增主键在单机场景下更省空间，但一旦需要合并两份数据或对账，主键冲突将无法在应用层优雅解决。UUID v7 兼有时间有序性，索引局部性接近自增。</w:t>
      </w:r>
    </w:p>
    <w:p w14:paraId="7118A707">
      <w:pPr>
        <w:numPr>
          <w:ilvl w:val="0"/>
          <w:numId w:val="8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 xml:space="preserve">平台相关能力只允许出现在 </w:t>
      </w:r>
      <w:r>
        <w:rPr>
          <w:rFonts w:ascii="Consolas" w:hAnsi="Consolas" w:eastAsia="Consolas" w:cs="Consolas"/>
          <w:b w:val="1"/>
          <w:color w:val="0e3a5d"/>
          <w:sz w:val="20"/>
        </w:rPr>
        <w:t>system</w:t>
      </w:r>
      <w:r>
        <w:rPr>
          <w:rFonts w:hint="eastAsia" w:ascii="宋体" w:hAnsi="宋体" w:eastAsia="宋体" w:cs="宋体"/>
          <w:b w:val="1"/>
          <w:color w:val="1a1a1a"/>
          <w:sz w:val="24"/>
        </w:rPr>
        <w:t xml:space="preserve"> 模块。</w:t>
      </w:r>
      <w:r>
        <w:rPr>
          <w:rFonts w:hint="eastAsia" w:ascii="宋体" w:hAnsi="宋体" w:eastAsia="宋体" w:cs="宋体"/>
          <w:color w:val="1a1a1a"/>
          <w:sz w:val="24"/>
        </w:rPr>
        <w:t xml:space="preserve"> 其余层次不得直接引用 </w:t>
      </w:r>
      <w:r>
        <w:rPr>
          <w:rFonts w:ascii="Consolas" w:hAnsi="Consolas" w:eastAsia="Consolas" w:cs="Consolas"/>
          <w:color w:val="0e3a5d"/>
          <w:sz w:val="20"/>
        </w:rPr>
        <w:t>windows</w:t>
      </w:r>
      <w:r>
        <w:rPr>
          <w:rFonts w:hint="eastAsia" w:ascii="宋体" w:hAnsi="宋体" w:eastAsia="宋体" w:cs="宋体"/>
          <w:color w:val="1a1a1a"/>
          <w:sz w:val="24"/>
        </w:rPr>
        <w:t xml:space="preserve"> crate 或条件编译平台代码。这是跨平台可行性的唯一保障，也避免了平台判断散落各处。</w:t>
      </w:r>
    </w:p>
    <w:p w14:paraId="76F43659">
      <w:pPr>
        <w:numPr>
          <w:ilvl w:val="0"/>
          <w:numId w:val="8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统计查询以参数结构体表达，不为每种报表写专用 SQL。</w:t>
      </w:r>
      <w:r>
        <w:rPr>
          <w:rFonts w:hint="eastAsia" w:ascii="宋体" w:hAnsi="宋体" w:eastAsia="宋体" w:cs="宋体"/>
          <w:color w:val="1a1a1a"/>
          <w:sz w:val="24"/>
        </w:rPr>
        <w:t xml:space="preserve"> 见 5.12.4。</w:t>
      </w:r>
    </w:p>
    <w:p w14:paraId="11663A51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48" w:name="sec-5-25"/>
      <w:r>
        <w:rPr>
          <w:rFonts w:hint="eastAsia" w:ascii="黑体" w:hAnsi="黑体" w:eastAsia="黑体" w:cs="黑体"/>
          <w:b w:val="1"/>
          <w:color w:val="1a1a1a"/>
          <w:sz w:val="25"/>
        </w:rPr>
        <w:t>5.12.4 报表的可扩展形式</w:t>
      </w:r>
      <w:bookmarkEnd w:id="48"/>
    </w:p>
    <w:p w14:paraId="23FFBF7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报表是本项目最易随需求膨胀的模块。若每个新维度都写一条专用查询，三个月后必然出现十余条近似 SQL，口径难以统一。故报表统一以 </w:t>
      </w:r>
      <w:r>
        <w:rPr>
          <w:rFonts w:ascii="Consolas" w:hAnsi="Consolas" w:eastAsia="Consolas" w:cs="Consolas"/>
          <w:color w:val="0e3a5d"/>
          <w:sz w:val="20"/>
        </w:rPr>
        <w:t>ReportSpec</w:t>
      </w:r>
      <w:r>
        <w:rPr>
          <w:rFonts w:hint="eastAsia" w:ascii="宋体" w:hAnsi="宋体" w:eastAsia="宋体" w:cs="宋体"/>
          <w:color w:val="1a1a1a"/>
          <w:sz w:val="24"/>
        </w:rPr>
        <w:t xml:space="preserve"> 参数化：</w:t>
      </w:r>
    </w:p>
    <w:p w14:paraId="1A98F7B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ReportSpec {</w:t>
      </w:r>
    </w:p>
    <w:p w14:paraId="53A3E9B2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ledger_id, range, granularity,</w:t>
      </w:r>
    </w:p>
    <w:p w14:paraId="730EFA6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group_by: Ledger | Category | Account | Tag | Month,</w:t>
      </w:r>
    </w:p>
    <w:p w14:paraId="184297E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metrics: [Expense, Income, Net, Count],</w:t>
      </w:r>
    </w:p>
    <w:p w14:paraId="41884D6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filters: [...], exclude_transfers: bool</w:t>
      </w:r>
    </w:p>
    <w:p w14:paraId="05169C6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}</w:t>
      </w:r>
    </w:p>
    <w:p w14:paraId="3474522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新增"按标签统计"或"按账户统计"时，只需在 </w:t>
      </w:r>
      <w:r>
        <w:rPr>
          <w:rFonts w:ascii="Consolas" w:hAnsi="Consolas" w:eastAsia="Consolas" w:cs="Consolas"/>
          <w:color w:val="0e3a5d"/>
          <w:sz w:val="20"/>
        </w:rPr>
        <w:t>group_by</w:t>
      </w:r>
      <w:r>
        <w:rPr>
          <w:rFonts w:hint="eastAsia" w:ascii="宋体" w:hAnsi="宋体" w:eastAsia="宋体" w:cs="宋体"/>
          <w:color w:val="1a1a1a"/>
          <w:sz w:val="24"/>
        </w:rPr>
        <w:t xml:space="preserve"> 枚举中增加一个分支，查询主干、缓存键生成与前端图表协议均不需要改动。这一设计的约束是：报表能力被限定为"维度与度量"的组合，凡无法用该形式表达的需求（如现金流预测、跨账本合并）需单独立项，不得勉强塞入。</w:t>
      </w:r>
    </w:p>
    <w:p w14:paraId="733D3344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49" w:name="sec-5-26"/>
      <w:r>
        <w:rPr>
          <w:rFonts w:hint="eastAsia" w:ascii="黑体" w:hAnsi="黑体" w:eastAsia="黑体" w:cs="黑体"/>
          <w:b w:val="1"/>
          <w:color w:val="1a1a1a"/>
          <w:sz w:val="25"/>
        </w:rPr>
        <w:t>5.12.5 刻意放弃的抽象</w:t>
      </w:r>
      <w:bookmarkEnd w:id="49"/>
    </w:p>
    <w:p w14:paraId="5741618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扩展性设计的另一半是拒绝。以下四项在本项目中被明确放弃，理由是成本高于收益：</w:t>
      </w:r>
    </w:p>
    <w:p w14:paraId="2B7465E6">
      <w:pPr>
        <w:numPr>
          <w:ilvl w:val="0"/>
          <w:numId w:val="9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不引入 ORM。</w:t>
      </w:r>
      <w:r>
        <w:rPr>
          <w:rFonts w:hint="eastAsia" w:ascii="宋体" w:hAnsi="宋体" w:eastAsia="宋体" w:cs="宋体"/>
          <w:color w:val="1a1a1a"/>
          <w:sz w:val="24"/>
        </w:rPr>
        <w:t xml:space="preserve"> 数据库结构稳定、查询以聚合为主，ORM 的实体映射在报表聚合处反而成为障碍，且会掩盖 SQL 的实际执行计划。</w:t>
      </w:r>
    </w:p>
    <w:p w14:paraId="0F2DA049">
      <w:pPr>
        <w:numPr>
          <w:ilvl w:val="0"/>
          <w:numId w:val="9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不做插件系统。</w:t>
      </w:r>
      <w:r>
        <w:rPr>
          <w:rFonts w:hint="eastAsia" w:ascii="宋体" w:hAnsi="宋体" w:eastAsia="宋体" w:cs="宋体"/>
          <w:color w:val="1a1a1a"/>
          <w:sz w:val="24"/>
        </w:rPr>
        <w:t xml:space="preserve"> 本项目不面向第三方开发者，插件协议需要稳定的 ABI、版本协商与沙箱，成本远超其带来的可能性。</w:t>
      </w:r>
    </w:p>
    <w:p w14:paraId="03C1D787">
      <w:pPr>
        <w:numPr>
          <w:ilvl w:val="0"/>
          <w:numId w:val="9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不做事件总线。</w:t>
      </w:r>
      <w:r>
        <w:rPr>
          <w:rFonts w:hint="eastAsia" w:ascii="宋体" w:hAnsi="宋体" w:eastAsia="宋体" w:cs="宋体"/>
          <w:color w:val="1a1a1a"/>
          <w:sz w:val="24"/>
        </w:rPr>
        <w:t xml:space="preserve"> 单进程、单写连接、同步写入，事件总线只增加调用链长度与调试难度，无实际收益。</w:t>
      </w:r>
    </w:p>
    <w:p w14:paraId="28AC6828">
      <w:pPr>
        <w:numPr>
          <w:ilvl w:val="0"/>
          <w:numId w:val="9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不做通用规则引擎。</w:t>
      </w:r>
      <w:r>
        <w:rPr>
          <w:rFonts w:hint="eastAsia" w:ascii="宋体" w:hAnsi="宋体" w:eastAsia="宋体" w:cs="宋体"/>
          <w:color w:val="1a1a1a"/>
          <w:sz w:val="24"/>
        </w:rPr>
        <w:t xml:space="preserve"> 业务规则数量有限且已固定（见 4.3 的六条），以代码加测试表达比 DSL 更可靠、更易调试。</w:t>
      </w:r>
    </w:p>
    <w:p w14:paraId="5E313F4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这四项的共同特征是"看起来专业、实际增加维护面"。判断标准很朴素：若一项抽象当前只有一个实现且无第二个已知实现，就不为它建抽象层。</w:t>
      </w:r>
    </w:p>
    <w:p w14:paraId="39570071">
      <w:pPr>
        <w:pStyle w:val="000012"/>
        <w:keepNext w:val="1"/>
        <w:keepLines w:val="1"/>
        <w:spacing w:before="216" w:beforeAutospacing="1" w:after="132" w:afterAutospacing="1" w:line="324"/>
        <w:outlineLvl w:val="2"/>
        <w:rPr>
          <w:color w:val="1a1a1a"/>
          <w:sz w:val="32"/>
          <w:szCs w:val="32"/>
        </w:rPr>
      </w:pPr>
      <w:bookmarkStart w:id="50" w:name="sec-5-27"/>
      <w:r>
        <w:rPr>
          <w:rFonts w:hint="eastAsia" w:ascii="黑体" w:hAnsi="黑体" w:eastAsia="黑体" w:cs="黑体"/>
          <w:b w:val="1"/>
          <w:color w:val="1a1a1a"/>
          <w:sz w:val="25"/>
        </w:rPr>
        <w:t>5.12.6 版本兼容约定</w:t>
      </w:r>
      <w:bookmarkEnd w:id="50"/>
    </w:p>
    <w:p w14:paraId="227C93D5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ascii="Consolas" w:hAnsi="Consolas" w:eastAsia="Consolas" w:cs="Consolas"/>
          <w:color w:val="0e3a5d"/>
          <w:sz w:val="20"/>
        </w:rPr>
        <w:t>PRAGMA user_version</w:t>
      </w:r>
      <w:r>
        <w:rPr>
          <w:rFonts w:hint="eastAsia" w:ascii="宋体" w:hAnsi="宋体" w:eastAsia="宋体" w:cs="宋体"/>
          <w:color w:val="1a1a1a"/>
          <w:sz w:val="24"/>
        </w:rPr>
        <w:t xml:space="preserve"> 单调递增，迁移脚本只向前执行，不提供降级迁移；升级前的自动备份是唯一回退路径。</w:t>
      </w:r>
    </w:p>
    <w:p w14:paraId="4467DC67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每个迁移脚本需可重复执行（</w:t>
      </w:r>
      <w:r>
        <w:rPr>
          <w:rFonts w:ascii="Consolas" w:hAnsi="Consolas" w:eastAsia="Consolas" w:cs="Consolas"/>
          <w:color w:val="0e3a5d"/>
          <w:sz w:val="20"/>
        </w:rPr>
        <w:t>IF NOT EXISTS</w:t>
      </w:r>
      <w:r>
        <w:rPr>
          <w:rFonts w:hint="eastAsia" w:ascii="宋体" w:hAnsi="宋体" w:eastAsia="宋体" w:cs="宋体"/>
          <w:color w:val="1a1a1a"/>
          <w:sz w:val="24"/>
        </w:rPr>
        <w:t>），以便中断后重试。</w:t>
      </w:r>
    </w:p>
    <w:p w14:paraId="2746C4D5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破坏性变更（删列、改类型）采用五步走：新增列并双写、回填历史数据、切换读取路径、观察一个版本、移除旧列。任一步骤失败均可停在中间状态而不丢数据。</w:t>
      </w:r>
    </w:p>
    <w:p w14:paraId="223381E2">
      <w:pPr>
        <w:numPr>
          <w:ilvl w:val="0"/>
          <w:numId w:val="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导出包必须携带 </w:t>
      </w:r>
      <w:r>
        <w:rPr>
          <w:rFonts w:ascii="Consolas" w:hAnsi="Consolas" w:eastAsia="Consolas" w:cs="Consolas"/>
          <w:color w:val="0e3a5d"/>
          <w:sz w:val="20"/>
        </w:rPr>
        <w:t>schema_version</w:t>
      </w:r>
      <w:r>
        <w:rPr>
          <w:rFonts w:hint="eastAsia" w:ascii="宋体" w:hAnsi="宋体" w:eastAsia="宋体" w:cs="宋体"/>
          <w:color w:val="1a1a1a"/>
          <w:sz w:val="24"/>
        </w:rPr>
        <w:t xml:space="preserve"> 与字段字典，保证三年后仍可被后续版本或第三方工具解析。</w:t>
      </w:r>
    </w:p>
    <w:p w14:paraId="4FB38055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51" w:name="sec-6"/>
      <w:r>
        <w:rPr>
          <w:rFonts w:hint="eastAsia" w:ascii="黑体" w:hAnsi="黑体" w:eastAsia="黑体" w:cs="黑体"/>
          <w:b w:val="1"/>
          <w:color w:val="0e3a5d"/>
          <w:sz w:val="36"/>
        </w:rPr>
        <w:t>6 技术选型</w:t>
      </w:r>
      <w:bookmarkEnd w:id="51"/>
    </w:p>
    <w:p w14:paraId="3FBA38C5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2" w:name="sec-6-1"/>
      <w:r>
        <w:rPr>
          <w:rFonts w:hint="eastAsia" w:ascii="黑体" w:hAnsi="黑体" w:eastAsia="黑体" w:cs="黑体"/>
          <w:b w:val="1"/>
          <w:color w:val="15507f"/>
          <w:sz w:val="28"/>
        </w:rPr>
        <w:t>6.1 候选方案</w:t>
      </w:r>
      <w:bookmarkEnd w:id="52"/>
    </w:p>
    <w:p w14:paraId="01F806B7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面向 Windows 11 桌面应用，当前可用的主流技术路线有六条：Tauri 2（Rust 加 WebView2）、.NET WPF、WinUI 3（Windows App SDK）、Electron、Avalonia、Flutter Desktop。本节先建立实测环境基线，再用统一评分模型比较，最后给出结论与备选路径。</w:t>
      </w:r>
    </w:p>
    <w:p w14:paraId="78D12049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3" w:name="sec-6-2"/>
      <w:r>
        <w:rPr>
          <w:rFonts w:hint="eastAsia" w:ascii="黑体" w:hAnsi="黑体" w:eastAsia="黑体" w:cs="黑体"/>
          <w:b w:val="1"/>
          <w:color w:val="15507f"/>
          <w:sz w:val="28"/>
        </w:rPr>
        <w:t>6.2 开发环境实测基线</w:t>
      </w:r>
      <w:bookmarkEnd w:id="53"/>
    </w:p>
    <w:p w14:paraId="6232DE3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技术选型必须建立在真实环境之上。以下结果为本机（Windows 11，x64）实际探测所得，探测方式为命令行查询工具链版本与目录检查，未作任何安装变更。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C904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检测项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DD94D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实测结果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C975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对选型的影响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648FA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操作系统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A452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Windows 11 家庭中文版，10.0.26300，x64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C9B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满足 WebView2 与 WinUI 3 的前置要求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81BB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.NET SDK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F19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未安装（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dotnet --list-sdks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 返回空）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8372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WPF/WinUI 3 无法直接构建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3BFD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.NET 运行时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6ED9E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6.0.31、7.0.7（含 WindowsDesktop 运行时）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77A8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仅有运行时，不具备编译能力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1F3E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Visual Studio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DD95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2022 Community，MSVC 14.44.35207，MSBuild 就绪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7479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 C++ 链接器与构建引擎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6C67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Windows SDK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146A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10.0.26100.0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5340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满足原生编译与 WinRT 头文件需求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D2C0C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Rust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C8D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1.95.0，宿主 x86_64-pc-windows-msvc，工具链已装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5999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Tauri 后端可直接编译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4B4D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tauri-cli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30F5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未安装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A6AE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需 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cargo install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 或经 npm 引入，约数分钟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C7018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Node.js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2B3E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22.22.2，npm 10.9.7，pnpm 10.29.2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304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前端工具链完备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0AE05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WebView2 运行时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EE6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155.0.4283.62（系统已装）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10F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Tauri 与 Electron 的渲染前提已满足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D40D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Python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A985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3.13.14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B893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可用于构建脚本与数据处理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4C2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硬件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D7A6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i7-14650HX（16 核 24 线程），31.7 GB 内存，D 盘 355 GB 可用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2EE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编译与压测环境充裕，不构成瓶颈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BCEC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包源可达性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8CA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npm 镜像（npmmirror）正常；crates.io 稀疏索引与静态包均可达；nuget.org 可达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5E8D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三条依赖链均无障碍</w:t>
            </w:r>
          </w:p>
        </w:tc>
      </w:tr>
    </w:tbl>
    <w:p w14:paraId="3A9B7BC5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三项结论直接来自上表。</w:t>
      </w:r>
    </w:p>
    <w:p w14:paraId="7A98B9D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第一，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.NET 路线存在明确的前置缺口</w:t>
      </w:r>
      <w:r>
        <w:rPr>
          <w:rFonts w:hint="eastAsia" w:ascii="宋体" w:hAnsi="宋体" w:eastAsia="宋体" w:cs="宋体"/>
          <w:color w:val="1a1a1a"/>
          <w:sz w:val="24"/>
        </w:rPr>
        <w:t>。运行时版本 6 与 7 已停止主流支持，且没有 SDK，意味着选择 WPF 需要先安装 .NET 9 SDK 与对应的 VS 工作负载（合计约 1.5 至 2.5 GB，约 30 至 60 分钟），并需要管理员权限。这不是不可逾越的障碍，但它是本次选型中唯一的"必须先补环境"的路线。</w:t>
      </w:r>
    </w:p>
    <w:p w14:paraId="2BA440E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第二，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Rust 与 Node 两条链已处于可立即开工状态</w:t>
      </w:r>
      <w:r>
        <w:rPr>
          <w:rFonts w:hint="eastAsia" w:ascii="宋体" w:hAnsi="宋体" w:eastAsia="宋体" w:cs="宋体"/>
          <w:color w:val="1a1a1a"/>
          <w:sz w:val="24"/>
        </w:rPr>
        <w:t xml:space="preserve">。Rust 的 MSVC 工具链、链接器与 Windows SDK 齐备，Node 包管理指向国内镜像，首次 </w:t>
      </w:r>
      <w:r>
        <w:rPr>
          <w:rFonts w:ascii="Consolas" w:hAnsi="Consolas" w:eastAsia="Consolas" w:cs="Consolas"/>
          <w:color w:val="0e3a5d"/>
          <w:sz w:val="20"/>
        </w:rPr>
        <w:t>cargo build</w:t>
      </w:r>
      <w:r>
        <w:rPr>
          <w:rFonts w:hint="eastAsia" w:ascii="宋体" w:hAnsi="宋体" w:eastAsia="宋体" w:cs="宋体"/>
          <w:color w:val="1a1a1a"/>
          <w:sz w:val="24"/>
        </w:rPr>
        <w:t xml:space="preserve"> 的主要成本是依赖编译时间，而非环境缺失。</w:t>
      </w:r>
    </w:p>
    <w:p w14:paraId="553A31E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第三，</w:t>
      </w:r>
      <w:r>
        <w:rPr>
          <w:rFonts w:hint="eastAsia" w:ascii="宋体" w:hAnsi="宋体" w:eastAsia="宋体" w:cs="宋体"/>
          <w:b w:val="1"/>
          <w:color w:val="1a1a1a"/>
          <w:sz w:val="24"/>
        </w:rPr>
        <w:t>WebView2 已随系统安装</w:t>
      </w:r>
      <w:r>
        <w:rPr>
          <w:rFonts w:hint="eastAsia" w:ascii="宋体" w:hAnsi="宋体" w:eastAsia="宋体" w:cs="宋体"/>
          <w:color w:val="1a1a1a"/>
          <w:sz w:val="24"/>
        </w:rPr>
        <w:t>，这消除了 Tauri 与 Electron 最常见的部署隐患（用户机器缺少运行时），也使安装包可以维持在 15 MB 以内。</w:t>
      </w:r>
    </w:p>
    <w:p w14:paraId="40985914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4" w:name="sec-6-3"/>
      <w:r>
        <w:rPr>
          <w:rFonts w:hint="eastAsia" w:ascii="黑体" w:hAnsi="黑体" w:eastAsia="黑体" w:cs="黑体"/>
          <w:b w:val="1"/>
          <w:color w:val="15507f"/>
          <w:sz w:val="28"/>
        </w:rPr>
        <w:t>6.3 评估方法与评分</w:t>
      </w:r>
      <w:bookmarkEnd w:id="54"/>
    </w:p>
    <w:p w14:paraId="3416F96E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评分模型采用八项准则加权，权重依据本项目特征设定：本项目是单人至小团队规模、界面密集（表格、图表、表单）、长期维护的本地工具，因此"环境就绪度"与"UI 开发效率"权重最高，"跨平台演进"权重最低但非零（保留未来移动端可能）。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699A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准则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535F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权重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A2A5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判定依据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30AC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环境就绪度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340C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20%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CD3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当前机器能否零前置安装完成构建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9EA1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UI 开发效率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5709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20%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F716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表格、图表、表单三类密集界面的实现成本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6D6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资源占用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D1CD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15%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ADFD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安装包体积、常驻内存、冷启动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1C28D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Windows 集成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A2EA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15%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E24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托盘、全局快捷键、通知、主题、自绘窗口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F00F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数据与安全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7FAB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10%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54B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本地加密、事务、文件操作的可靠性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194C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维护与人才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CE2D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10%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34DA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招人难度、长期可维护性、调试体验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A2E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生态成熟度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1A8F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EC7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组件、插件、文档、社区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FA73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跨平台演进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F077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5%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55F9B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未来扩展至 macOS 或移动端的成本</w:t>
            </w:r>
          </w:p>
        </w:tc>
      </w:tr>
    </w:tbl>
    <w:p w14:paraId="1209D3BB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评分采用 1 至 5 分整数，5 为最优。加权总分为各准则得分乘权重之和。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D50C8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准则（权重）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F4433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Tauri 2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7126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WPF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9F45D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WinUI 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1A83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Electron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7C174B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Avalonia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26FD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ascii="黑体" w:hAnsi="黑体" w:eastAsia="黑体" w:cs="黑体"/>
                <w:b w:val="1"/>
                <w:color w:val="0e3a5d"/>
                <w:sz w:val="20"/>
              </w:rPr>
              <w:t>Flutter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B58A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环境就绪度（20%）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0EF1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436F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8803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5369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1ED0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649B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6F3C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UI 开发效率（20%）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7FAA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E4AE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6754A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0A25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24135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8833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1D737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资源占用（15%）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0A05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C12D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89CF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328A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3EA6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0BC46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1D48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Windows 集成（15%）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9CE0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5708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0BF3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4F69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8886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767B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EC0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数据与安全（10%）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6D6B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09ED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418C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98E4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5254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2715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B356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维护与人才（10%）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3F96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C3A2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88CF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3231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2D29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A447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9723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生态成熟度（5%）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5239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7ED313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65AA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F58E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47EAA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C0D2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E49C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跨平台演进（5%）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559B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19C4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4015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96ECA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524F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2FED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</w:t>
            </w:r>
          </w:p>
        </w:tc>
      </w:tr>
      <w:tr>
        <w:trPr/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2576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b w:val="1"/>
                <w:color w:val="1a1a1a"/>
                <w:sz w:val="20"/>
              </w:rPr>
              <w:t>加权总分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B27E9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b w:val="1"/>
                <w:color w:val="1a1a1a"/>
                <w:sz w:val="20"/>
              </w:rPr>
              <w:t>4.50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C073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b w:val="1"/>
                <w:color w:val="1a1a1a"/>
                <w:sz w:val="20"/>
              </w:rPr>
              <w:t>3.55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D260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b w:val="1"/>
                <w:color w:val="1a1a1a"/>
                <w:sz w:val="20"/>
              </w:rPr>
              <w:t>3.00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9D50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b w:val="1"/>
                <w:color w:val="1a1a1a"/>
                <w:sz w:val="20"/>
              </w:rPr>
              <w:t>3.65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1701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b w:val="1"/>
                <w:color w:val="1a1a1a"/>
                <w:sz w:val="20"/>
              </w:rPr>
              <w:t>2.80</w:t>
            </w:r>
          </w:p>
        </w:tc>
        <w:tc>
          <w:tcPr>
            <w:tcW w:w="118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18F53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b w:val="1"/>
                <w:color w:val="1a1a1a"/>
                <w:sz w:val="20"/>
              </w:rPr>
              <w:t>2.85</w:t>
            </w:r>
          </w:p>
        </w:tc>
      </w:tr>
    </w:tbl>
    <w:p w14:paraId="05F7BD69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5" w:name="sec-6-4"/>
      <w:r>
        <w:rPr>
          <w:rFonts w:hint="eastAsia" w:ascii="黑体" w:hAnsi="黑体" w:eastAsia="黑体" w:cs="黑体"/>
          <w:b w:val="1"/>
          <w:color w:val="15507f"/>
          <w:sz w:val="28"/>
        </w:rPr>
        <w:t>6.4 结论与理由</w:t>
      </w:r>
      <w:bookmarkEnd w:id="55"/>
    </w:p>
    <w:p w14:paraId="29C1897C">
      <w:pPr>
        <w:spacing w:before="216" w:after="132" w:line="396"/>
        <w:jc w:val="left"/>
        <w:rPr>
          <w:color w:val="0e3a5d"/>
        </w:rPr>
      </w:pPr>
      <w:r>
        <w:rPr>
          <w:rFonts w:hint="eastAsia" w:ascii="黑体" w:hAnsi="黑体" w:eastAsia="黑体" w:cs="黑体"/>
          <w:b w:val="1"/>
          <w:color w:val="0e3a5d"/>
          <w:sz w:val="24"/>
        </w:rPr>
        <w:t>推荐方案：Tauri 2 加 React 19 加 TypeScript 加 Rust 加 SQLite（SQLCipher）。</w:t>
      </w:r>
    </w:p>
    <w:p w14:paraId="49A7FE69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支撑该结论的四条理由按重要性排列：</w:t>
      </w:r>
    </w:p>
    <w:p w14:paraId="3B75C6B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其一，环境匹配度最高，可零前置开工。</w:t>
      </w:r>
      <w:r>
        <w:rPr>
          <w:rFonts w:hint="eastAsia" w:ascii="宋体" w:hAnsi="宋体" w:eastAsia="宋体" w:cs="宋体"/>
          <w:color w:val="1a1a1a"/>
          <w:sz w:val="24"/>
        </w:rPr>
        <w:t xml:space="preserve"> 上表的 4.50 分中，环境就绪度拿到满分 5 分，这是唯一在当前机器上无需安装大型 SDK 即可编译的桌面方案。对比之下，WPF 与 WinUI 3 的首要动作是安装 .NET SDK，Avalonia 同样如此。在项目启动成本敏感的背景下，这一差异具有决定性。</w:t>
      </w:r>
    </w:p>
    <w:p w14:paraId="0E194ABB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其二，界面形态与需求高度契合。</w:t>
      </w:r>
      <w:r>
        <w:rPr>
          <w:rFonts w:hint="eastAsia" w:ascii="宋体" w:hAnsi="宋体" w:eastAsia="宋体" w:cs="宋体"/>
          <w:color w:val="1a1a1a"/>
          <w:sz w:val="24"/>
        </w:rPr>
        <w:t xml:space="preserve"> 本项目的界面重心是三类：高频录入表单（需要大量即时校验与键盘流）、大列表（需要虚拟滚动）、多图表报表（需要成熟的图表库）。Web 技术栈在这三类场景的组件成熟度与开发效率显著高于 XAML 体系。ECharts 对中文与本地化图例的支持、TanStack 系列对表格与查询状态的管理，能直接缩短报表模块的工期。</w:t>
      </w:r>
    </w:p>
    <w:p w14:paraId="3F5DB51A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其三，资源占用与产品定位一致。</w:t>
      </w:r>
      <w:r>
        <w:rPr>
          <w:rFonts w:hint="eastAsia" w:ascii="宋体" w:hAnsi="宋体" w:eastAsia="宋体" w:cs="宋体"/>
          <w:color w:val="1a1a1a"/>
          <w:sz w:val="24"/>
        </w:rPr>
        <w:t xml:space="preserve"> 记账工具应当"轻"，而 Electron 的 100 MB 以上安装包与 300 MB 级内存占用与此相悖，这也是 Electron 在资源占用项仅得 1 分、总分被拉低至 3.65 的根本原因。Tauri 复用系统 WebView2，安装包可控制在 10 MB 级别，空闲内存约 120 至 180 MB。</w:t>
      </w:r>
    </w:p>
    <w:p w14:paraId="4E52F219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其四，数据层用 Rust 实现，安全与性能兼得。</w:t>
      </w:r>
      <w:r>
        <w:rPr>
          <w:rFonts w:hint="eastAsia" w:ascii="宋体" w:hAnsi="宋体" w:eastAsia="宋体" w:cs="宋体"/>
          <w:color w:val="1a1a1a"/>
          <w:sz w:val="24"/>
        </w:rPr>
        <w:t xml:space="preserve"> SQLCipher 与 rusqlite 的组合在移动端已大规模验证，事务语义清晰，加密为页级透明，不需要在应用层做字段加解密。相比 Node 侧的原生模块（需处理 ABI 兼容与重编译），Rust 的静态链接更为稳定。</w:t>
      </w:r>
    </w:p>
    <w:p w14:paraId="6E52A10C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同时必须如实记录该方案的</w:t>
      </w:r>
      <w:r>
        <w:rPr>
          <w:rFonts w:hint="eastAsia" w:ascii="宋体" w:hAnsi="宋体" w:eastAsia="宋体" w:cs="宋体"/>
          <w:b w:val="1"/>
          <w:color w:val="1a1a1a"/>
          <w:sz w:val="24"/>
        </w:rPr>
        <w:t>四点代价</w:t>
      </w:r>
      <w:r>
        <w:rPr>
          <w:rFonts w:hint="eastAsia" w:ascii="宋体" w:hAnsi="宋体" w:eastAsia="宋体" w:cs="宋体"/>
          <w:color w:val="1a1a1a"/>
          <w:sz w:val="24"/>
        </w:rPr>
        <w:t>：</w:t>
      </w:r>
    </w:p>
    <w:p w14:paraId="13405381">
      <w:pPr>
        <w:numPr>
          <w:ilvl w:val="0"/>
          <w:numId w:val="10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首次构建慢。</w:t>
      </w:r>
      <w:r>
        <w:rPr>
          <w:rFonts w:hint="eastAsia" w:ascii="宋体" w:hAnsi="宋体" w:eastAsia="宋体" w:cs="宋体"/>
          <w:color w:val="1a1a1a"/>
          <w:sz w:val="24"/>
        </w:rPr>
        <w:t xml:space="preserve"> Rust 依赖编译在首次 </w:t>
      </w:r>
      <w:r>
        <w:rPr>
          <w:rFonts w:ascii="Consolas" w:hAnsi="Consolas" w:eastAsia="Consolas" w:cs="Consolas"/>
          <w:color w:val="0e3a5d"/>
          <w:sz w:val="20"/>
        </w:rPr>
        <w:t>cargo build</w:t>
      </w:r>
      <w:r>
        <w:rPr>
          <w:rFonts w:hint="eastAsia" w:ascii="宋体" w:hAnsi="宋体" w:eastAsia="宋体" w:cs="宋体"/>
          <w:color w:val="1a1a1a"/>
          <w:sz w:val="24"/>
        </w:rPr>
        <w:t xml:space="preserve"> 时可能耗时 5 至 15 分钟，后续增量构建在秒级。团队需接受"首次构建等待"并配置 CI 缓存。</w:t>
      </w:r>
    </w:p>
    <w:p w14:paraId="21C0781B">
      <w:pPr>
        <w:numPr>
          <w:ilvl w:val="0"/>
          <w:numId w:val="10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Rust 的学习成本真实存在。</w:t>
      </w:r>
      <w:r>
        <w:rPr>
          <w:rFonts w:hint="eastAsia" w:ascii="宋体" w:hAnsi="宋体" w:eastAsia="宋体" w:cs="宋体"/>
          <w:color w:val="1a1a1a"/>
          <w:sz w:val="24"/>
        </w:rPr>
        <w:t xml:space="preserve"> 若团队以 C# 或 Java 背景为主，所有权与生命周期概念会带来 2 至 4 周的上手期。领域层逻辑简单（以数据组装与聚合为主），但异步与错误处理范式需要适应。</w:t>
      </w:r>
    </w:p>
    <w:p w14:paraId="5616BCD2">
      <w:pPr>
        <w:numPr>
          <w:ilvl w:val="0"/>
          <w:numId w:val="10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Windows 原生集成需自行封装。</w:t>
      </w:r>
      <w:r>
        <w:rPr>
          <w:rFonts w:hint="eastAsia" w:ascii="宋体" w:hAnsi="宋体" w:eastAsia="宋体" w:cs="宋体"/>
          <w:color w:val="1a1a1a"/>
          <w:sz w:val="24"/>
        </w:rPr>
        <w:t xml:space="preserve"> 托盘、全局快捷键、通知有官方插件覆盖，但任务栏跳转列表、缩略图工具栏等深度集成缺少现成插件，需通过 </w:t>
      </w:r>
      <w:r>
        <w:rPr>
          <w:rFonts w:ascii="Consolas" w:hAnsi="Consolas" w:eastAsia="Consolas" w:cs="Consolas"/>
          <w:color w:val="0e3a5d"/>
          <w:sz w:val="20"/>
        </w:rPr>
        <w:t>windows</w:t>
      </w:r>
      <w:r>
        <w:rPr>
          <w:rFonts w:hint="eastAsia" w:ascii="宋体" w:hAnsi="宋体" w:eastAsia="宋体" w:cs="宋体"/>
          <w:color w:val="1a1a1a"/>
          <w:sz w:val="24"/>
        </w:rPr>
        <w:t xml:space="preserve"> crate 调用 Win32 API。这部分工作量在本项目中约为 3 至 5 人日。</w:t>
      </w:r>
    </w:p>
    <w:p w14:paraId="0E1AA789">
      <w:pPr>
        <w:numPr>
          <w:ilvl w:val="0"/>
          <w:numId w:val="10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WebView2 的渲染差异。</w:t>
      </w:r>
      <w:r>
        <w:rPr>
          <w:rFonts w:hint="eastAsia" w:ascii="宋体" w:hAnsi="宋体" w:eastAsia="宋体" w:cs="宋体"/>
          <w:color w:val="1a1a1a"/>
          <w:sz w:val="24"/>
        </w:rPr>
        <w:t xml:space="preserve"> 不同 Windows 版本的 WebView2 版本不同，某些 CSS 特性（如 </w:t>
      </w:r>
      <w:r>
        <w:rPr>
          <w:rFonts w:ascii="Consolas" w:hAnsi="Consolas" w:eastAsia="Consolas" w:cs="Consolas"/>
          <w:color w:val="0e3a5d"/>
          <w:sz w:val="20"/>
        </w:rPr>
        <w:t>backdrop-filter</w:t>
      </w:r>
      <w:r>
        <w:rPr>
          <w:rFonts w:hint="eastAsia" w:ascii="宋体" w:hAnsi="宋体" w:eastAsia="宋体" w:cs="宋体"/>
          <w:color w:val="1a1a1a"/>
          <w:sz w:val="24"/>
        </w:rPr>
        <w:t>）在旧版本上表现不一致，需要通过特性检测降级，Mica 材质的实现也依赖版本。</w:t>
      </w:r>
    </w:p>
    <w:p w14:paraId="575635D9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b w:val="1"/>
          <w:color w:val="1a1a1a"/>
          <w:sz w:val="24"/>
        </w:rPr>
        <w:t>备选方案与触发条件。</w:t>
      </w:r>
      <w:r>
        <w:rPr>
          <w:rFonts w:hint="eastAsia" w:ascii="宋体" w:hAnsi="宋体" w:eastAsia="宋体" w:cs="宋体"/>
          <w:color w:val="1a1a1a"/>
          <w:sz w:val="24"/>
        </w:rPr>
        <w:t xml:space="preserve"> 若出现以下情形，应切换方案而非强行推进：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4C5B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触发条件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4A04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备选方案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7C4C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迁移成本评估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9347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团队为纯 C# 背景且无 Rust 意愿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EFF4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.NET 9 加 WPF（CommunityToolkit.Mvvm 加 LiveCharts2）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498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需先装 SDK；架构分层可沿用，领域层重写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BBA0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需要深度系统集成（跳转列表、共享目标、系统级搜索）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5B3B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WinUI 3 加 Windows App SDK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7925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需装 SDK 与工作负载；打包复杂度上升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D90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需要复用既有前端资产且团队无原生能力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2966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Electron 加 better-sqlite3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D56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架构不变，体积与内存指标放松</w:t>
            </w:r>
          </w:p>
        </w:tc>
      </w:tr>
    </w:tbl>
    <w:p w14:paraId="50E48D04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值得说明的是，WPF 并非被否定。它在 Windows 集成（5 分）与维护人才（5 分）两项上优于 Tauri，若项目团队结构为 C# 主导，WPF 的加权总分虽低，但综合持有成本可能更优。评分模型反映的是</w:t>
      </w:r>
      <w:r>
        <w:rPr>
          <w:rFonts w:hint="eastAsia" w:ascii="宋体" w:hAnsi="宋体" w:eastAsia="宋体" w:cs="宋体"/>
          <w:b w:val="1"/>
          <w:color w:val="1a1a1a"/>
          <w:sz w:val="24"/>
        </w:rPr>
        <w:t>当前环境与当前需求组合</w:t>
      </w:r>
      <w:r>
        <w:rPr>
          <w:rFonts w:hint="eastAsia" w:ascii="宋体" w:hAnsi="宋体" w:eastAsia="宋体" w:cs="宋体"/>
          <w:color w:val="1a1a1a"/>
          <w:sz w:val="24"/>
        </w:rPr>
        <w:t>下的最优解，而非绝对优劣。</w:t>
      </w:r>
    </w:p>
    <w:p w14:paraId="60D2758E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6" w:name="sec-6-5"/>
      <w:r>
        <w:rPr>
          <w:rFonts w:hint="eastAsia" w:ascii="黑体" w:hAnsi="黑体" w:eastAsia="黑体" w:cs="黑体"/>
          <w:b w:val="1"/>
          <w:color w:val="15507f"/>
          <w:sz w:val="28"/>
        </w:rPr>
        <w:t>6.5 选型清单</w:t>
      </w:r>
      <w:bookmarkEnd w:id="56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3E5B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层次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B316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组件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2CAE1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版本基线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55AB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选择理由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DEB3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应用框架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4ABDF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Tauri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EAB4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94DE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小体积、系统 WebView、官方插件覆盖系统集成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0954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后端语言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01682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Rust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B37E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1.95（edition 2021）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C994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内存安全、静态链接、与 SQLite 绑定成熟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7B9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前端框架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F886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React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EF2A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19.x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2F3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生态与人才供给最广，配合编译器优化渲染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00B9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语言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242E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TypeScript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CFC67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4F64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类型契约与后端结构体镜像，降低联调成本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F68F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构建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FFC5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Vite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6462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7.x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926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启动与热更新快，Tauri 官方模板默认支持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B2C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样式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B7DA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Tailwind CSS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CF26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4.x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9234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与设计令牌配合，避免样式文件膨胀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003F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组件库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0043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shadcn/ui（Radix 底座）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5727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B683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可复制源码而非黑盒依赖，便于深度定制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BE8A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状态管理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4895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Zustand（界面态）加 TanStack Query（服务端态）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72D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5C2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区分两类状态，避免全局 store 膨胀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0148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表格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0125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TanStack Table 加 TanStack Virtual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D844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C856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虚拟滚动与列配置能力完备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6393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图表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C86A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ECharts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6C81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5.x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4DEE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中文支持好、图表类型全、按需引入可控体积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24E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数据库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254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SQLite（SQLCipher 版）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930CC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3.4x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E53A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单文件、事务完备、页级加密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6323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数据访问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CF5F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rusqlite（bundled-sqlcipher）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2719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0.3x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D8FC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同步 API 与桌面场景匹配，加密特性内置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5D7C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迁移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4F41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自研版本化脚本（PRAGMA user_version）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0218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—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D988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轻量，不引入额外框架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B25B7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Excel 读写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0657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calamine（读）加 rust_xlsxwriter（写）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4913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4B90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纯 Rust，无 Office 依赖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76240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CSV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94FF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csv crate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D4FB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0F83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流式解析，编码转换配合 encoding_rs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029C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密码派生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0FAF8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argon2 crate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4983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EEBB9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Argon2id 参考实现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4C20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日志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389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tracing 加 tracing-subscriber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2657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937B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结构化日志，与 Tauri 生态一致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90C2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系统集成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75A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tauri-plugin-global-shortcut、notification、single-instance、autostart、updater、dialog、fs、store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F159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5AF1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官方维护，覆盖托盘与快捷键需求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2109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测试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4F6B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cargo test、Vitest、Playwright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9287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最新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E3C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分层覆盖领域、组件、端到端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0C22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打包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9BB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tauri-bundler（NSIS 加 MSI）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5B21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2.x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3956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单用户安装，无需管理员权限</w:t>
            </w:r>
          </w:p>
        </w:tc>
      </w:tr>
    </w:tbl>
    <w:p w14:paraId="65F29440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7" w:name="sec-6-6"/>
      <w:r>
        <w:rPr>
          <w:rFonts w:hint="eastAsia" w:ascii="黑体" w:hAnsi="黑体" w:eastAsia="黑体" w:cs="黑体"/>
          <w:b w:val="1"/>
          <w:color w:val="15507f"/>
          <w:sz w:val="28"/>
        </w:rPr>
        <w:t>6.6 环境搭建步骤</w:t>
      </w:r>
      <w:bookmarkEnd w:id="57"/>
    </w:p>
    <w:p w14:paraId="2B40C603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以下命令按顺序执行即可得到可运行骨架。前两步为一次性环境准备，第三至五步为项目初始化。</w:t>
      </w:r>
    </w:p>
    <w:p w14:paraId="31A44B4E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# 1 安装 Tauri CLI（二选一，推荐经 pnpm 以避免污染全局）</w:t>
      </w:r>
    </w:p>
    <w:p w14:paraId="68C04C92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pnpm add -D @tauri-apps/cli@^2</w:t>
      </w:r>
    </w:p>
    <w:p w14:paraId="0AB72911">
      <w:pPr>
        <w:spacing w:line="396"/>
        <w:rPr>
          <w:color w:val="1a1a1a"/>
        </w:rPr>
      </w:pPr>
    </w:p>
    <w:p w14:paraId="5AEBDFDC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# 2 校验 Rust 与链接器（应输出 x86_64-pc-windows-msvc）</w:t>
      </w:r>
    </w:p>
    <w:p w14:paraId="7440B04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rustc -vV</w:t>
      </w:r>
    </w:p>
    <w:p w14:paraId="68B6082F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cargo --version</w:t>
      </w:r>
    </w:p>
    <w:p w14:paraId="0AFD65BF">
      <w:pPr>
        <w:spacing w:line="396"/>
        <w:rPr>
          <w:color w:val="1a1a1a"/>
        </w:rPr>
      </w:pPr>
    </w:p>
    <w:p w14:paraId="4A9DC3EC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# 3 初始化项目（前端模板选 React + TypeScript）</w:t>
      </w:r>
    </w:p>
    <w:p w14:paraId="19676F0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pnpm create tauri-app@latest whale-ledger --template react-ts</w:t>
      </w:r>
    </w:p>
    <w:p w14:paraId="3B2C47BC">
      <w:pPr>
        <w:spacing w:line="396"/>
        <w:rPr>
          <w:color w:val="1a1a1a"/>
        </w:rPr>
      </w:pPr>
    </w:p>
    <w:p w14:paraId="76974F0B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# 4 安装前端依赖</w:t>
      </w:r>
    </w:p>
    <w:p w14:paraId="6B652D63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cd whale-ledger</w:t>
      </w:r>
    </w:p>
    <w:p w14:paraId="627215D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pnpm install</w:t>
      </w:r>
    </w:p>
    <w:p w14:paraId="0C2B7232">
      <w:pPr>
        <w:spacing w:line="396"/>
        <w:rPr>
          <w:color w:val="1a1a1a"/>
        </w:rPr>
      </w:pPr>
    </w:p>
    <w:p w14:paraId="3B89831E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# 5 启动开发模式（首次会编译 Rust 依赖，耗时较长）</w:t>
      </w:r>
    </w:p>
    <w:p w14:paraId="7E3FA0F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pnpm tauri dev</w:t>
      </w:r>
    </w:p>
    <w:p w14:paraId="38AF5F8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打包发布使用 </w:t>
      </w:r>
      <w:r>
        <w:rPr>
          <w:rFonts w:ascii="Consolas" w:hAnsi="Consolas" w:eastAsia="Consolas" w:cs="Consolas"/>
          <w:color w:val="0e3a5d"/>
          <w:sz w:val="20"/>
        </w:rPr>
        <w:t>pnpm tauri build</w:t>
      </w:r>
      <w:r>
        <w:rPr>
          <w:rFonts w:hint="eastAsia" w:ascii="宋体" w:hAnsi="宋体" w:eastAsia="宋体" w:cs="宋体"/>
          <w:color w:val="1a1a1a"/>
          <w:sz w:val="24"/>
        </w:rPr>
        <w:t xml:space="preserve">，产物位于 </w:t>
      </w:r>
      <w:r>
        <w:rPr>
          <w:rFonts w:ascii="Consolas" w:hAnsi="Consolas" w:eastAsia="Consolas" w:cs="Consolas"/>
          <w:color w:val="0e3a5d"/>
          <w:sz w:val="20"/>
        </w:rPr>
        <w:t>src-tauri/target/release/bundle/</w:t>
      </w:r>
      <w:r>
        <w:rPr>
          <w:rFonts w:hint="eastAsia" w:ascii="宋体" w:hAnsi="宋体" w:eastAsia="宋体" w:cs="宋体"/>
          <w:color w:val="1a1a1a"/>
          <w:sz w:val="24"/>
        </w:rPr>
        <w:t xml:space="preserve">。若需为 SQLCipher 启用加密，在 </w:t>
      </w:r>
      <w:r>
        <w:rPr>
          <w:rFonts w:ascii="Consolas" w:hAnsi="Consolas" w:eastAsia="Consolas" w:cs="Consolas"/>
          <w:color w:val="0e3a5d"/>
          <w:sz w:val="20"/>
        </w:rPr>
        <w:t>Cargo.toml</w:t>
      </w:r>
      <w:r>
        <w:rPr>
          <w:rFonts w:hint="eastAsia" w:ascii="宋体" w:hAnsi="宋体" w:eastAsia="宋体" w:cs="宋体"/>
          <w:color w:val="1a1a1a"/>
          <w:sz w:val="24"/>
        </w:rPr>
        <w:t xml:space="preserve"> 中将 rusqlite 的 feature 设为 </w:t>
      </w:r>
      <w:r>
        <w:rPr>
          <w:rFonts w:ascii="Consolas" w:hAnsi="Consolas" w:eastAsia="Consolas" w:cs="Consolas"/>
          <w:color w:val="0e3a5d"/>
          <w:sz w:val="20"/>
        </w:rPr>
        <w:t>bundled-sqlcipher-vendored-openssl</w:t>
      </w:r>
      <w:r>
        <w:rPr>
          <w:rFonts w:hint="eastAsia" w:ascii="宋体" w:hAnsi="宋体" w:eastAsia="宋体" w:cs="宋体"/>
          <w:color w:val="1a1a1a"/>
          <w:sz w:val="24"/>
        </w:rPr>
        <w:t>，以确保 OpenSSL 静态编译，避免运行时依赖。</w:t>
      </w:r>
    </w:p>
    <w:p w14:paraId="7CAC26AB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一个易被忽略的配置项：</w:t>
      </w:r>
      <w:r>
        <w:rPr>
          <w:rFonts w:ascii="Consolas" w:hAnsi="Consolas" w:eastAsia="Consolas" w:cs="Consolas"/>
          <w:color w:val="0e3a5d"/>
          <w:sz w:val="20"/>
        </w:rPr>
        <w:t>tauri.conf.json</w:t>
      </w:r>
      <w:r>
        <w:rPr>
          <w:rFonts w:hint="eastAsia" w:ascii="宋体" w:hAnsi="宋体" w:eastAsia="宋体" w:cs="宋体"/>
          <w:color w:val="1a1a1a"/>
          <w:sz w:val="24"/>
        </w:rPr>
        <w:t xml:space="preserve"> 中的 </w:t>
      </w:r>
      <w:r>
        <w:rPr>
          <w:rFonts w:ascii="Consolas" w:hAnsi="Consolas" w:eastAsia="Consolas" w:cs="Consolas"/>
          <w:color w:val="0e3a5d"/>
          <w:sz w:val="20"/>
        </w:rPr>
        <w:t>bundle.windows.webviewInstallMode</w:t>
      </w:r>
      <w:r>
        <w:rPr>
          <w:rFonts w:hint="eastAsia" w:ascii="宋体" w:hAnsi="宋体" w:eastAsia="宋体" w:cs="宋体"/>
          <w:color w:val="1a1a1a"/>
          <w:sz w:val="24"/>
        </w:rPr>
        <w:t xml:space="preserve"> 应设为 </w:t>
      </w:r>
      <w:r>
        <w:rPr>
          <w:rFonts w:ascii="Consolas" w:hAnsi="Consolas" w:eastAsia="Consolas" w:cs="Consolas"/>
          <w:color w:val="0e3a5d"/>
          <w:sz w:val="20"/>
        </w:rPr>
        <w:t>downloadBootstrapper</w:t>
      </w:r>
      <w:r>
        <w:rPr>
          <w:rFonts w:hint="eastAsia" w:ascii="宋体" w:hAnsi="宋体" w:eastAsia="宋体" w:cs="宋体"/>
          <w:color w:val="1a1a1a"/>
          <w:sz w:val="24"/>
        </w:rPr>
        <w:t>，使缺失 WebView2 的机器在安装时自动补齐，而无需将运行时打入安装包（后者会使体积增加约 100 MB）。</w:t>
      </w:r>
    </w:p>
    <w:p w14:paraId="562E5184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58" w:name="sec-6-7"/>
      <w:r>
        <w:rPr>
          <w:rFonts w:hint="eastAsia" w:ascii="黑体" w:hAnsi="黑体" w:eastAsia="黑体" w:cs="黑体"/>
          <w:b w:val="1"/>
          <w:color w:val="15507f"/>
          <w:sz w:val="28"/>
        </w:rPr>
        <w:t>6.7 选型风险与缓解</w:t>
      </w:r>
      <w:bookmarkEnd w:id="5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FA18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风险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F15F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影响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E319F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缓解措施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9685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Rust 编译时间过长影响迭代节奏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253C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开发效率下降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65D0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依赖分层（领域层独立 crate）、启用 sccache、CI 缓存 target 目录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18E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WebView2 版本差异导致样式异常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1875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界面不一致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19AB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建立最低版本声明，关键样式提供降级分支，CI 中保留旧版运行时测试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7500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Tauri 2 生态插件质量参差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40B3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集成返工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1893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仅选用官方插件，第三方插件须经代码审查后引入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3F4D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Rust 领域逻辑与前端类型漂移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4073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联调故障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F21B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由 Rust 结构体生成 TypeScript 类型（ts-rs），构建期校验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8AC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SQLCipher 与 SQLite 版本耦合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0934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升级受阻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D6D9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锁定 rusqlite 次版本，升级前跑全量迁移与加密回归测试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0B40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单机数据丢失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7F03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用户信任崩塌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16F4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默认开启每日自动备份，首次启动引导用户设置备份目录</w:t>
            </w:r>
          </w:p>
        </w:tc>
      </w:tr>
    </w:tbl>
    <w:p w14:paraId="671B7EC8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59" w:name="sec-7"/>
      <w:r>
        <w:rPr>
          <w:rFonts w:hint="eastAsia" w:ascii="黑体" w:hAnsi="黑体" w:eastAsia="黑体" w:cs="黑体"/>
          <w:b w:val="1"/>
          <w:color w:val="0e3a5d"/>
          <w:sz w:val="36"/>
        </w:rPr>
        <w:t>7 工程实施</w:t>
      </w:r>
      <w:bookmarkEnd w:id="59"/>
    </w:p>
    <w:p w14:paraId="7753217A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60" w:name="sec-7-1"/>
      <w:r>
        <w:rPr>
          <w:rFonts w:hint="eastAsia" w:ascii="黑体" w:hAnsi="黑体" w:eastAsia="黑体" w:cs="黑体"/>
          <w:b w:val="1"/>
          <w:color w:val="15507f"/>
          <w:sz w:val="28"/>
        </w:rPr>
        <w:t>7.1 工程结构</w:t>
      </w:r>
      <w:bookmarkEnd w:id="60"/>
    </w:p>
    <w:p w14:paraId="2C6D25A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whale-ledger/</w:t>
      </w:r>
    </w:p>
    <w:p w14:paraId="27A41801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├─ src/ # 前端</w:t>
      </w:r>
    </w:p>
    <w:p w14:paraId="47B88B2A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├─ app/ # 路由与布局</w:t>
      </w:r>
    </w:p>
    <w:p w14:paraId="12643541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├─ features/ # 按业务域组织</w:t>
      </w:r>
    </w:p>
    <w:p w14:paraId="639C169A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│ ├─ txn/ # 记账：列表、编辑器、迷你窗</w:t>
      </w:r>
    </w:p>
    <w:p w14:paraId="5F1EC782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│ ├─ account/</w:t>
      </w:r>
    </w:p>
    <w:p w14:paraId="5CD6791C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│ ├─ category/</w:t>
      </w:r>
    </w:p>
    <w:p w14:paraId="161DD5B5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│ ├─ budget/</w:t>
      </w:r>
    </w:p>
    <w:p w14:paraId="536432C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│ ├─ report/</w:t>
      </w:r>
    </w:p>
    <w:p w14:paraId="783D137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│ ├─ import-export/</w:t>
      </w:r>
    </w:p>
    <w:p w14:paraId="79888D0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│ └─ settings/</w:t>
      </w:r>
    </w:p>
    <w:p w14:paraId="39D1AF44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├─ components/ # 通用组件（表格、图表、表单控件）</w:t>
      </w:r>
    </w:p>
    <w:p w14:paraId="248A513E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├─ lib/ # IPC 封装、类型、工具</w:t>
      </w:r>
    </w:p>
    <w:p w14:paraId="3DAD19F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└─ styles/</w:t>
      </w:r>
    </w:p>
    <w:p w14:paraId="54BF089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├─ src-tauri/</w:t>
      </w:r>
    </w:p>
    <w:p w14:paraId="068F9B7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├─ src/</w:t>
      </w:r>
    </w:p>
    <w:p w14:paraId="40B67B5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│ ├─ main.rs</w:t>
      </w:r>
    </w:p>
    <w:p w14:paraId="44ED0CAB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│ ├─ commands/ # 每个模块一个文件，仅做参数校验与编排</w:t>
      </w:r>
    </w:p>
    <w:p w14:paraId="1FEFECA4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│ ├─ domain/ # 纯逻辑：余额、统计、退款约束</w:t>
      </w:r>
    </w:p>
    <w:p w14:paraId="251A22F8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│ ├─ infra/ # db、crypto、excel、backup</w:t>
      </w:r>
    </w:p>
    <w:p w14:paraId="16C14B04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│ ├─ error.rs # 统一错误类型与错误码</w:t>
      </w:r>
    </w:p>
    <w:p w14:paraId="0A889970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│ └─ state.rs # 连接池、配置、运行态</w:t>
      </w:r>
    </w:p>
    <w:p w14:paraId="320A1CF3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├─ migrations/ # 0001_init.sql 起，顺序编号</w:t>
      </w:r>
    </w:p>
    <w:p w14:paraId="63FF1496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│ ├─ capabilities/ # 权限白名单</w:t>
      </w:r>
    </w:p>
    <w:p w14:paraId="685513D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│ └─ tauri.conf.json</w:t>
      </w:r>
    </w:p>
    <w:p w14:paraId="4CE434EB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├─ docs/ # 本文档与接口说明</w:t>
      </w:r>
    </w:p>
    <w:p w14:paraId="6C88E590">
      <w:pPr>
        <w:spacing w:line="396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└─ tests/ # 端到端用例</w:t>
      </w:r>
    </w:p>
    <w:p w14:paraId="153D2B81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 xml:space="preserve">组织原则为"按业务域纵切"而非"按技术类型横切"。一个功能的前端组件、查询封装与后端命令放在同一域下，减少跨目录跳转；只有真正通用的部分才上提到 </w:t>
      </w:r>
      <w:r>
        <w:rPr>
          <w:rFonts w:ascii="Consolas" w:hAnsi="Consolas" w:eastAsia="Consolas" w:cs="Consolas"/>
          <w:color w:val="0e3a5d"/>
          <w:sz w:val="20"/>
        </w:rPr>
        <w:t>components/</w:t>
      </w:r>
      <w:r>
        <w:rPr>
          <w:rFonts w:hint="eastAsia" w:ascii="宋体" w:hAnsi="宋体" w:eastAsia="宋体" w:cs="宋体"/>
          <w:color w:val="1a1a1a"/>
          <w:sz w:val="24"/>
        </w:rPr>
        <w:t xml:space="preserve"> 与 </w:t>
      </w:r>
      <w:r>
        <w:rPr>
          <w:rFonts w:ascii="Consolas" w:hAnsi="Consolas" w:eastAsia="Consolas" w:cs="Consolas"/>
          <w:color w:val="0e3a5d"/>
          <w:sz w:val="20"/>
        </w:rPr>
        <w:t>infra/</w:t>
      </w:r>
      <w:r>
        <w:rPr>
          <w:rFonts w:hint="eastAsia" w:ascii="宋体" w:hAnsi="宋体" w:eastAsia="宋体" w:cs="宋体"/>
          <w:color w:val="1a1a1a"/>
          <w:sz w:val="24"/>
        </w:rPr>
        <w:t>。</w:t>
      </w:r>
    </w:p>
    <w:p w14:paraId="69D68A16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61" w:name="sec-7-2"/>
      <w:r>
        <w:rPr>
          <w:rFonts w:hint="eastAsia" w:ascii="黑体" w:hAnsi="黑体" w:eastAsia="黑体" w:cs="黑体"/>
          <w:b w:val="1"/>
          <w:color w:val="15507f"/>
          <w:sz w:val="28"/>
        </w:rPr>
        <w:t>7.2 编码规范要点</w:t>
      </w:r>
      <w:bookmarkEnd w:id="61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F18B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项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AF7AE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约定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7F0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金额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AA73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变量名一律带 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_minor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 后缀；禁止在领域层出现浮点金额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C472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前后端契约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6052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Rust 结构体为唯一真相源，TypeScript 类型由 ts-rs 生成，不手写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FCD5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错误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ACCB5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后端返回稳定错误码；前端不解析错误文本，按码映射文案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2B0A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事务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19D9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写操作必须在命令层显式开启事务，禁止在循环内逐条提交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1241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日期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6974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统计边界由前端计算后传参，SQL 内禁止使用本地时间函数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15EC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组件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3F1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单文件不超过 200 行；超过则拆分容器与展示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3681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命名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6395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数据库字段 snake_case，前端变量 camelCase，转换在 IPC 边界完成</w:t>
            </w:r>
          </w:p>
        </w:tc>
      </w:tr>
      <w:tr>
        <w:trPr/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CAD4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提交</w:t>
            </w:r>
          </w:p>
        </w:tc>
        <w:tc>
          <w:tcPr>
            <w:tcW w:w="4153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136A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遵循 Conventional Commits；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feat</w:t>
            </w:r>
            <w:r>
              <w:rPr>
                <w:rFonts w:ascii="宋体" w:hAnsi="宋体" w:eastAsia="宋体" w:cs="宋体"/>
                <w:color w:val="1a1a1a"/>
                <w:sz w:val="20"/>
              </w:rPr>
              <w:t>/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fix</w:t>
            </w:r>
            <w:r>
              <w:rPr>
                <w:rFonts w:ascii="宋体" w:hAnsi="宋体" w:eastAsia="宋体" w:cs="宋体"/>
                <w:color w:val="1a1a1a"/>
                <w:sz w:val="20"/>
              </w:rPr>
              <w:t>/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refactor</w:t>
            </w:r>
            <w:r>
              <w:rPr>
                <w:rFonts w:ascii="宋体" w:hAnsi="宋体" w:eastAsia="宋体" w:cs="宋体"/>
                <w:color w:val="1a1a1a"/>
                <w:sz w:val="20"/>
              </w:rPr>
              <w:t>/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docs</w:t>
            </w:r>
            <w:r>
              <w:rPr>
                <w:rFonts w:ascii="宋体" w:hAnsi="宋体" w:eastAsia="宋体" w:cs="宋体"/>
                <w:color w:val="1a1a1a"/>
                <w:sz w:val="20"/>
              </w:rPr>
              <w:t>/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test</w:t>
            </w:r>
            <w:r>
              <w:rPr>
                <w:rFonts w:ascii="宋体" w:hAnsi="宋体" w:eastAsia="宋体" w:cs="宋体"/>
                <w:color w:val="1a1a1a"/>
                <w:sz w:val="20"/>
              </w:rPr>
              <w:t>/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chore</w:t>
            </w:r>
          </w:p>
        </w:tc>
      </w:tr>
    </w:tbl>
    <w:p w14:paraId="017FD5FC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62" w:name="sec-7-3"/>
      <w:r>
        <w:rPr>
          <w:rFonts w:hint="eastAsia" w:ascii="黑体" w:hAnsi="黑体" w:eastAsia="黑体" w:cs="黑体"/>
          <w:b w:val="1"/>
          <w:color w:val="15507f"/>
          <w:sz w:val="28"/>
        </w:rPr>
        <w:t>7.3 测试策略</w:t>
      </w:r>
      <w:bookmarkEnd w:id="6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FA1BE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层次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BE107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范围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E8242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工具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114C4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目标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F1A37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领域单元测试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53DB3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余额推导、统计口径、退款约束、分类上卷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1310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cargo test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61D2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覆盖率不低于 70%，边界用例全覆盖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71F3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数据层测试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1177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迁移脚本、事务回滚、加密打开、备份恢复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A8E7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cargo test（临时库）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CC18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每个迁移脚本含升级与回滚验证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13AF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前端组件测试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8D3E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表单校验、金额输入、键盘流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E627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Vitest 加 Testing Library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A9DA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关键交互路径全覆盖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498A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端到端测试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4C7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记账闭环、导入导出、密码锁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626E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Playwright（Tauri 驱动）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6C9DC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主流程 10 条以内，作为发布门禁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4B5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性能基准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A3B6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报表聚合、余额重算、列表分页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BB41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自研造数脚本加计时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14A1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满足 NFR-01 至 NFR-03</w:t>
            </w:r>
          </w:p>
        </w:tc>
      </w:tr>
    </w:tbl>
    <w:p w14:paraId="569A3232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导入模块需专门维护一组"真实脱敏账单"作为回归样本，覆盖支付宝、微信、银行三种格式及 GBK 编码场景。这类样本一旦缺失，导入功能的回归将退化为手工验证。</w:t>
      </w:r>
    </w:p>
    <w:p w14:paraId="28C1FA3E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63" w:name="sec-7-4"/>
      <w:r>
        <w:rPr>
          <w:rFonts w:hint="eastAsia" w:ascii="黑体" w:hAnsi="黑体" w:eastAsia="黑体" w:cs="黑体"/>
          <w:b w:val="1"/>
          <w:color w:val="15507f"/>
          <w:sz w:val="28"/>
        </w:rPr>
        <w:t>7.4 里程碑</w:t>
      </w:r>
      <w:bookmarkEnd w:id="63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598E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阶段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83A3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周期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E307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交付物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FBBD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完成判据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714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M1 数据层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D9AD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 1 至 2 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3859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数据模型、迁移脚本、领域逻辑、单元测试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A3F2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领域测试通过，余额推导与统计口径与本文一致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1485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M2 录入闭环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E36C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 3 至 4 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481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交易编辑器、迷你窗、账户与分类管理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AFA9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可完成从录入到查看的完整操作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3D38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M3 分析能力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ACB72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 5 至 6 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1185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报表、预算、日历视图、搜索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64DD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报表数值与明细加总一致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B770B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M4 数据进出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ED72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 7 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A6FE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导入导出、备份恢复、密码锁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33C8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三类账单导入成功，恢复后数据完整</w:t>
            </w:r>
          </w:p>
        </w:tc>
      </w:tr>
      <w:tr>
        <w:trPr/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AD1B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M5 发布准备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25D02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第 8 周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7634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打包、安装包、更新配置、用户文档</w:t>
            </w:r>
          </w:p>
        </w:tc>
        <w:tc>
          <w:tcPr>
            <w:tcW w:w="2076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DCAA6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干净虚拟机安装通过，端到端用例全绿</w:t>
            </w:r>
          </w:p>
        </w:tc>
      </w:tr>
    </w:tbl>
    <w:p w14:paraId="097A5429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64" w:name="sec-7-5"/>
      <w:r>
        <w:rPr>
          <w:rFonts w:hint="eastAsia" w:ascii="黑体" w:hAnsi="黑体" w:eastAsia="黑体" w:cs="黑体"/>
          <w:b w:val="1"/>
          <w:color w:val="15507f"/>
          <w:sz w:val="28"/>
        </w:rPr>
        <w:t>7.5 验收标准</w:t>
      </w:r>
      <w:bookmarkEnd w:id="64"/>
    </w:p>
    <w:p w14:paraId="5952EEAD">
      <w:pPr>
        <w:spacing w:after="132" w:line="396"/>
        <w:ind w:firstLine="480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V1.0 交付验收以以下十条为准，全部满足方可发布。</w:t>
      </w:r>
    </w:p>
    <w:p w14:paraId="7CADB1E6">
      <w:pPr>
        <w:numPr>
          <w:ilvl w:val="0"/>
          <w:numId w:val="1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在未安装过本软件的 Windows 11 虚拟机上，安装包可完成安装、启动、记账、退出，全过程无报错。</w:t>
      </w:r>
    </w:p>
    <w:p w14:paraId="3C0AD327">
      <w:pPr>
        <w:numPr>
          <w:ilvl w:val="0"/>
          <w:numId w:val="1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快捷键唤起迷你窗至保存完成，键盘操作路径不超过 4 次击键加金额输入。</w:t>
      </w:r>
    </w:p>
    <w:p w14:paraId="38F72475">
      <w:pPr>
        <w:numPr>
          <w:ilvl w:val="0"/>
          <w:numId w:val="1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10 万条流水下，冷启动不超过 1.5 秒，月度报表不超过 300 毫秒。</w:t>
      </w:r>
    </w:p>
    <w:p w14:paraId="345386B3">
      <w:pPr>
        <w:numPr>
          <w:ilvl w:val="0"/>
          <w:numId w:val="1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连续录入 100 笔含转账的流水后，全部账户余额与手工核算一致，误差为零。</w:t>
      </w:r>
    </w:p>
    <w:p w14:paraId="6F27E2BF">
      <w:pPr>
        <w:numPr>
          <w:ilvl w:val="0"/>
          <w:numId w:val="1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支付宝、微信、通用 CSV 三类文件导入成功，重复导入同一文件产生零条重复记录。</w:t>
      </w:r>
    </w:p>
    <w:p w14:paraId="0A983219">
      <w:pPr>
        <w:numPr>
          <w:ilvl w:val="0"/>
          <w:numId w:val="1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导出的 xlsx 在 Excel 中打开无乱码，金额列为数值型，可参与求和。</w:t>
      </w:r>
    </w:p>
    <w:p w14:paraId="4DD4BE49">
      <w:pPr>
        <w:numPr>
          <w:ilvl w:val="0"/>
          <w:numId w:val="1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断电模拟（强制结束进程）后重启，数据库可正常打开，无数据损坏。</w:t>
      </w:r>
    </w:p>
    <w:p w14:paraId="3FF49CBE">
      <w:pPr>
        <w:numPr>
          <w:ilvl w:val="0"/>
          <w:numId w:val="1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设置密码后，用外部工具打开数据库文件无法读取明文内容。</w:t>
      </w:r>
    </w:p>
    <w:p w14:paraId="66F31CAD">
      <w:pPr>
        <w:numPr>
          <w:ilvl w:val="0"/>
          <w:numId w:val="1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备份恢复后，交易、分类、账户、预算四类数据与备份时刻完全一致。</w:t>
      </w:r>
    </w:p>
    <w:p w14:paraId="31081CC4">
      <w:pPr>
        <w:numPr>
          <w:ilvl w:val="0"/>
          <w:numId w:val="11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深色模式切换后，所有页面无残留浅色块，图表颜色同步。</w:t>
      </w:r>
    </w:p>
    <w:p w14:paraId="280EA4DC">
      <w:pPr>
        <w:pStyle w:val="000005"/>
        <w:keepNext w:val="1"/>
        <w:keepLines w:val="1"/>
        <w:pBdr>
          <w:bottom w:val="single" w:color="c9d6e3" w:sz="6" w:space="3"/>
        </w:pBdr>
        <w:spacing w:before="360" w:beforeAutospacing="1" w:after="216" w:afterAutospacing="1" w:line="324"/>
        <w:outlineLvl w:val="0"/>
        <w:rPr>
          <w:color w:val="0e3a5d"/>
          <w:kern w:val="44"/>
          <w:sz w:val="44"/>
          <w:szCs w:val="44"/>
        </w:rPr>
      </w:pPr>
      <w:bookmarkStart w:id="65" w:name="sec-8"/>
      <w:r>
        <w:rPr>
          <w:rFonts w:hint="eastAsia" w:ascii="黑体" w:hAnsi="黑体" w:eastAsia="黑体" w:cs="黑体"/>
          <w:b w:val="1"/>
          <w:color w:val="0e3a5d"/>
          <w:sz w:val="36"/>
        </w:rPr>
        <w:t>8 附录</w:t>
      </w:r>
      <w:bookmarkEnd w:id="65"/>
    </w:p>
    <w:p w14:paraId="2FB709A2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66" w:name="sec-8-1"/>
      <w:r>
        <w:rPr>
          <w:rFonts w:hint="eastAsia" w:ascii="黑体" w:hAnsi="黑体" w:eastAsia="黑体" w:cs="黑体"/>
          <w:b w:val="1"/>
          <w:color w:val="15507f"/>
          <w:sz w:val="28"/>
        </w:rPr>
        <w:t>8.1 数据库初始化脚本（节选）</w:t>
      </w:r>
      <w:bookmarkEnd w:id="66"/>
    </w:p>
    <w:p w14:paraId="7F886709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PRAGMA journal_mode = WAL;</w:t>
      </w:r>
    </w:p>
    <w:p w14:paraId="6D15965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PRAGMA foreign_keys = ON;</w:t>
      </w:r>
    </w:p>
    <w:p w14:paraId="629E3AD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PRAGMA user_version = 1;</w:t>
      </w:r>
    </w:p>
    <w:p w14:paraId="1CE74AEA">
      <w:pPr>
        <w:spacing w:line="396"/>
        <w:rPr>
          <w:color w:val="1a1a1a"/>
        </w:rPr>
      </w:pPr>
    </w:p>
    <w:p w14:paraId="3BD5938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ledger (</w:t>
      </w:r>
    </w:p>
    <w:p w14:paraId="523A719F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id TEXT PRIMARY KEY,</w:t>
      </w:r>
    </w:p>
    <w:p w14:paraId="289596D9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name TEXT NOT NULL,</w:t>
      </w:r>
    </w:p>
    <w:p w14:paraId="67E5C68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is_default INTEGER NOT NULL DEFAULT 0,</w:t>
      </w:r>
    </w:p>
    <w:p w14:paraId="15B308E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created_at TEXT NOT NULL</w:t>
      </w:r>
    </w:p>
    <w:p w14:paraId="73749CE2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6C8A8AA4">
      <w:pPr>
        <w:spacing w:line="396"/>
        <w:rPr>
          <w:color w:val="1a1a1a"/>
        </w:rPr>
      </w:pPr>
    </w:p>
    <w:p w14:paraId="2588D349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account (</w:t>
      </w:r>
    </w:p>
    <w:p w14:paraId="5D71159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id TEXT PRIMARY KEY,</w:t>
      </w:r>
    </w:p>
    <w:p w14:paraId="0AFCA5DF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ledger_id TEXT NOT NULL REFERENCES ledger(id) ON DELETE CASCADE,</w:t>
      </w:r>
    </w:p>
    <w:p w14:paraId="0054AA95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name TEXT NOT NULL,</w:t>
      </w:r>
    </w:p>
    <w:p w14:paraId="7B184A92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type INTEGER NOT NULL,</w:t>
      </w:r>
    </w:p>
    <w:p w14:paraId="1754AEF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currency TEXT NOT NULL DEFAULT 'CNY',</w:t>
      </w:r>
    </w:p>
    <w:p w14:paraId="028A8913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initial_minor INTEGER NOT NULL DEFAULT 0,</w:t>
      </w:r>
    </w:p>
    <w:p w14:paraId="3E3EBBD0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balance_minor INTEGER NOT NULL DEFAULT 0,</w:t>
      </w:r>
    </w:p>
    <w:p w14:paraId="4FD32615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include_in_net INTEGER NOT NULL DEFAULT 1,</w:t>
      </w:r>
    </w:p>
    <w:p w14:paraId="43B4D8D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archived INTEGER NOT NULL DEFAULT 0,</w:t>
      </w:r>
    </w:p>
    <w:p w14:paraId="04FA038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sort_order INTEGER NOT NULL DEFAULT 0,</w:t>
      </w:r>
    </w:p>
    <w:p w14:paraId="3688D2D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created_at TEXT NOT NULL</w:t>
      </w:r>
    </w:p>
    <w:p w14:paraId="6825215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0E6C4D58">
      <w:pPr>
        <w:spacing w:line="396"/>
        <w:rPr>
          <w:color w:val="1a1a1a"/>
        </w:rPr>
      </w:pPr>
    </w:p>
    <w:p w14:paraId="648FB12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category (</w:t>
      </w:r>
    </w:p>
    <w:p w14:paraId="1C513E0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id TEXT PRIMARY KEY,</w:t>
      </w:r>
    </w:p>
    <w:p w14:paraId="47D7CBA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ledger_id TEXT NOT NULL REFERENCES ledger(id) ON DELETE CASCADE,</w:t>
      </w:r>
    </w:p>
    <w:p w14:paraId="3EE33D2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parent_id TEXT REFERENCES category(id),</w:t>
      </w:r>
    </w:p>
    <w:p w14:paraId="31AD37C3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name TEXT NOT NULL,</w:t>
      </w:r>
    </w:p>
    <w:p w14:paraId="6CCF856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kind INTEGER NOT NULL,</w:t>
      </w:r>
    </w:p>
    <w:p w14:paraId="716CD51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icon TEXT,</w:t>
      </w:r>
    </w:p>
    <w:p w14:paraId="7865328C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color TEXT,</w:t>
      </w:r>
    </w:p>
    <w:p w14:paraId="30D1C159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sort_order INTEGER NOT NULL DEFAULT 0,</w:t>
      </w:r>
    </w:p>
    <w:p w14:paraId="16A57F8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archived INTEGER NOT NULL DEFAULT 0</w:t>
      </w:r>
    </w:p>
    <w:p w14:paraId="4BC1B70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69899F89">
      <w:pPr>
        <w:spacing w:line="396"/>
        <w:rPr>
          <w:color w:val="1a1a1a"/>
        </w:rPr>
      </w:pPr>
    </w:p>
    <w:p w14:paraId="2F8B56FC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txn (</w:t>
      </w:r>
    </w:p>
    <w:p w14:paraId="46C1B24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id TEXT PRIMARY KEY,</w:t>
      </w:r>
    </w:p>
    <w:p w14:paraId="0B9BDDA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ledger_id TEXT NOT NULL REFERENCES ledger(id) ON DELETE CASCADE,</w:t>
      </w:r>
    </w:p>
    <w:p w14:paraId="669DDE3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type INTEGER NOT NULL,</w:t>
      </w:r>
    </w:p>
    <w:p w14:paraId="38426AB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amount_minor INTEGER NOT NULL CHECK (amount_minor &gt; 0),</w:t>
      </w:r>
    </w:p>
    <w:p w14:paraId="018F9932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account_id TEXT NOT NULL REFERENCES account(id),</w:t>
      </w:r>
    </w:p>
    <w:p w14:paraId="53EA3CCF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to_account_id TEXT REFERENCES account(id),</w:t>
      </w:r>
    </w:p>
    <w:p w14:paraId="4F1F320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category_id TEXT REFERENCES category(id),</w:t>
      </w:r>
    </w:p>
    <w:p w14:paraId="317D1C3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occurred_on TEXT NOT NULL,</w:t>
      </w:r>
    </w:p>
    <w:p w14:paraId="07D3E1F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note TEXT,</w:t>
      </w:r>
    </w:p>
    <w:p w14:paraId="47E65F9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refund_of TEXT REFERENCES txn(id),</w:t>
      </w:r>
    </w:p>
    <w:p w14:paraId="371B52D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reimburse_state INTEGER NOT NULL DEFAULT 0,</w:t>
      </w:r>
    </w:p>
    <w:p w14:paraId="5D540D8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exclude_from_stats INTEGER NOT NULL DEFAULT 0,</w:t>
      </w:r>
    </w:p>
    <w:p w14:paraId="6D2D676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created_at TEXT NOT NULL,</w:t>
      </w:r>
    </w:p>
    <w:p w14:paraId="3D3AD8C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updated_at TEXT NOT NULL,</w:t>
      </w:r>
    </w:p>
    <w:p w14:paraId="5DCEC92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deleted_at TEXT,</w:t>
      </w:r>
    </w:p>
    <w:p w14:paraId="02C25AD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CHECK (type &lt;&gt; 2 OR to_account_id IS NOT NULL),</w:t>
      </w:r>
    </w:p>
    <w:p w14:paraId="14FF2C0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CHECK (type IN (0,1) OR category_id IS NULL)</w:t>
      </w:r>
    </w:p>
    <w:p w14:paraId="4A47C78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6C1FEE05">
      <w:pPr>
        <w:spacing w:line="396"/>
        <w:rPr>
          <w:color w:val="1a1a1a"/>
        </w:rPr>
      </w:pPr>
    </w:p>
    <w:p w14:paraId="592E6B0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INDEX idx_txn_ledger_date ON txn(ledger_id, occurred_on DESC, id DESC);</w:t>
      </w:r>
    </w:p>
    <w:p w14:paraId="21C236E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INDEX idx_txn_account_date ON txn(account_id, occurred_on);</w:t>
      </w:r>
    </w:p>
    <w:p w14:paraId="4CFB14C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INDEX idx_txn_category_date ON txn(category_id, occurred_on);</w:t>
      </w:r>
    </w:p>
    <w:p w14:paraId="521BFA4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INDEX idx_txn_alive ON txn(ledger_id, occurred_on) WHERE deleted_at IS NULL;</w:t>
      </w:r>
    </w:p>
    <w:p w14:paraId="7443DA5B">
      <w:pPr>
        <w:spacing w:line="396"/>
        <w:rPr>
          <w:color w:val="1a1a1a"/>
        </w:rPr>
      </w:pPr>
    </w:p>
    <w:p w14:paraId="35B5E07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tag (</w:t>
      </w:r>
    </w:p>
    <w:p w14:paraId="2D17028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id TEXT PRIMARY KEY,</w:t>
      </w:r>
    </w:p>
    <w:p w14:paraId="12F19F16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ledger_id TEXT NOT NULL REFERENCES ledger(id) ON DELETE CASCADE,</w:t>
      </w:r>
    </w:p>
    <w:p w14:paraId="6857E99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name TEXT NOT NULL,</w:t>
      </w:r>
    </w:p>
    <w:p w14:paraId="10794CE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color TEXT,</w:t>
      </w:r>
    </w:p>
    <w:p w14:paraId="020B3B7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UNIQUE (ledger_id, name)</w:t>
      </w:r>
    </w:p>
    <w:p w14:paraId="6CD3FA4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0AEB9AB5">
      <w:pPr>
        <w:spacing w:line="396"/>
        <w:rPr>
          <w:color w:val="1a1a1a"/>
        </w:rPr>
      </w:pPr>
    </w:p>
    <w:p w14:paraId="51DC3E1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txn_tag (</w:t>
      </w:r>
    </w:p>
    <w:p w14:paraId="46B3A1B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txn_id TEXT NOT NULL REFERENCES txn(id) ON DELETE CASCADE,</w:t>
      </w:r>
    </w:p>
    <w:p w14:paraId="6B957565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tag_id TEXT NOT NULL REFERENCES tag(id) ON DELETE CASCADE,</w:t>
      </w:r>
    </w:p>
    <w:p w14:paraId="66FB3437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PRIMARY KEY (txn_id, tag_id)</w:t>
      </w:r>
    </w:p>
    <w:p w14:paraId="41A36E58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6FDC4669">
      <w:pPr>
        <w:spacing w:line="396"/>
        <w:rPr>
          <w:color w:val="1a1a1a"/>
        </w:rPr>
      </w:pPr>
    </w:p>
    <w:p w14:paraId="088D370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budget (</w:t>
      </w:r>
    </w:p>
    <w:p w14:paraId="307E341C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id TEXT PRIMARY KEY,</w:t>
      </w:r>
    </w:p>
    <w:p w14:paraId="6BE68D81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ledger_id TEXT NOT NULL REFERENCES ledger(id) ON DELETE CASCADE,</w:t>
      </w:r>
    </w:p>
    <w:p w14:paraId="32FCC46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period TEXT NOT NULL,</w:t>
      </w:r>
    </w:p>
    <w:p w14:paraId="258CDD1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category_id TEXT REFERENCES category(id),</w:t>
      </w:r>
    </w:p>
    <w:p w14:paraId="1D6F93E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amount_minor INTEGER NOT NULL,</w:t>
      </w:r>
    </w:p>
    <w:p w14:paraId="240B217F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carry_over INTEGER NOT NULL DEFAULT 0,</w:t>
      </w:r>
    </w:p>
    <w:p w14:paraId="0ACE08F2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UNIQUE (ledger_id, period, category_id)</w:t>
      </w:r>
    </w:p>
    <w:p w14:paraId="77A7E6AA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15EF8D38">
      <w:pPr>
        <w:spacing w:line="396"/>
        <w:rPr>
          <w:color w:val="1a1a1a"/>
        </w:rPr>
      </w:pPr>
    </w:p>
    <w:p w14:paraId="097ABCB4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CREATE TABLE import_fingerprint (</w:t>
      </w:r>
    </w:p>
    <w:p w14:paraId="218DD10B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fingerprint TEXT PRIMARY KEY,</w:t>
      </w:r>
    </w:p>
    <w:p w14:paraId="546BBCAE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txn_id TEXT NOT NULL REFERENCES txn(id) ON DELETE CASCADE,</w:t>
      </w:r>
    </w:p>
    <w:p w14:paraId="46191182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 xml:space="preserve"> created_at TEXT NOT NULL</w:t>
      </w:r>
    </w:p>
    <w:p w14:paraId="23AD810D">
      <w:pPr>
        <w:spacing w:line="396"/>
        <w:rPr>
          <w:color w:val="1a1a1a"/>
        </w:rPr>
      </w:pPr>
      <w:r>
        <w:rPr>
          <w:rFonts w:ascii="宋体" w:hAnsi="宋体" w:eastAsia="宋体" w:cs="宋体"/>
          <w:color w:val="1a1a1a"/>
          <w:sz w:val="24"/>
        </w:rPr>
        <w:t>);</w:t>
      </w:r>
    </w:p>
    <w:p w14:paraId="71FE1412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67" w:name="sec-8-2"/>
      <w:r>
        <w:rPr>
          <w:rFonts w:hint="eastAsia" w:ascii="黑体" w:hAnsi="黑体" w:eastAsia="黑体" w:cs="黑体"/>
          <w:b w:val="1"/>
          <w:color w:val="15507f"/>
          <w:sz w:val="28"/>
        </w:rPr>
        <w:t>8.2 默认快捷键</w:t>
      </w:r>
      <w:bookmarkEnd w:id="67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F8268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场景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03BA7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组合键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75BE6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9585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全局唤起迷你记账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9325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Ctrl+Alt+N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386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任意应用中可用，可在设置中修改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CE61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保存并关闭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5BE8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Enter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57F8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迷你窗内生效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E881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取消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06F9B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Esc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7AED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丢弃当前草稿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0555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切换支出/收入/转账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4F93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Tab / Shift+Tab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3FAA0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焦点在类型选择区时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4EBF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金额表达式求值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9D28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输入后按 Enter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6928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支持加减小数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D46D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日期前一天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FB5E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输入 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-1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670D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依次类推，</w:t>
            </w:r>
            <w:r>
              <w:rPr>
                <w:rFonts w:ascii="Consolas" w:hAnsi="Consolas" w:eastAsia="Consolas" w:cs="Consolas"/>
                <w:color w:val="0e3a5d"/>
                <w:sz w:val="20"/>
              </w:rPr>
              <w:t>+1</w:t>
            </w:r>
            <w:r>
              <w:rPr>
                <w:rFonts w:hint="eastAsia" w:ascii="宋体" w:hAnsi="宋体" w:eastAsia="宋体" w:cs="宋体"/>
                <w:color w:val="1a1a1a"/>
                <w:sz w:val="20"/>
              </w:rPr>
              <w:t xml:space="preserve"> 为次日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D974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打开搜索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C97B1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Ctrl+F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297D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主窗口内</w:t>
            </w:r>
          </w:p>
        </w:tc>
      </w:tr>
      <w:tr>
        <w:trPr/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B0F29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下钻查看分类明细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906BD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Enter</w:t>
            </w:r>
          </w:p>
        </w:tc>
        <w:tc>
          <w:tcPr>
            <w:tcW w:w="2768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9C901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报表图表选中项</w:t>
            </w:r>
          </w:p>
        </w:tc>
      </w:tr>
    </w:tbl>
    <w:p w14:paraId="7950216B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68" w:name="sec-8-3"/>
      <w:r>
        <w:rPr>
          <w:rFonts w:hint="eastAsia" w:ascii="黑体" w:hAnsi="黑体" w:eastAsia="黑体" w:cs="黑体"/>
          <w:b w:val="1"/>
          <w:color w:val="15507f"/>
          <w:sz w:val="28"/>
        </w:rPr>
        <w:t>8.3 风险登记册</w:t>
      </w:r>
      <w:bookmarkEnd w:id="68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774AD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编号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792AC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风险描述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0606A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概率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14D250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影响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shd w:val="clear" w:fill="f1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6CBC9">
            <w:pPr>
              <w:jc w:val="left"/>
              <w:rPr>
                <w:b w:val="1"/>
                <w:bCs w:val="1"/>
                <w:color w:val="0e3a5d"/>
              </w:rPr>
            </w:pPr>
            <w:r>
              <w:rPr>
                <w:rFonts w:hint="eastAsia" w:ascii="黑体" w:hAnsi="黑体" w:eastAsia="黑体" w:cs="黑体"/>
                <w:b w:val="1"/>
                <w:color w:val="0e3a5d"/>
                <w:sz w:val="20"/>
              </w:rPr>
              <w:t>应对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90BC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R1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2756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Rust 上手期超出预期，拖慢 M1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BC263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BD1AA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0FF2B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领域层逻辑限定在纯数据变换，避免复杂泛型；关键模块结对评审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677E5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R2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CBED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导入适配器无法覆盖用户实际账单格式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9744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DAE7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03AE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提供通用字段映射向导作为兜底；建立样本库持续扩充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2331E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R3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5A38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加密后崩溃诊断困难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DFC0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94B94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F38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提供明文快照导出；日志与数据库分离存储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731F4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R4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92CB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WebView2 版本差异导致界面异常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2E66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C2385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低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2E888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声明最低运行时版本，关键样式降级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01100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R5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6CDA5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报表口径与用户预期不符引发信任问题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1F7227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中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7A16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243B6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报表页明确标注口径说明；提供"无数据日补零"等细节校验</w:t>
            </w:r>
          </w:p>
        </w:tc>
      </w:tr>
      <w:tr>
        <w:trPr/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48866">
            <w:pPr>
              <w:jc w:val="left"/>
              <w:rPr>
                <w:color w:val="1a1a1a"/>
              </w:rPr>
            </w:pPr>
            <w:r>
              <w:rPr>
                <w:rFonts w:ascii="宋体" w:hAnsi="宋体" w:eastAsia="宋体" w:cs="宋体"/>
                <w:color w:val="1a1a1a"/>
                <w:sz w:val="20"/>
              </w:rPr>
              <w:t>R6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BF22C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范围蔓延至同步与多端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BAC7F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0190D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高</w:t>
            </w:r>
          </w:p>
        </w:tc>
        <w:tc>
          <w:tcPr>
            <w:tcW w:w="1661" w:type="dxa"/>
            <w:tcBorders>
              <w:top w:val="single" w:color="c9d6e3" w:sz="6"/>
              <w:left w:val="single" w:color="c9d6e3" w:sz="6"/>
              <w:bottom w:val="single" w:color="c9d6e3" w:sz="6"/>
              <w:right w:val="single" w:color="c9d6e3" w:sz="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71EAE">
            <w:pPr>
              <w:jc w:val="left"/>
              <w:rPr>
                <w:color w:val="1a1a1a"/>
              </w:rPr>
            </w:pPr>
            <w:r>
              <w:rPr>
                <w:rFonts w:hint="eastAsia" w:ascii="宋体" w:hAnsi="宋体" w:eastAsia="宋体" w:cs="宋体"/>
                <w:color w:val="1a1a1a"/>
                <w:sz w:val="20"/>
              </w:rPr>
              <w:t>以本文 2.4 节为范围基线，新增需求须走变更评审</w:t>
            </w:r>
          </w:p>
        </w:tc>
      </w:tr>
    </w:tbl>
    <w:p w14:paraId="3737BFF3">
      <w:pPr>
        <w:pStyle w:val="000006"/>
        <w:keepNext w:val="1"/>
        <w:keepLines w:val="1"/>
        <w:spacing w:before="216" w:beforeAutospacing="1" w:after="132" w:afterAutospacing="1" w:line="324"/>
        <w:outlineLvl w:val="1"/>
        <w:rPr>
          <w:color w:val="15507f"/>
          <w:sz w:val="32"/>
          <w:szCs w:val="32"/>
        </w:rPr>
      </w:pPr>
      <w:bookmarkStart w:id="69" w:name="sec-8-4"/>
      <w:r>
        <w:rPr>
          <w:rFonts w:hint="eastAsia" w:ascii="黑体" w:hAnsi="黑体" w:eastAsia="黑体" w:cs="黑体"/>
          <w:b w:val="1"/>
          <w:color w:val="15507f"/>
          <w:sz w:val="28"/>
        </w:rPr>
        <w:t>8.4 参考资料</w:t>
      </w:r>
      <w:bookmarkEnd w:id="69"/>
    </w:p>
    <w:p w14:paraId="09C2CB03">
      <w:pPr>
        <w:numPr>
          <w:ilvl w:val="0"/>
          <w:numId w:val="1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钱迹官网与 Microsoft Store 应用页：功能列表、多账本、周期记账、导入导出能力说明。</w:t>
      </w:r>
    </w:p>
    <w:p w14:paraId="7294B14F">
      <w:pPr>
        <w:numPr>
          <w:ilvl w:val="0"/>
          <w:numId w:val="1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随手记、鲨鱼记账官方功能说明与第三方横向评测：家庭共享、自动分类、报表权限差异。</w:t>
      </w:r>
    </w:p>
    <w:p w14:paraId="2CB49F3A">
      <w:pPr>
        <w:numPr>
          <w:ilvl w:val="0"/>
          <w:numId w:val="1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GnuCash 官方文档：复式记账模型与账务核对流程。</w:t>
      </w:r>
    </w:p>
    <w:p w14:paraId="7BD0069B">
      <w:pPr>
        <w:numPr>
          <w:ilvl w:val="0"/>
          <w:numId w:val="1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MoneyWiz 官方说明：跨平台一致性与银行直连能力边界。</w:t>
      </w:r>
    </w:p>
    <w:p w14:paraId="4E300B2F">
      <w:pPr>
        <w:numPr>
          <w:ilvl w:val="0"/>
          <w:numId w:val="1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SQLite 官方文档：WAL 模式、</w:t>
      </w:r>
      <w:r>
        <w:rPr>
          <w:rFonts w:ascii="Consolas" w:hAnsi="Consolas" w:eastAsia="Consolas" w:cs="Consolas"/>
          <w:color w:val="0e3a5d"/>
          <w:sz w:val="20"/>
        </w:rPr>
        <w:t>VACUUM INTO</w:t>
      </w:r>
      <w:r>
        <w:rPr>
          <w:rFonts w:hint="eastAsia" w:ascii="宋体" w:hAnsi="宋体" w:eastAsia="宋体" w:cs="宋体"/>
          <w:color w:val="1a1a1a"/>
          <w:sz w:val="24"/>
        </w:rPr>
        <w:t>、部分索引与查询优化。</w:t>
      </w:r>
    </w:p>
    <w:p w14:paraId="42B9503F">
      <w:pPr>
        <w:numPr>
          <w:ilvl w:val="0"/>
          <w:numId w:val="1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Tauri 2 官方文档：命令机制、权限模型、插件清单与打包配置。</w:t>
      </w:r>
    </w:p>
    <w:p w14:paraId="782F2F49">
      <w:pPr>
        <w:numPr>
          <w:ilvl w:val="0"/>
          <w:numId w:val="1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SQLCipher 官方文档：页级加密参数与密钥派生建议。</w:t>
      </w:r>
    </w:p>
    <w:p w14:paraId="75DCFE9B">
      <w:pPr>
        <w:numPr>
          <w:ilvl w:val="0"/>
          <w:numId w:val="12"/>
        </w:numPr>
        <w:pBdr>
          <w:left w:space="24"/>
        </w:pBdr>
        <w:spacing w:after="132" w:line="396"/>
        <w:jc w:val="both"/>
        <w:rPr>
          <w:color w:val="1a1a1a"/>
        </w:rPr>
      </w:pPr>
      <w:r>
        <w:rPr>
          <w:rFonts w:hint="eastAsia" w:ascii="宋体" w:hAnsi="宋体" w:eastAsia="宋体" w:cs="宋体"/>
          <w:color w:val="1a1a1a"/>
          <w:sz w:val="24"/>
        </w:rPr>
        <w:t>OWASP 密码存储备忘：Argon2id 参数选择依据。</w:t>
      </w:r>
    </w:p>
    <w:p w14:paraId="3ABF30C6">
      <w:pPr>
        <w:spacing w:after="132" w:line="396"/>
        <w:ind w:firstLine="480"/>
        <w:jc w:val="both"/>
        <w:rPr>
          <w:color w:val="1a1a1a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color w:val="1a1a1a"/>
          <w:sz w:val="24"/>
        </w:rPr>
        <w:t>文档结束。本文为 V1.0 开发基线，任何对其范围、架构或选型的变更，均应通过变更评审并同步修订 1.3 节的版本记录。</w:t>
      </w:r>
    </w:p>
    <w:p w14:paraId="246634C5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F3DA9EE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num w:numId="6">
    <w:abstractNumId w:val="1"/>
  </w:num>
  <w:num w:numId="2">
    <w:abstractNumId w:val="2"/>
  </w:num>
  <w:num w:numId="9">
    <w:abstractNumId w:val="8"/>
  </w:num>
  <w:num w:numId="7">
    <w:abstractNumId w:val="4"/>
  </w:num>
  <w:num w:numId="4">
    <w:abstractNumId w:val="11"/>
  </w:num>
  <w:num w:numId="3">
    <w:abstractNumId w:val="3"/>
  </w:num>
  <w:num w:numId="8">
    <w:abstractNumId w:val="6"/>
  </w:num>
  <w:num w:numId="1">
    <w:abstractNumId w:val="0"/>
  </w:num>
  <w:num w:numId="11">
    <w:abstractNumId w:val="10"/>
  </w:num>
  <w:num w:numId="10">
    <w:abstractNumId w:val="5"/>
  </w:num>
  <w:num w:numId="12">
    <w:abstractNumId w:val="9"/>
  </w:num>
  <w:num w:numId="5">
    <w:abstractNumId w:val="7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5" w:semiHidden="1" w:unhideWhenUsed="1"/>
    <w:lsdException w:name="Closing" w:semiHidden="1" w:unhideWhenUsed="1"/>
    <w:lsdException w:name="Body Text 2" w:semiHidden="1" w:unhideWhenUsed="1"/>
    <w:lsdException w:name="footnote reference" w:semiHidden="1" w:unhideWhenUsed="1"/>
    <w:lsdException w:name="Default Paragraph Font" w:uiPriority="1" w:semiHidden="1" w:unhideWhenUsed="1"/>
    <w:lsdException w:name="index heading" w:semiHidden="1" w:unhideWhenUsed="1"/>
    <w:lsdException w:name="Title" w:uiPriority="10" w:qFormat="1"/>
    <w:lsdException w:name="List Continue 2" w:semiHidden="1" w:unhideWhenUsed="1"/>
    <w:lsdException w:name="List Continue" w:semiHidden="1" w:unhideWhenUsed="1"/>
    <w:lsdException w:name="List Continue 4" w:semiHidden="1" w:unhideWhenUsed="1"/>
    <w:lsdException w:name="List 3" w:semiHidden="1" w:unhideWhenUsed="1"/>
    <w:lsdException w:name="toc 2" w:uiPriority="39" w:semiHidden="1" w:unhideWhenUsed="1"/>
    <w:lsdException w:name="Note Heading" w:semiHidden="1" w:unhideWhenUsed="1"/>
    <w:lsdException w:name="Body Text First Indent 2" w:semiHidden="1" w:unhideWhenUsed="1"/>
    <w:lsdException w:name="toc 9" w:uiPriority="39" w:semiHidden="1" w:unhideWhenUsed="1"/>
    <w:lsdException w:name="toc 4" w:uiPriority="39" w:semiHidden="1" w:unhideWhenUsed="1"/>
    <w:lsdException w:name="endnote text" w:semiHidden="1" w:unhideWhenUsed="1"/>
    <w:lsdException w:name="Body Text First Indent" w:semiHidden="1" w:unhideWhenUsed="1"/>
    <w:lsdException w:name="List 4" w:semiHidden="1" w:unhideWhenUsed="1"/>
    <w:lsdException w:name="envelope address" w:semiHidden="1" w:unhideWhenUsed="1"/>
    <w:lsdException w:name="annotation reference" w:semiHidden="1" w:unhideWhenUsed="1"/>
    <w:lsdException w:name="List Number" w:semiHidden="1" w:unhideWhenUsed="1"/>
    <w:lsdException w:name="Message Header" w:semiHidden="1" w:unhideWhenUsed="1"/>
    <w:lsdException w:name="endnote reference" w:semiHidden="1" w:unhideWhenUsed="1"/>
    <w:lsdException w:name="index 7" w:semiHidden="1" w:unhideWhenUsed="1"/>
    <w:lsdException w:name="toa heading" w:semiHidden="1" w:unhideWhenUsed="1"/>
    <w:lsdException w:name="Date" w:semiHidden="1" w:unhideWhenUsed="1"/>
    <w:lsdException w:name="Hyperlink" w:semiHidden="1" w:unhideWhenUsed="1"/>
    <w:lsdException w:name="Signature" w:semiHidden="1" w:unhideWhenUsed="1"/>
    <w:lsdException w:name="Block Text" w:semiHidden="1" w:unhideWhenUsed="1"/>
    <w:lsdException w:name="List Bullet 4" w:semiHidden="1" w:unhideWhenUsed="1"/>
    <w:lsdException w:name="Body Text Indent 2" w:semiHidden="1" w:unhideWhenUsed="1"/>
    <w:lsdException w:name="Strong" w:uiPriority="22" w:qFormat="1"/>
    <w:lsdException w:name="caption" w:uiPriority="35" w:semiHidden="1" w:unhideWhenUsed="1" w:qFormat="1"/>
    <w:lsdException w:name="page number" w:semiHidden="1" w:unhideWhenUsed="1"/>
    <w:lsdException w:name="toc 6" w:uiPriority="39" w:semiHidden="1" w:unhideWhenUsed="1"/>
    <w:lsdException w:name="toc 1" w:uiPriority="39" w:semiHidden="1" w:unhideWhenUsed="1"/>
    <w:lsdException w:name="List Bullet 2" w:semiHidden="1" w:unhideWhenUsed="1"/>
    <w:lsdException w:name="table of figures" w:semiHidden="1" w:unhideWhenUsed="1"/>
    <w:lsdException w:name="List Number 4" w:semiHidden="1" w:unhideWhenUsed="1"/>
    <w:lsdException w:name="table of authorities" w:semiHidden="1" w:unhideWhenUsed="1"/>
    <w:lsdException w:name="Normal Indent" w:semiHidden="1" w:unhideWhenUsed="1"/>
    <w:lsdException w:name="List Bullet 5" w:semiHidden="1" w:unhideWhenUsed="1"/>
    <w:lsdException w:name="toc 8" w:uiPriority="39" w:semiHidden="1" w:unhideWhenUsed="1"/>
    <w:lsdException w:name="index 3" w:semiHidden="1" w:unhideWhenUsed="1"/>
    <w:lsdException w:name="toc 3" w:uiPriority="39" w:semiHidden="1" w:unhideWhenUsed="1"/>
    <w:lsdException w:name="List Number 3" w:semiHidden="1" w:unhideWhenUsed="1"/>
    <w:lsdException w:name="toc 5" w:uiPriority="39" w:semiHidden="1" w:unhideWhenUsed="1"/>
    <w:lsdException w:name="Body Text Indent 3" w:semiHidden="1" w:unhideWhenUsed="1"/>
    <w:lsdException w:name="List" w:semiHidden="1" w:unhideWhenUsed="1"/>
    <w:lsdException w:name="toc 7" w:uiPriority="39" w:semiHidden="1" w:unhideWhenUsed="1"/>
    <w:lsdException w:name="footer" w:semiHidden="1" w:unhideWhenUsed="1"/>
    <w:lsdException w:name="index 1" w:semiHidden="1" w:unhideWhenUsed="1"/>
    <w:lsdException w:name="heading 9" w:uiPriority="9" w:semiHidden="1" w:unhideWhenUsed="1" w:qFormat="1"/>
    <w:lsdException w:name="List Number 5" w:semiHidden="1" w:unhideWhenUsed="1"/>
    <w:lsdException w:name="annotation text" w:semiHidden="1" w:unhideWhenUsed="1"/>
    <w:lsdException w:name="List Bullet" w:semiHidden="1" w:unhideWhenUsed="1"/>
    <w:lsdException w:name="Subtitle" w:uiPriority="11" w:qFormat="1"/>
    <w:lsdException w:name="Salutation" w:semiHidden="1" w:unhideWhenUsed="1"/>
    <w:lsdException w:name="heading 6" w:uiPriority="9" w:semiHidden="1" w:unhideWhenUsed="1" w:qFormat="1"/>
    <w:lsdException w:name="heading 8" w:uiPriority="9" w:semiHidden="1" w:unhideWhenUsed="1" w:qFormat="1"/>
    <w:lsdException w:name="index 8" w:semiHidden="1" w:unhideWhenUsed="1"/>
    <w:lsdException w:name="Body Text" w:semiHidden="1" w:unhideWhenUsed="1"/>
    <w:lsdException w:name="Body Text Indent" w:semiHidden="1" w:unhideWhenUsed="1"/>
    <w:lsdException w:name="index 4" w:semiHidden="1" w:unhideWhenUsed="1"/>
    <w:lsdException w:name="index 6" w:semiHidden="1" w:unhideWhenUsed="1"/>
    <w:lsdException w:name="heading 2" w:uiPriority="9" w:semiHidden="1" w:unhideWhenUsed="1" w:qFormat="1"/>
    <w:lsdException w:name="index 2" w:semiHidden="1" w:unhideWhenUsed="1"/>
    <w:lsdException w:name="Body Text 3" w:semiHidden="1" w:unhideWhenUsed="1"/>
    <w:lsdException w:name="index 9" w:semiHidden="1" w:unhideWhenUsed="1"/>
    <w:lsdException w:name="heading 4" w:uiPriority="9" w:semiHidden="1" w:unhideWhenUsed="1" w:qFormat="1"/>
    <w:lsdException w:name="envelope return" w:semiHidden="1" w:unhideWhenUsed="1"/>
    <w:lsdException w:name="List Bullet 3" w:semiHidden="1" w:unhideWhenUsed="1"/>
    <w:lsdException w:name="List Continue 3" w:semiHidden="1" w:unhideWhenUsed="1"/>
    <w:lsdException w:name="heading 1" w:uiPriority="9" w:qFormat="1"/>
    <w:lsdException w:name="macro" w:semiHidden="1" w:unhideWhenUsed="1"/>
    <w:lsdException w:name="Normal" w:uiPriority="0" w:qFormat="1"/>
    <w:lsdException w:name="List 2" w:semiHidden="1" w:unhideWhenUsed="1"/>
    <w:lsdException w:name="List 5" w:semiHidden="1" w:unhideWhenUsed="1"/>
    <w:lsdException w:name="heading 3" w:uiPriority="9" w:semiHidden="1" w:unhideWhenUsed="1" w:qFormat="1"/>
    <w:lsdException w:name="FollowedHyperlink" w:semiHidden="1" w:unhideWhenUsed="1"/>
    <w:lsdException w:name="List Continue 5" w:semiHidden="1" w:unhideWhenUsed="1"/>
    <w:lsdException w:name="header" w:semiHidden="1" w:unhideWhenUsed="1"/>
    <w:lsdException w:name="List Number 2" w:semiHidden="1" w:unhideWhenUsed="1"/>
    <w:lsdException w:name="heading 5" w:uiPriority="9" w:semiHidden="1" w:unhideWhenUsed="1" w:qFormat="1"/>
    <w:lsdException w:name="heading 7" w:uiPriority="9" w:semiHidden="1" w:unhideWhenUsed="1" w:qFormat="1"/>
    <w:lsdException w:name="line number" w:semiHidden="1" w:unhideWhenUsed="1"/>
    <w:lsdException w:name="footnote text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12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2026-10-18T12:04:51Z</dcterms:created>
  <dcterms:modified xsi:type="dcterms:W3CDTF">2026-10-18T12:04:51Z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"01a14d2ca9fa76e6a2cde74408d93b2a", "ReservedCode1": "", "ContentPropagator": "00119111010856365494821B355", "PropagateID": "01a14d2ca9fa76e6a2cde74408d93b2a", "ReservedCode2": ""}}</vt:lpwstr>
  </property>
</Properties>
</file>