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jpg" ContentType="image/jpeg"/>
  <Override PartName="/word/media/rId33.jpg" ContentType="image/jpeg"/>
  <Override PartName="/word/media/rId25.jpg" ContentType="image/jpeg"/>
  <Override PartName="/word/media/rId41.png" ContentType="image/png"/>
  <Override PartName="/word/media/rId35.jpg" ContentType="image/jpeg"/>
  <Override PartName="/word/media/rId82.png" ContentType="image/png"/>
  <Override PartName="/word/media/rId84.png" ContentType="image/png"/>
  <Override PartName="/word/media/rId76.png" ContentType="image/png"/>
  <Override PartName="/word/media/rId67.png" ContentType="image/png"/>
  <Override PartName="/word/media/rId69.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 Thus cryptography has an old though arguably</w:t>
      </w:r>
      <w:r>
        <w:t xml:space="preserve"> </w:t>
      </w:r>
      <w:r>
        <w:rPr>
          <w:i/>
        </w:rPr>
        <w:t xml:space="preserve">undistinguished</w:t>
      </w:r>
      <w:r>
        <w:t xml:space="preserve"> </w:t>
      </w:r>
      <w:r>
        <w:t xml:space="preserve">history. For a long time cryptography shared similar features with Alchemy as a domain in which many otherwise smart people would be drawn into making fatal mistakes. Indeed, the history of cryptography is littered with the figurative corpses of cryptosystems believed secure and then broken, and sometimes with the actual corpses of those who have mistakenly placed their faith in these cryptosystems.</w:t>
      </w:r>
      <w:r>
        <w:t xml:space="preserve"> </w:t>
      </w:r>
      <w:r>
        <w:t xml:space="preserve">The definitive text on the history of cryptography is David Kahn’s</w:t>
      </w:r>
      <w:r>
        <w:t xml:space="preserve"> </w:t>
      </w:r>
      <w:r>
        <w:t xml:space="preserve">“</w:t>
      </w:r>
      <w:r>
        <w:t xml:space="preserve">The Codebreakers</w:t>
      </w:r>
      <w:r>
        <w:t xml:space="preserve">”</w:t>
      </w:r>
      <w:r>
        <w:t xml:space="preserve">, 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p>
    <w:p>
      <w:pPr>
        <w:pStyle w:val="BodyText"/>
      </w:pPr>
      <w:r>
        <w:t xml:space="preserve">We recount below just a few stories to get a feel for this field.</w:t>
      </w:r>
      <w:r>
        <w:t xml:space="preserve"> </w:t>
      </w:r>
      <w:r>
        <w:t xml:space="preserve">But before we do so, we should introduce the</w:t>
      </w:r>
      <w:r>
        <w:t xml:space="preserve"> </w:t>
      </w:r>
      <w:r>
        <w:rPr>
          <w:b/>
        </w:rPr>
        <w:t xml:space="preserve">cast of characters</w:t>
      </w:r>
      <w:r>
        <w:t xml:space="preserve">.</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 in a castle by her cousin the queen of England), they cannot communicate directly and need to send their message in writing. 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Heading2"/>
      </w:pPr>
      <w:bookmarkStart w:id="24" w:name="some-history"/>
      <w:r>
        <w:t xml:space="preserve">Some history</w:t>
      </w:r>
      <w:bookmarkEnd w:id="24"/>
    </w:p>
    <w:p>
      <w:pPr>
        <w:pStyle w:val="FirstParagraph"/>
      </w:pPr>
      <w:r>
        <w:t xml:space="preserve">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6"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7">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7">
        <w:r>
          <w:rPr>
            <w:rStyle w:val="Hyperlink"/>
          </w:rPr>
          <w:t xml:space="preserve">XKCDnavajofig</w:t>
        </w:r>
      </w:hyperlink>
      <w:r>
        <w:t xml:space="preserve">.)</w:t>
      </w:r>
    </w:p>
    <w:p>
      <w:pPr>
        <w:pStyle w:val="CaptionedFigure"/>
      </w:pPr>
      <w:bookmarkStart w:id="29"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8"/>
                    <a:stretch>
                      <a:fillRect/>
                    </a:stretch>
                  </pic:blipFill>
                  <pic:spPr bwMode="auto">
                    <a:xfrm>
                      <a:off x="0" y="0"/>
                      <a:ext cx="763272" cy="606038"/>
                    </a:xfrm>
                    <a:prstGeom prst="rect">
                      <a:avLst/>
                    </a:prstGeom>
                    <a:noFill/>
                    <a:ln w="9525">
                      <a:noFill/>
                      <a:headEnd/>
                      <a:tailEnd/>
                    </a:ln>
                  </pic:spPr>
                </pic:pic>
              </a:graphicData>
            </a:graphic>
          </wp:inline>
        </w:drawing>
      </w:r>
      <w:bookmarkEnd w:id="29"/>
    </w:p>
    <w:p>
      <w:pPr>
        <w:pStyle w:val="ImageCaption"/>
      </w:pPr>
      <w:r>
        <w:t xml:space="preserve">XKCD’s take on the added security of using uncommon symbols</w:t>
      </w:r>
    </w:p>
    <w:p>
      <w:pPr>
        <w:pStyle w:val="BodyText"/>
      </w:pPr>
      <w:r>
        <w:t xml:space="preserve">The</w:t>
      </w:r>
      <w:r>
        <w:t xml:space="preserve"> </w:t>
      </w:r>
      <w:hyperlink r:id="rId30">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2"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1"/>
                    <a:stretch>
                      <a:fillRect/>
                    </a:stretch>
                  </pic:blipFill>
                  <pic:spPr bwMode="auto">
                    <a:xfrm>
                      <a:off x="0" y="0"/>
                      <a:ext cx="3027680" cy="2032000"/>
                    </a:xfrm>
                    <a:prstGeom prst="rect">
                      <a:avLst/>
                    </a:prstGeom>
                    <a:noFill/>
                    <a:ln w="9525">
                      <a:noFill/>
                      <a:headEnd/>
                      <a:tailEnd/>
                    </a:ln>
                  </pic:spPr>
                </pic:pic>
              </a:graphicData>
            </a:graphic>
          </wp:inline>
        </w:drawing>
      </w:r>
      <w:bookmarkEnd w:id="32"/>
    </w:p>
    <w:p>
      <w:pPr>
        <w:pStyle w:val="ImageCaption"/>
      </w:pPr>
      <w:r>
        <w:t xml:space="preserve">Confederate Cipher Disk for implementing the Vigenère cipher</w:t>
      </w:r>
    </w:p>
    <w:p>
      <w:pPr>
        <w:pStyle w:val="CaptionedFigure"/>
      </w:pPr>
      <w:bookmarkStart w:id="34"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bookmarkEnd w:id="34"/>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7">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6"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5"/>
                    <a:stretch>
                      <a:fillRect/>
                    </a:stretch>
                  </pic:blipFill>
                  <pic:spPr bwMode="auto">
                    <a:xfrm>
                      <a:off x="0" y="0"/>
                      <a:ext cx="1950720" cy="1097280"/>
                    </a:xfrm>
                    <a:prstGeom prst="rect">
                      <a:avLst/>
                    </a:prstGeom>
                    <a:noFill/>
                    <a:ln w="9525">
                      <a:noFill/>
                      <a:headEnd/>
                      <a:tailEnd/>
                    </a:ln>
                  </pic:spPr>
                </pic:pic>
              </a:graphicData>
            </a:graphic>
          </wp:inline>
        </w:drawing>
      </w:r>
      <w:bookmarkEnd w:id="36"/>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7"/>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8">
        <w:r>
          <w:rPr>
            <w:rStyle w:val="Hyperlink"/>
          </w:rPr>
          <w:t xml:space="preserve">this interview with Sir Harry Hinsley</w:t>
        </w:r>
      </w:hyperlink>
      <w:r>
        <w:t xml:space="preserve">.</w:t>
      </w:r>
    </w:p>
    <w:p>
      <w:pPr>
        <w:pStyle w:val="Heading2"/>
      </w:pPr>
      <w:bookmarkStart w:id="39" w:name="defining-encryptions"/>
      <w:r>
        <w:t xml:space="preserve">Defining encryptions</w:t>
      </w:r>
      <w:bookmarkEnd w:id="39"/>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 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 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 scheme as composed of two functions. The</w:t>
      </w:r>
      <w:r>
        <w:t xml:space="preserve"> </w:t>
      </w:r>
      <w:r>
        <w:rPr>
          <w:i/>
        </w:rPr>
        <w:t xml:space="preserve">encryption function</w:t>
      </w:r>
      <w:r>
        <w:t xml:space="preserve"> </w:t>
      </w:r>
      <m:oMath>
        <m:r>
          <m:t>E</m:t>
        </m:r>
      </m:oMath>
      <w:r>
        <w:t xml:space="preserve"> </w:t>
      </w:r>
      <w:r>
        <w:t xml:space="preserve">maps a 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w:t>
      </w:r>
      <w:r>
        <w:t xml:space="preserve"> </w:t>
      </w:r>
      <w:r>
        <w:t xml:space="preserve">The</w:t>
      </w:r>
      <w:r>
        <w:t xml:space="preserve"> </w:t>
      </w:r>
      <w:r>
        <w:rPr>
          <w:i/>
        </w:rPr>
        <w:t xml:space="preserve">decryption function</w:t>
      </w:r>
      <w:r>
        <w:t xml:space="preserve"> </w:t>
      </w:r>
      <m:oMath>
        <m:r>
          <m:t>D</m:t>
        </m:r>
      </m:oMath>
      <w:r>
        <w:t xml:space="preserve"> </w:t>
      </w:r>
      <w:r>
        <w:t xml:space="preserve">does the reverse operation, 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 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w:t>
      </w:r>
      <w:r>
        <w:t xml:space="preserve"> </w:t>
      </w:r>
      <w:r>
        <w:t xml:space="preserve">The basic equation is that if we use the same key for encryption and decryption, then we should get the same message back.</w:t>
      </w:r>
      <w:r>
        <w:t xml:space="preserve"> </w:t>
      </w:r>
      <w:r>
        <w:t xml:space="preserve">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40"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40"/>
    <w:p>
      <w:pPr>
        <w:pStyle w:val="FirstParagraph"/>
      </w:pPr>
      <w:r>
        <w:t xml:space="preserve">We will often write the first input (i.e., the key) to the encryption and decryption as a subscript and so can write</w:t>
      </w:r>
      <w:r>
        <w:t xml:space="preserve"> </w:t>
      </w:r>
      <w:hyperlink r:id="rId27">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2"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41"/>
                    <a:stretch>
                      <a:fillRect/>
                    </a:stretch>
                  </pic:blipFill>
                  <pic:spPr bwMode="auto">
                    <a:xfrm>
                      <a:off x="0" y="0"/>
                      <a:ext cx="5334000" cy="2299771"/>
                    </a:xfrm>
                    <a:prstGeom prst="rect">
                      <a:avLst/>
                    </a:prstGeom>
                    <a:noFill/>
                    <a:ln w="9525">
                      <a:noFill/>
                      <a:headEnd/>
                      <a:tailEnd/>
                    </a:ln>
                  </pic:spPr>
                </pic:pic>
              </a:graphicData>
            </a:graphic>
          </wp:inline>
        </w:drawing>
      </w:r>
      <w:bookmarkEnd w:id="42"/>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p>
      <w:pPr>
        <w:pStyle w:val="BodyText"/>
      </w:pPr>
      <w:r>
        <w:t xml:space="preserve">The validity condition implies that for any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 to one (can you see why?) and hence the ciphertext length is always at least the plaintext length. Thus we typically focus on the plaintext length as the quantity to 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bookmarkStart w:id="43" w:name="notation"/>
    <w:p>
      <w:pPr>
        <w:pStyle w:val="Body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p>
    <w:p>
      <w:pPr>
        <w:pStyle w:val="BodyText"/>
      </w:pPr>
      <w:r>
        <w:t xml:space="preserve">The number</w:t>
      </w:r>
      <w:r>
        <w:t xml:space="preserve"> </w:t>
      </w:r>
      <m:oMath>
        <m:r>
          <m:t>n</m:t>
        </m:r>
      </m:oMath>
      <w:r>
        <w:t xml:space="preserve"> </w:t>
      </w:r>
      <w:r>
        <w:t xml:space="preserve">will often denote the length of our secret key.</w:t>
      </w:r>
      <w:r>
        <w:t xml:space="preserve"> </w:t>
      </w:r>
      <w:r>
        <w:t xml:space="preserve">The length of the key (or another closely related number) is often known as the</w:t>
      </w:r>
      <w:r>
        <w:t xml:space="preserve"> </w:t>
      </w:r>
      <w:r>
        <w:rPr>
          <w:i/>
        </w:rPr>
        <w:t xml:space="preserve">security parameter</w:t>
      </w:r>
      <w:r>
        <w:t xml:space="preserve"> </w:t>
      </w:r>
      <w:r>
        <w:t xml:space="preserve">in the literature. Katz-Lindell also uses</w:t>
      </w:r>
      <w:r>
        <w:t xml:space="preserve"> </w:t>
      </w:r>
      <m:oMath>
        <m:r>
          <m:t>n</m:t>
        </m:r>
      </m:oMath>
      <w:r>
        <w:t xml:space="preserve"> </w:t>
      </w:r>
      <w:r>
        <w:t xml:space="preserve">to denote this parameter, while Boneh-Shoup and Rosulek use</w:t>
      </w:r>
      <w:r>
        <w:t xml:space="preserve"> </w:t>
      </w:r>
      <m:oMath>
        <m:r>
          <m:t>λ</m:t>
        </m:r>
      </m:oMath>
      <w:r>
        <w:t xml:space="preserve"> </w:t>
      </w:r>
      <w:r>
        <w:t xml:space="preserve">for it. (Some texts also use the greek lettter</w:t>
      </w:r>
      <w:r>
        <w:t xml:space="preserve"> </w:t>
      </w:r>
      <m:oMath>
        <m:r>
          <m:t>κ</m:t>
        </m:r>
      </m:oMath>
      <w:r>
        <w:t xml:space="preserve"> </w:t>
      </w:r>
      <w:r>
        <w:t xml:space="preserve">for the same parameter.)</w:t>
      </w:r>
      <w:r>
        <w:t xml:space="preserve"> </w:t>
      </w:r>
      <w:r>
        <w:t xml:space="preserve">We chose to denote the security parameter by</w:t>
      </w:r>
      <w:r>
        <w:t xml:space="preserve"> </w:t>
      </w:r>
      <m:oMath>
        <m:r>
          <m:t>n</m:t>
        </m:r>
      </m:oMath>
      <w:r>
        <w:t xml:space="preserve"> </w:t>
      </w:r>
      <w:r>
        <w:t xml:space="preserve">as to correspond with the standard algorithmic notation for input length (as in</w:t>
      </w:r>
      <w:r>
        <w:t xml:space="preserve"> </w:t>
      </w:r>
      <m:oMath>
        <m:r>
          <m:t>O</m:t>
        </m:r>
        <m:r>
          <m:t>(</m:t>
        </m:r>
        <m:r>
          <m:t>n</m:t>
        </m:r>
        <m:r>
          <m:t>)</m:t>
        </m:r>
      </m:oMath>
      <w:r>
        <w:t xml:space="preserve"> </w:t>
      </w:r>
      <w:r>
        <w:t xml:space="preserve">or</w:t>
      </w:r>
      <w:r>
        <w:t xml:space="preserve"> </w:t>
      </w:r>
      <m:oMath>
        <m:r>
          <m:t>O</m:t>
        </m:r>
        <m:r>
          <m:t>(</m:t>
        </m:r>
        <m:sSup>
          <m:e>
            <m:r>
              <m:t>n</m:t>
            </m:r>
          </m:e>
          <m:sup>
            <m:r>
              <m:t>2</m:t>
            </m:r>
          </m:sup>
        </m:sSup>
        <m:r>
          <m:t>)</m:t>
        </m:r>
      </m:oMath>
      <w:r>
        <w:t xml:space="preserve"> </w:t>
      </w:r>
      <w:r>
        <w:t xml:space="preserve">time algorithms).</w:t>
      </w:r>
    </w:p>
    <w:p>
      <w:pPr>
        <w:pStyle w:val="BodyText"/>
      </w:pPr>
      <w:r>
        <w:t xml:space="preserve">We often use</w:t>
      </w:r>
      <w:r>
        <w:t xml:space="preserve"> </w:t>
      </w:r>
      <m:oMath>
        <m:r>
          <m:t>ℓ</m:t>
        </m:r>
      </m:oMath>
      <w:r>
        <w:t xml:space="preserve"> </w:t>
      </w:r>
      <w:r>
        <w:t xml:space="preserve">to denote the 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 appropriately padded.</w:t>
      </w:r>
    </w:p>
    <w:p>
      <w:pPr>
        <w:pStyle w:val="BodyText"/>
      </w:pPr>
      <w:r>
        <w:t xml:space="preserve">We will use</w:t>
      </w:r>
      <w:r>
        <w:t xml:space="preserve"> </w:t>
      </w:r>
      <m:oMath>
        <m:r>
          <m:t>k</m:t>
        </m:r>
      </m:oMath>
      <w:r>
        <w:t xml:space="preserve"> </w:t>
      </w:r>
      <w:r>
        <w:t xml:space="preserve">to denote the secret key,</w:t>
      </w:r>
      <w:r>
        <w:t xml:space="preserve"> </w:t>
      </w:r>
      <m:oMath>
        <m:r>
          <m:t>m</m:t>
        </m:r>
      </m:oMath>
      <w:r>
        <w:t xml:space="preserve"> </w:t>
      </w:r>
      <w:r>
        <w:t xml:space="preserve">to denote 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not numbers but rather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w:t>
      </w:r>
    </w:p>
    <w:p>
      <w:pPr>
        <w:pStyle w:val="BodyText"/>
      </w:pPr>
      <w:r>
        <w:t xml:space="preserve">For simplicity, we denote the space of possible keys as</w:t>
      </w:r>
      <w:r>
        <w:t xml:space="preserve"> </w:t>
      </w:r>
      <m:oMath>
        <m:r>
          <m:t>{</m:t>
        </m:r>
        <m:r>
          <m:t>0</m:t>
        </m:r>
        <m:r>
          <m:t>,</m:t>
        </m:r>
        <m:r>
          <m:t>1</m:t>
        </m:r>
        <m:sSup>
          <m:e>
            <m:r>
              <m:t>}</m:t>
            </m:r>
          </m:e>
          <m:sup>
            <m:r>
              <m:t>n</m:t>
            </m:r>
          </m:sup>
        </m:sSup>
      </m:oMath>
      <w:r>
        <w:t xml:space="preserve"> </w:t>
      </w:r>
      <w:r>
        <w:t xml:space="preserve">and the space of possible messages as</w:t>
      </w:r>
      <w:r>
        <w:t xml:space="preserve"> </w:t>
      </w:r>
      <m:oMath>
        <m:r>
          <m:t>{</m:t>
        </m:r>
        <m:r>
          <m:t>0</m:t>
        </m:r>
        <m:r>
          <m:t>,</m:t>
        </m:r>
        <m:r>
          <m:t>1</m:t>
        </m:r>
        <m:sSup>
          <m:e>
            <m:r>
              <m:t>}</m:t>
            </m:r>
          </m:e>
          <m:sup>
            <m:r>
              <m:t>ℓ</m:t>
            </m:r>
          </m:sup>
        </m:sSup>
      </m:oMath>
      <w:r>
        <w:t xml:space="preserve"> </w:t>
      </w:r>
      <w:r>
        <w:t xml:space="preserve">for</w:t>
      </w:r>
      <w:r>
        <w:t xml:space="preserve"> </w:t>
      </w:r>
      <m:oMath>
        <m:r>
          <m:t>ℓ</m:t>
        </m:r>
        <m:r>
          <m:t>=</m:t>
        </m:r>
        <m:r>
          <m:t>L</m:t>
        </m:r>
        <m:r>
          <m:t>(</m:t>
        </m:r>
        <m:r>
          <m:t>n</m:t>
        </m:r>
        <m:r>
          <m:t>)</m:t>
        </m:r>
      </m:oMath>
      <w:r>
        <w:t xml:space="preserve">. Boneh-Shoup uses a more general notation of</w:t>
      </w:r>
      <w:r>
        <w:t xml:space="preserve"> </w:t>
      </w:r>
      <m:oMath>
        <m:r>
          <m:rPr>
            <m:sty m:val="p"/>
            <m:scr m:val="script"/>
          </m:rPr>
          <m:t>K</m:t>
        </m:r>
      </m:oMath>
      <w:r>
        <w:t xml:space="preserve"> </w:t>
      </w:r>
      <w:r>
        <w:t xml:space="preserve">for the space of all possible keys and</w:t>
      </w:r>
      <w:r>
        <w:t xml:space="preserve"> </w:t>
      </w:r>
      <m:oMath>
        <m:r>
          <m:rPr>
            <m:sty m:val="p"/>
            <m:scr m:val="script"/>
          </m:rPr>
          <m:t>M</m:t>
        </m:r>
      </m:oMath>
      <w:r>
        <w:t xml:space="preserve"> </w:t>
      </w:r>
      <w:r>
        <w:t xml:space="preserve">for the space of all possible messages. This does not make much difference since we can represent every discrete object such as a key or message as a binary string. (One difference is that in principle the space of all possible messages could include messages of unbounded length, though in such a case what is done in both theory and practice is to break these up into finite-size blocks and encrypt one block at a time.)</w:t>
      </w:r>
    </w:p>
    <w:bookmarkEnd w:id="43"/>
    <w:p>
      <w:pPr>
        <w:pStyle w:val="Heading2"/>
      </w:pPr>
      <w:bookmarkStart w:id="44" w:name="defining-security-of-encryption"/>
      <w:r>
        <w:t xml:space="preserve">Defining security of encryption</w:t>
      </w:r>
      <w:bookmarkEnd w:id="44"/>
    </w:p>
    <w:p>
      <w:pPr>
        <w:pStyle w:val="FirstParagraph"/>
      </w:pPr>
      <w:hyperlink r:id="rId27">
        <w:r>
          <w:rPr>
            <w:rStyle w:val="Hyperlink"/>
          </w:rPr>
          <w:t xml:space="preserve">encryptiondef</w:t>
        </w:r>
      </w:hyperlink>
      <w:r>
        <w:t xml:space="preserve"> </w:t>
      </w:r>
      <w:r>
        <w:t xml:space="preserve">says nothing about security and does not 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 simply outputs the plaintext as is.</w:t>
      </w:r>
      <w:r>
        <w:t xml:space="preserve"> </w:t>
      </w:r>
      <w:r>
        <w:t xml:space="preserve">Defining security is tricky, and we’ll take it one step at a time, but lets start by pondering what is secret and what is not.</w:t>
      </w:r>
      <w:r>
        <w:t xml:space="preserve"> </w:t>
      </w:r>
      <w:r>
        <w:t xml:space="preserve">A priori we are thinking of an attacker Eve that simply sees the ciphertext</w:t>
      </w:r>
      <w:r>
        <w:t xml:space="preserve"> </w:t>
      </w:r>
      <m:oMath>
        <m:r>
          <m:t>y</m:t>
        </m:r>
        <m:r>
          <m:t>=</m:t>
        </m:r>
        <m:sSub>
          <m:e>
            <m:r>
              <m:t>E</m:t>
            </m:r>
          </m:e>
          <m:sub>
            <m:r>
              <m:t>k</m:t>
            </m:r>
          </m:sub>
        </m:sSub>
        <m:r>
          <m:t>(</m:t>
        </m:r>
        <m:r>
          <m:t>x</m:t>
        </m:r>
        <m:r>
          <m:t>)</m:t>
        </m:r>
      </m:oMath>
      <w:r>
        <w:t xml:space="preserve"> </w:t>
      </w:r>
      <w:r>
        <w:t xml:space="preserve">and does not know anything on how it was generated. So, it does not know the details of</w:t>
      </w:r>
      <w:r>
        <w:t xml:space="preserve"> </w:t>
      </w:r>
      <m:oMath>
        <m:r>
          <m:t>E</m:t>
        </m:r>
      </m:oMath>
      <w:r>
        <w:t xml:space="preserve"> </w:t>
      </w:r>
      <w:r>
        <w:t xml:space="preserve">and</w:t>
      </w:r>
      <w:r>
        <w:t xml:space="preserve"> </w:t>
      </w:r>
      <m:oMath>
        <m:r>
          <m:t>D</m:t>
        </m:r>
      </m:oMath>
      <w:r>
        <w:t xml:space="preserve">, and certainly does not know the secret key</w:t>
      </w:r>
      <w:r>
        <w:t xml:space="preserve"> </w:t>
      </w:r>
      <m:oMath>
        <m:r>
          <m:t>k</m:t>
        </m:r>
      </m:oMath>
      <w:r>
        <w:t xml:space="preserve">.</w:t>
      </w:r>
      <w:r>
        <w:t xml:space="preserve"> </w:t>
      </w:r>
      <w:r>
        <w:t xml:space="preserve">However, many of the troubles past cryptosystems went through was caused by them relying on</w:t>
      </w:r>
      <w:r>
        <w:t xml:space="preserve"> </w:t>
      </w:r>
      <w:r>
        <w:t xml:space="preserve">“</w:t>
      </w:r>
      <w:r>
        <w:t xml:space="preserve">security through obscurity</w:t>
      </w:r>
      <w:r>
        <w:t xml:space="preserve">”</w:t>
      </w:r>
      <w:r>
        <w:t xml:space="preserve">— trusting that the fact their</w:t>
      </w:r>
      <w:r>
        <w:t xml:space="preserve"> </w:t>
      </w:r>
      <w:r>
        <w:rPr>
          <w:i/>
        </w:rPr>
        <w:t xml:space="preserve">methods</w:t>
      </w:r>
      <w:r>
        <w:t xml:space="preserve"> </w:t>
      </w:r>
      <w:r>
        <w:t xml:space="preserve">are not known to their enemy will protect them from being broken.</w:t>
      </w:r>
      <w:r>
        <w:t xml:space="preserve"> </w:t>
      </w:r>
      <w:r>
        <w:t xml:space="preserve">This is a faulty assumption - if you reuse a method again and again (even with a different key each time) then eventually your adversaries will figure out what you are doing.</w:t>
      </w:r>
      <w:r>
        <w:t xml:space="preserve"> </w:t>
      </w:r>
      <w:r>
        <w:t xml:space="preserve">And if Alice and Bob meet frequently in a secure location to decide on a new method, they might as well take the opportunity to exchange their secret messages..</w:t>
      </w:r>
    </w:p>
    <w:p>
      <w:pPr>
        <w:pStyle w:val="BodyText"/>
      </w:pP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5"/>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numId w:val="1001"/>
          <w:ilvl w:val="0"/>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numId w:val="1001"/>
          <w:ilvl w:val="0"/>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46" w:name="Xfe69eb488b6cb21acc5cd4ec6b71d0f3ed1a865"/>
      <w:r>
        <w:t xml:space="preserve">Generating randomness in actual cryptographic systems</w:t>
      </w:r>
      <w:bookmarkEnd w:id="46"/>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47">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8">
        <w:r>
          <w:rPr>
            <w:rStyle w:val="Hyperlink"/>
          </w:rPr>
          <w:t xml:space="preserve">XKCD’s take</w:t>
        </w:r>
      </w:hyperlink>
      <w:r>
        <w:t xml:space="preserve"> </w:t>
      </w:r>
      <w:r>
        <w:t xml:space="preserve">on that incident.</w:t>
      </w:r>
    </w:p>
    <w:p>
      <w:pPr>
        <w:pStyle w:val="CaptionedFigure"/>
      </w:pPr>
      <w:bookmarkStart w:id="50"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9"/>
                    <a:stretch>
                      <a:fillRect/>
                    </a:stretch>
                  </pic:blipFill>
                  <pic:spPr bwMode="auto">
                    <a:xfrm>
                      <a:off x="0" y="0"/>
                      <a:ext cx="5080000" cy="1828800"/>
                    </a:xfrm>
                    <a:prstGeom prst="rect">
                      <a:avLst/>
                    </a:prstGeom>
                    <a:noFill/>
                    <a:ln w="9525">
                      <a:noFill/>
                      <a:headEnd/>
                      <a:tailEnd/>
                    </a:ln>
                  </pic:spPr>
                </pic:pic>
              </a:graphicData>
            </a:graphic>
          </wp:inline>
        </w:drawing>
      </w:r>
      <w:bookmarkEnd w:id="50"/>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51">
        <w:r>
          <w:rPr>
            <w:rStyle w:val="Hyperlink"/>
          </w:rPr>
          <w:t xml:space="preserve">this blog post</w:t>
        </w:r>
      </w:hyperlink>
      <w:r>
        <w:t xml:space="preserve"> </w:t>
      </w:r>
      <w:r>
        <w:t xml:space="preserve">and</w:t>
      </w:r>
      <w:r>
        <w:t xml:space="preserve"> </w:t>
      </w:r>
      <w:hyperlink r:id="rId52">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53" w:name="defining-the-secrecy-requirement."/>
      <w:r>
        <w:t xml:space="preserve">Defining the secrecy requirement.</w:t>
      </w:r>
      <w:bookmarkEnd w:id="53"/>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w:t>
      </w:r>
      <w:r>
        <w:t xml:space="preserve"> </w:t>
      </w:r>
      <w:r>
        <w:t xml:space="preserve">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w:t>
      </w:r>
      <w:r>
        <w:t xml:space="preserve"> </w:t>
      </w:r>
      <w:r>
        <w:t xml:space="preserve">But in fact it is this method that has led Shannon to formulate his theory of secrecy, which (after much followup work) eventually revolutionized cryptography, and brought this science to a new age where Edgar Allan Poe’s maxim no longer holds, 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built a filled the milky way galaxy with computers operating at light speed, the sun would still die out before it finished examining all the possibilities.</w:t>
      </w:r>
      <w:r>
        <w:rPr>
          <w:rStyle w:val="FootnoteReference"/>
        </w:rPr>
        <w:footnoteReference w:id="54"/>
      </w:r>
      <w:r>
        <w:t xml:space="preserve"> </w:t>
      </w:r>
      <w:r>
        <w:t xml:space="preserve">One can understand why the Germans thought it was impossible to break. (Note that despite the number of possibilities being so enormous, such a key can still be easily specified and shared between Alice and Bob by writing 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 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Style w:val="BlockText"/>
      </w:pPr>
      <w:bookmarkStart w:id="55" w:name="securefirstattemptdef"/>
      <w:bookmarkEnd w:id="55"/>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FirstParagraph"/>
      </w:pPr>
      <w:r>
        <w:t xml:space="preserve">When you see a mathematical definition that attempts to model some real-life phenomenon such as security, you should pause and ask yourself:</w:t>
      </w:r>
    </w:p>
    <w:p>
      <w:pPr>
        <w:numPr>
          <w:numId w:val="1002"/>
          <w:ilvl w:val="0"/>
        </w:numPr>
      </w:pPr>
      <w:r>
        <w:t xml:space="preserve">Do I understand mathematically what is the definition stating?</w:t>
      </w:r>
      <w:r>
        <w:br w:type="textWrapping"/>
      </w:r>
    </w:p>
    <w:p>
      <w:pPr>
        <w:numPr>
          <w:numId w:val="1002"/>
          <w:ilvl w:val="0"/>
        </w:numPr>
      </w:pPr>
      <w:r>
        <w:t xml:space="preserve">Is it a reasonable way to capture the real life phenomenon we are discussing?</w:t>
      </w:r>
    </w:p>
    <w:p>
      <w:pPr>
        <w:pStyle w:val="FirstParagraph"/>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7">
        <w:r>
          <w:rPr>
            <w:rStyle w:val="Hyperlink"/>
          </w:rPr>
          <w:t xml:space="preserve">securefirstattemptdef</w:t>
        </w:r>
      </w:hyperlink>
    </w:p>
    <w:p>
      <w:pPr>
        <w:pStyle w:val="BodyText"/>
      </w:pPr>
      <w:r>
        <w:t xml:space="preserve">You might wonder if</w:t>
      </w:r>
      <w:r>
        <w:t xml:space="preserve"> </w:t>
      </w:r>
      <w:hyperlink r:id="rId27">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Style w:val="BlockText"/>
      </w:pPr>
      <w:bookmarkStart w:id="56" w:name="trivialsec"/>
      <w:bookmarkEnd w:id="56"/>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Style w:val="BlockText"/>
      </w:pPr>
      <w:bookmarkStart w:id="57" w:name="section"/>
      <w:bookmarkEnd w:id="57"/>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7">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Style w:val="BlockText"/>
      </w:pPr>
      <w:bookmarkStart w:id="58" w:name="securesecondattemptdef"/>
      <w:bookmarkEnd w:id="58"/>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Style w:val="BlockText"/>
      </w:pPr>
      <w:bookmarkStart w:id="59" w:name="securethirdattemptdef"/>
      <w:bookmarkEnd w:id="59"/>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7">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60" w:name="perfect-secrecy"/>
      <w:r>
        <w:t xml:space="preserve">Perfect Secrecy</w:t>
      </w:r>
      <w:bookmarkEnd w:id="60"/>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bookmarkStart w:id="61" w:name="perfectsecrecydef"/>
    <w:p>
      <w:pPr>
        <w:pStyle w:val="Body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bookmarkEnd w:id="61"/>
    <w:p>
      <w:pPr>
        <w:pStyle w:val="BodyText"/>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 then Eve won’t be able to guess which one it is with probability better than half.</w:t>
      </w:r>
      <w:r>
        <w:t xml:space="preserve"> </w:t>
      </w:r>
      <w:r>
        <w:t xml:space="preserve">In fact, that turns out to be the heart of the matter:</w:t>
      </w:r>
    </w:p>
    <w:bookmarkStart w:id="62" w:name="twotomanythm"/>
    <w:p>
      <w:pPr>
        <w:pStyle w:val="BodyText"/>
      </w:pPr>
      <w:r>
        <w:t xml:space="preserve">An encryption scheme</w:t>
      </w:r>
      <w:r>
        <w:t xml:space="preserve"> </w:t>
      </w:r>
      <m:oMath>
        <m:r>
          <m:t>(</m:t>
        </m:r>
        <m:r>
          <m:t>E</m:t>
        </m:r>
        <m:r>
          <m:t>,</m:t>
        </m:r>
        <m:r>
          <m:t>D</m:t>
        </m:r>
        <m:r>
          <m:t>)</m:t>
        </m:r>
      </m:oMath>
      <w:r>
        <w:t xml:space="preserve"> </w:t>
      </w:r>
      <w:r>
        <w:t xml:space="preserve">is perfectly secret if and only if 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 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 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bookmarkEnd w:id="62"/>
    <w:p>
      <w:pPr>
        <w:pStyle w:val="BodyText"/>
      </w:pPr>
      <w:r>
        <w:t xml:space="preserve">The</w:t>
      </w:r>
      <w:r>
        <w:t xml:space="preserve"> </w:t>
      </w:r>
      <w:r>
        <w:t xml:space="preserve">“</w:t>
      </w:r>
      <w:r>
        <w:t xml:space="preserve">only if</w:t>
      </w:r>
      <w:r>
        <w:t xml:space="preserve">”</w:t>
      </w:r>
      <w:r>
        <w:t xml:space="preserve"> </w:t>
      </w:r>
      <w:r>
        <w:t xml:space="preserve">direction is obvious— this condition is a special case of the perfect secrecy condition for a set</w:t>
      </w:r>
      <w:r>
        <w:t xml:space="preserve"> </w:t>
      </w:r>
      <m:oMath>
        <m:r>
          <m:t>M</m:t>
        </m:r>
      </m:oMath>
      <w:r>
        <w:t xml:space="preserve"> </w:t>
      </w:r>
      <w:r>
        <w:t xml:space="preserve">of size</w:t>
      </w:r>
      <w:r>
        <w:t xml:space="preserve"> </w:t>
      </w:r>
      <m:oMath>
        <m:r>
          <m:t>2</m:t>
        </m:r>
      </m:oMath>
      <w:r>
        <w:t xml:space="preserve">.</w:t>
      </w:r>
    </w:p>
    <w:p>
      <w:pPr>
        <w:pStyle w:val="Body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ody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FirstParagraph"/>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FirstParagraph"/>
      </w:pPr>
      <w:r>
        <w:t xml:space="preserve">Thus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odyText"/>
      </w:pPr>
      <m:oMathPara>
        <m:oMathParaPr>
          <m:jc m:val="center"/>
        </m:oMathParaPr>
        <m:oMath>
          <m:r>
            <m:rP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FirstParagraph"/>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Style w:val="BlockText"/>
      </w:pPr>
      <w:bookmarkStart w:id="63" w:name="section-1"/>
      <w:bookmarkEnd w:id="63"/>
    </w:p>
    <w:p>
      <w:pPr>
        <w:pStyle w:val="BlockText"/>
      </w:pPr>
      <w:r>
        <w:t xml:space="preserve">The proof of</w:t>
      </w:r>
      <w:r>
        <w:t xml:space="preserve"> </w:t>
      </w:r>
      <w:hyperlink r:id="rId27">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bookmarkStart w:id="64" w:name="perfectsecrecyequiv"/>
    <w:p>
      <w:pPr>
        <w:pStyle w:val="FirstParagraph"/>
      </w:pPr>
      <w:r>
        <w:t xml:space="preserve">Prove that 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 perfectly secret if and only 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numId w:val="1003"/>
          <w:ilvl w:val="0"/>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numId w:val="1003"/>
          <w:ilvl w:val="0"/>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64"/>
    <w:p>
      <w:pPr>
        <w:pStyle w:val="FirstParagraph"/>
      </w:pPr>
      <w:r>
        <w:t xml:space="preserve">We only sketch the proof. The condition in the exercise is equivalent to perfect secrecy with</w:t>
      </w:r>
      <w:r>
        <w:t xml:space="preserve"> </w:t>
      </w:r>
      <m:oMath>
        <m:r>
          <m:t>|</m:t>
        </m:r>
        <m:r>
          <m:t>M</m:t>
        </m:r>
        <m:r>
          <m:t>|</m:t>
        </m:r>
        <m:r>
          <m:t>=</m:t>
        </m:r>
        <m:r>
          <m:t>2</m:t>
        </m:r>
      </m:oMath>
      <w:r>
        <w:t xml:space="preserve">.</w:t>
      </w:r>
      <w:r>
        <w:t xml:space="preserve"> </w:t>
      </w:r>
      <w:r>
        <w:t xml:space="preserve">For every</w:t>
      </w:r>
      <w:r>
        <w:t xml:space="preserve"> </w:t>
      </w:r>
      <m:oMath>
        <m:r>
          <m:t>M</m:t>
        </m:r>
        <m:r>
          <m:t>=</m:t>
        </m:r>
        <m:r>
          <m:t>{</m:t>
        </m:r>
        <m:r>
          <m:t>x</m:t>
        </m:r>
        <m:r>
          <m:t>,</m:t>
        </m:r>
        <m:r>
          <m:t>x</m:t>
        </m:r>
        <m:r>
          <m:t>′</m:t>
        </m:r>
        <m:r>
          <m:t>}</m:t>
        </m:r>
      </m:oMath>
      <w:r>
        <w:t xml:space="preserve">, if</w:t>
      </w:r>
      <w:r>
        <w:t xml:space="preserve"> </w:t>
      </w:r>
      <m:oMath>
        <m:r>
          <m:t>Y</m:t>
        </m:r>
      </m:oMath>
      <w:r>
        <w:t xml:space="preserve"> </w:t>
      </w:r>
      <w:r>
        <w:t xml:space="preserve">and</w:t>
      </w:r>
      <w:r>
        <w:t xml:space="preserve"> </w:t>
      </w:r>
      <m:oMath>
        <m:r>
          <m:t>Y</m:t>
        </m:r>
        <m:r>
          <m:t>′</m:t>
        </m:r>
      </m:oMath>
      <w:r>
        <w:t xml:space="preserve"> </w:t>
      </w:r>
      <w:r>
        <w:t xml:space="preserve">are identical then clearly for every</w:t>
      </w:r>
      <w:r>
        <w:t xml:space="preserve"> </w:t>
      </w:r>
      <m:oMath>
        <m:r>
          <m:t>E</m:t>
        </m:r>
        <m:r>
          <m:t>v</m:t>
        </m:r>
        <m:r>
          <m:t>e</m:t>
        </m:r>
      </m:oMath>
      <w:r>
        <w:t xml:space="preserve">,</w:t>
      </w:r>
      <w:r>
        <w:t xml:space="preserve"> </w:t>
      </w:r>
      <m:oMath>
        <m:r>
          <m:rPr>
            <m:sty m:val="p"/>
          </m:rPr>
          <m:t>Pr</m:t>
        </m:r>
        <m:r>
          <m:t>[</m:t>
        </m:r>
        <m:r>
          <m:t>E</m:t>
        </m:r>
        <m:r>
          <m:t>v</m:t>
        </m:r>
        <m:r>
          <m:t>e</m:t>
        </m:r>
        <m:r>
          <m:t>(</m:t>
        </m:r>
        <m:sSub>
          <m:e>
            <m:r>
              <m:t>E</m:t>
            </m:r>
          </m:e>
          <m:sub>
            <m:r>
              <m:t>k</m:t>
            </m:r>
          </m:sub>
        </m:sSub>
        <m:r>
          <m:t>(</m:t>
        </m:r>
        <m:r>
          <m:t>x</m:t>
        </m:r>
        <m:r>
          <m:t>)</m:t>
        </m:r>
        <m:r>
          <m:t>)</m:t>
        </m:r>
        <m:r>
          <m:t>=</m:t>
        </m:r>
        <m:r>
          <m:t>1</m:t>
        </m:r>
        <m:r>
          <m:t>]</m:t>
        </m:r>
        <m:r>
          <m:t>=</m:t>
        </m:r>
        <m:r>
          <m:rPr>
            <m:sty m:val="p"/>
          </m:rPr>
          <m:t>Pr</m:t>
        </m:r>
        <m:r>
          <m:t>[</m:t>
        </m:r>
        <m:r>
          <m:t>E</m:t>
        </m:r>
        <m:r>
          <m:t>v</m:t>
        </m:r>
        <m:r>
          <m:t>e</m:t>
        </m:r>
        <m:r>
          <m:t>(</m:t>
        </m:r>
        <m:sSub>
          <m:e>
            <m:r>
              <m:t>E</m:t>
            </m:r>
          </m:e>
          <m:sub>
            <m:r>
              <m:t>k</m:t>
            </m:r>
          </m:sub>
        </m:sSub>
        <m:r>
          <m:t>(</m:t>
        </m:r>
        <m:r>
          <m:t>x</m:t>
        </m:r>
        <m:r>
          <m:t>′</m:t>
        </m:r>
        <m:r>
          <m:t>)</m:t>
        </m:r>
        <m:r>
          <m:t>)</m:t>
        </m:r>
        <m:r>
          <m:t>=</m:t>
        </m:r>
        <m:r>
          <m:t>1</m:t>
        </m:r>
        <m:r>
          <m:t>]</m:t>
        </m:r>
      </m:oMath>
      <w:r>
        <w:t xml:space="preserve"> </w:t>
      </w:r>
      <w:r>
        <w:t xml:space="preserve">since these correspond applying</w:t>
      </w:r>
      <w:r>
        <w:t xml:space="preserve"> </w:t>
      </w:r>
      <m:oMath>
        <m:r>
          <m:t>E</m:t>
        </m:r>
        <m:r>
          <m:t>v</m:t>
        </m:r>
        <m:r>
          <m:t>e</m:t>
        </m:r>
      </m:oMath>
      <w:r>
        <w:t xml:space="preserve"> </w:t>
      </w:r>
      <w:r>
        <w:t xml:space="preserve">on the same distribution</w:t>
      </w:r>
      <w:r>
        <w:t xml:space="preserve"> </w:t>
      </w:r>
      <m:oMath>
        <m:r>
          <m:t>Y</m:t>
        </m:r>
        <m:r>
          <m:t>=</m:t>
        </m:r>
        <m:r>
          <m:t>Y</m:t>
        </m:r>
        <m:r>
          <m:t>′</m:t>
        </m:r>
      </m:oMath>
      <w:r>
        <w:t xml:space="preserve">.</w:t>
      </w:r>
      <w:r>
        <w:t xml:space="preserve"> </w:t>
      </w:r>
      <w:r>
        <w:t xml:space="preserve">On the other hand, if</w:t>
      </w:r>
      <w:r>
        <w:t xml:space="preserve"> </w:t>
      </w:r>
      <m:oMath>
        <m:r>
          <m:t>Y</m:t>
        </m:r>
      </m:oMath>
      <w:r>
        <w:t xml:space="preserve"> </w:t>
      </w:r>
      <w:r>
        <w:t xml:space="preserve">and</w:t>
      </w:r>
      <w:r>
        <w:t xml:space="preserve"> </w:t>
      </w:r>
      <m:oMath>
        <m:r>
          <m:t>Y</m:t>
        </m:r>
        <m:r>
          <m:t>′</m:t>
        </m:r>
      </m:oMath>
      <w:r>
        <w:t xml:space="preserve"> </w:t>
      </w:r>
      <w:r>
        <w:t xml:space="preserve">are not identical then there must exist some ciphertext</w:t>
      </w:r>
      <w:r>
        <w:t xml:space="preserve"> </w:t>
      </w:r>
      <m:oMath>
        <m:sSup>
          <m:e>
            <m:r>
              <m:t>c</m:t>
            </m:r>
          </m:e>
          <m:sup>
            <m:r>
              <m:t>*</m:t>
            </m:r>
          </m:sup>
        </m:sSup>
      </m:oMath>
      <w:r>
        <w:t xml:space="preserve"> </w:t>
      </w:r>
      <w:r>
        <w:t xml:space="preserve">such that</w:t>
      </w:r>
      <w:r>
        <w:t xml:space="preserve"> </w:t>
      </w:r>
      <m:oMath>
        <m:r>
          <m:rPr>
            <m:sty m:val="p"/>
          </m:rPr>
          <m:t>Pr</m:t>
        </m:r>
        <m:r>
          <m:t>[</m:t>
        </m:r>
        <m:r>
          <m:t>Y</m:t>
        </m:r>
        <m:r>
          <m:t>=</m:t>
        </m:r>
        <m:sSup>
          <m:e>
            <m:r>
              <m:t>c</m:t>
            </m:r>
          </m:e>
          <m:sup>
            <m:r>
              <m:t>*</m:t>
            </m:r>
          </m:sup>
        </m:sSup>
        <m:r>
          <m:t>]</m:t>
        </m:r>
        <m:r>
          <m:t>&gt;</m:t>
        </m:r>
        <m:r>
          <m:rPr>
            <m:sty m:val="p"/>
          </m:rPr>
          <m:t>Pr</m:t>
        </m:r>
        <m:r>
          <m:t>[</m:t>
        </m:r>
        <m:r>
          <m:t>Y</m:t>
        </m:r>
        <m:r>
          <m:t>′</m:t>
        </m:r>
        <m:r>
          <m:t>=</m:t>
        </m:r>
        <m:sSup>
          <m:e>
            <m:r>
              <m:t>c</m:t>
            </m:r>
          </m:e>
          <m:sup>
            <m:r>
              <m:t>*</m:t>
            </m:r>
          </m:sup>
        </m:sSup>
        <m:r>
          <m:t>]</m:t>
        </m:r>
      </m:oMath>
      <w:r>
        <w:t xml:space="preserve"> </w:t>
      </w:r>
      <w:r>
        <w:t xml:space="preserve">(or vice versa).</w:t>
      </w:r>
      <w:r>
        <w:t xml:space="preserve"> </w:t>
      </w:r>
      <w:r>
        <w:t xml:space="preserve">The adversary that on input</w:t>
      </w:r>
      <w:r>
        <w:t xml:space="preserve"> </w:t>
      </w:r>
      <m:oMath>
        <m:r>
          <m:t>c</m:t>
        </m:r>
      </m:oMath>
      <w:r>
        <w:t xml:space="preserve"> </w:t>
      </w:r>
      <w:r>
        <w:t xml:space="preserve">will guess that</w:t>
      </w:r>
      <w:r>
        <w:t xml:space="preserve"> </w:t>
      </w:r>
      <m:oMath>
        <m:r>
          <m:t>c</m:t>
        </m:r>
      </m:oMath>
      <w:r>
        <w:t xml:space="preserve"> </w:t>
      </w:r>
      <w:r>
        <w:t xml:space="preserve">is an encryption of</w:t>
      </w:r>
      <w:r>
        <w:t xml:space="preserve"> </w:t>
      </w:r>
      <m:oMath>
        <m:r>
          <m:t>x</m:t>
        </m:r>
      </m:oMath>
      <w:r>
        <w:t xml:space="preserve"> </w:t>
      </w:r>
      <w:r>
        <w:t xml:space="preserve">if</w:t>
      </w:r>
      <w:r>
        <w:t xml:space="preserve"> </w:t>
      </w:r>
      <m:oMath>
        <m:r>
          <m:t>c</m:t>
        </m:r>
        <m:r>
          <m:t>=</m:t>
        </m:r>
        <m:sSup>
          <m:e>
            <m:r>
              <m:t>c</m:t>
            </m:r>
          </m:e>
          <m:sup>
            <m:r>
              <m:t>*</m:t>
            </m:r>
          </m:sup>
        </m:sSup>
      </m:oMath>
      <w:r>
        <w:t xml:space="preserve"> </w:t>
      </w:r>
      <w:r>
        <w:t xml:space="preserve">and otherwise will toss a coin will have some advantage over</w:t>
      </w:r>
      <w:r>
        <w:t xml:space="preserve"> </w:t>
      </w:r>
      <m:oMath>
        <m:r>
          <m:t>1</m:t>
        </m:r>
        <m:r>
          <m:t>/</m:t>
        </m:r>
        <m:r>
          <m:t>2</m:t>
        </m:r>
      </m:oMath>
      <w:r>
        <w:t xml:space="preserve"> </w:t>
      </w:r>
      <w:r>
        <w:t xml:space="preserve">in distinguishing an encryption of</w:t>
      </w:r>
      <w:r>
        <w:t xml:space="preserve"> </w:t>
      </w:r>
      <m:oMath>
        <m:r>
          <m:t>x</m:t>
        </m:r>
      </m:oMath>
      <w:r>
        <w:t xml:space="preserve"> </w:t>
      </w:r>
      <w:r>
        <w:t xml:space="preserve">from an encryption of</w:t>
      </w:r>
      <w:r>
        <w:t xml:space="preserve"> </w:t>
      </w:r>
      <m:oMath>
        <m:r>
          <m:t>x</m:t>
        </m:r>
        <m:r>
          <m:t>′</m:t>
        </m:r>
      </m:oMath>
      <w:r>
        <w:t xml:space="preserve">.</w:t>
      </w:r>
    </w:p>
    <w:p>
      <w:pPr>
        <w:pStyle w:val="BodyText"/>
      </w:pPr>
      <w:r>
        <w:t xml:space="preserve">We summarize the equivalent definitions of perfect secrecy in the following theorem, whose (omitted) proof follows from</w:t>
      </w:r>
      <w:r>
        <w:t xml:space="preserve"> </w:t>
      </w:r>
      <w:hyperlink r:id="rId27">
        <w:r>
          <w:rPr>
            <w:rStyle w:val="Hyperlink"/>
          </w:rPr>
          <w:t xml:space="preserve">twotomanythm</w:t>
        </w:r>
      </w:hyperlink>
      <w:r>
        <w:t xml:space="preserve"> </w:t>
      </w:r>
      <w:r>
        <w:t xml:space="preserve">and</w:t>
      </w:r>
      <w:r>
        <w:t xml:space="preserve"> </w:t>
      </w:r>
      <w:hyperlink r:id="rId27">
        <w:r>
          <w:rPr>
            <w:rStyle w:val="Hyperlink"/>
          </w:rPr>
          <w:t xml:space="preserve">perfectsecrecyequiv</w:t>
        </w:r>
      </w:hyperlink>
      <w:r>
        <w:t xml:space="preserve"> </w:t>
      </w:r>
      <w:r>
        <w:t xml:space="preserve">as well as similar proof ideas.</w:t>
      </w:r>
    </w:p>
    <w:bookmarkStart w:id="65" w:name="perfectsecrecythm"/>
    <w:p>
      <w:pPr>
        <w:pStyle w:val="BodyText"/>
      </w:pPr>
      <w:r>
        <w:t xml:space="preserve">Let</w:t>
      </w:r>
      <w:r>
        <w:t xml:space="preserve"> </w:t>
      </w:r>
      <m:oMath>
        <m:r>
          <m:t>(</m:t>
        </m:r>
        <m:r>
          <m:t>E</m:t>
        </m:r>
        <m:r>
          <m:t>,</m:t>
        </m:r>
        <m:r>
          <m:t>D</m:t>
        </m:r>
        <m:r>
          <m:t>)</m:t>
        </m:r>
      </m:oMath>
      <w:r>
        <w:t xml:space="preserve"> </w:t>
      </w:r>
      <w:r>
        <w:t xml:space="preserve">be a valid encryption scheme with message length</w:t>
      </w:r>
      <w:r>
        <w:t xml:space="preserve"> </w:t>
      </w:r>
      <m:oMath>
        <m:r>
          <m:t>L</m:t>
        </m:r>
        <m:r>
          <m:t>(</m:t>
        </m:r>
        <m:r>
          <m:t>n</m:t>
        </m:r>
        <m:r>
          <m:t>)</m:t>
        </m:r>
      </m:oMath>
      <w:r>
        <w:t xml:space="preserve">. Then the following conditions are equivalent:</w:t>
      </w:r>
    </w:p>
    <w:p>
      <w:pPr>
        <w:numPr>
          <w:numId w:val="1004"/>
          <w:ilvl w:val="0"/>
        </w:numPr>
      </w:pPr>
      <m:oMath>
        <m:r>
          <m:t>(</m:t>
        </m:r>
        <m:r>
          <m:t>E</m:t>
        </m:r>
        <m:r>
          <m:t>,</m:t>
        </m:r>
        <m:r>
          <m:t>D</m:t>
        </m:r>
        <m:r>
          <m:t>)</m:t>
        </m:r>
      </m:oMath>
      <w:r>
        <w:t xml:space="preserve"> </w:t>
      </w:r>
      <w:r>
        <w:t xml:space="preserve">is perfectly secret as per</w:t>
      </w:r>
      <w:r>
        <w:t xml:space="preserve"> </w:t>
      </w:r>
      <w:hyperlink r:id="rId27">
        <w:r>
          <w:rPr>
            <w:rStyle w:val="Hyperlink"/>
          </w:rPr>
          <w:t xml:space="preserve">perfectsecrecydef</w:t>
        </w:r>
      </w:hyperlink>
      <w:r>
        <w:t xml:space="preserve">.</w:t>
      </w:r>
    </w:p>
    <w:p>
      <w:pPr>
        <w:numPr>
          <w:numId w:val="1004"/>
          <w:ilvl w:val="0"/>
        </w:numPr>
      </w:pPr>
      <w:r>
        <w:t xml:space="preserve">For every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the distributions</w:t>
      </w:r>
      <w:r>
        <w:t xml:space="preserve"> </w:t>
      </w:r>
      <m:oMath>
        <m:r>
          <m:t>{</m:t>
        </m:r>
        <m:sSub>
          <m:e>
            <m:r>
              <m:t>E</m:t>
            </m:r>
          </m:e>
          <m:sub>
            <m:r>
              <m:t>k</m:t>
            </m:r>
          </m:sub>
        </m:sSub>
        <m:r>
          <m:t>(</m:t>
        </m:r>
        <m:sSub>
          <m:e>
            <m:r>
              <m:t>x</m:t>
            </m:r>
          </m:e>
          <m:sub>
            <m:r>
              <m:t>0</m:t>
            </m:r>
          </m:sub>
        </m:sSub>
        <m:r>
          <m:t>)</m:t>
        </m:r>
        <m:sSub>
          <m:e>
            <m:r>
              <m:t>}</m:t>
            </m:r>
          </m:e>
          <m:sub>
            <m:r>
              <m:t>k</m:t>
            </m:r>
            <m:r>
              <m:t>∼</m:t>
            </m:r>
            <m:r>
              <m:t>{</m:t>
            </m:r>
            <m:r>
              <m:t>0</m:t>
            </m:r>
            <m:r>
              <m:t>,</m:t>
            </m:r>
            <m:r>
              <m:t>1</m:t>
            </m:r>
            <m:sSup>
              <m:e>
                <m:r>
                  <m:t>}</m:t>
                </m:r>
              </m:e>
              <m:sup>
                <m:r>
                  <m:t>n</m:t>
                </m:r>
              </m:sup>
            </m:sSup>
          </m:sub>
        </m:sSub>
      </m:oMath>
      <w:r>
        <w:t xml:space="preserve"> </w:t>
      </w:r>
      <w:r>
        <w:t xml:space="preserve">and</w:t>
      </w:r>
      <w:r>
        <w:t xml:space="preserve"> </w:t>
      </w:r>
      <m:oMath>
        <m:r>
          <m:t>{</m:t>
        </m:r>
        <m:sSub>
          <m:e>
            <m:r>
              <m:t>E</m:t>
            </m:r>
          </m:e>
          <m:sub>
            <m:r>
              <m:t>k</m:t>
            </m:r>
          </m:sub>
        </m:sSub>
        <m:r>
          <m:t>(</m:t>
        </m:r>
        <m:sSub>
          <m:e>
            <m:r>
              <m:t>x</m:t>
            </m:r>
          </m:e>
          <m:sub>
            <m:r>
              <m:t>1</m:t>
            </m:r>
          </m:sub>
        </m:sSub>
        <m:r>
          <m:t>)</m:t>
        </m:r>
        <m:sSub>
          <m:e>
            <m:r>
              <m:t>}</m:t>
            </m:r>
          </m:e>
          <m:sub>
            <m:r>
              <m:t>k</m:t>
            </m:r>
            <m:r>
              <m:t>∼</m:t>
            </m:r>
            <m:r>
              <m:t>{</m:t>
            </m:r>
            <m:r>
              <m:t>0</m:t>
            </m:r>
            <m:r>
              <m:t>,</m:t>
            </m:r>
            <m:r>
              <m:t>1</m:t>
            </m:r>
            <m:sSup>
              <m:e>
                <m:r>
                  <m:t>}</m:t>
                </m:r>
              </m:e>
              <m:sup>
                <m:r>
                  <m:t>n</m:t>
                </m:r>
              </m:sup>
            </m:sSup>
          </m:sub>
        </m:sSub>
      </m:oMath>
      <w:r>
        <w:t xml:space="preserve"> </w:t>
      </w:r>
      <w:r>
        <w:t xml:space="preserve">are identical.</w:t>
      </w:r>
    </w:p>
    <w:p>
      <w:pPr>
        <w:numPr>
          <w:numId w:val="1004"/>
          <w:ilvl w:val="0"/>
        </w:numPr>
      </w:pPr>
      <w:r>
        <w:t xml:space="preserve">(Two-message security: Eve can’t guess which of one of two messages was encrypted with success better than half.) For every function</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 </w:t>
      </w:r>
      <w:r>
        <w:t xml:space="preserve">and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b</m:t>
              </m:r>
              <m:r>
                <m:t>∼</m:t>
              </m:r>
              <m:r>
                <m:t>{</m:t>
              </m:r>
              <m:r>
                <m:t>0</m:t>
              </m:r>
              <m:r>
                <m:t>,</m:t>
              </m:r>
              <m:r>
                <m:t>1</m:t>
              </m:r>
              <m:r>
                <m:t>}</m:t>
              </m:r>
              <m:r>
                <m:t>,</m:t>
              </m:r>
              <m:r>
                <m:t>k</m:t>
              </m:r>
              <m:r>
                <m:t>∼</m:t>
              </m:r>
              <m:r>
                <m:t>{</m:t>
              </m:r>
              <m:r>
                <m:t>0</m:t>
              </m:r>
              <m:r>
                <m:t>,</m:t>
              </m:r>
              <m:r>
                <m:t>1</m:t>
              </m:r>
              <m:sSup>
                <m:e>
                  <m:r>
                    <m:t>}</m:t>
                  </m:r>
                </m:e>
                <m:sup>
                  <m:r>
                    <m:t>n</m:t>
                  </m:r>
                </m:sup>
              </m:sSup>
            </m:lim>
          </m:limLow>
          <m:r>
            <m:t>[</m:t>
          </m:r>
          <m:r>
            <m:t>E</m:t>
          </m:r>
          <m:r>
            <m:t>v</m:t>
          </m:r>
          <m:r>
            <m:t>e</m:t>
          </m:r>
          <m:r>
            <m:t>(</m:t>
          </m:r>
          <m:sSub>
            <m:e>
              <m:r>
                <m:t>E</m:t>
              </m:r>
            </m:e>
            <m:sub>
              <m:r>
                <m:t>k</m:t>
              </m:r>
            </m:sub>
          </m:sSub>
          <m:r>
            <m:t>(</m:t>
          </m:r>
          <m:sSub>
            <m:e>
              <m:r>
                <m:t>x</m:t>
              </m:r>
            </m:e>
            <m:sub>
              <m:r>
                <m:t>b</m:t>
              </m:r>
            </m:sub>
          </m:sSub>
          <m:r>
            <m:t>)</m:t>
          </m:r>
          <m:r>
            <m:t>)</m:t>
          </m:r>
          <m:r>
            <m:t>=</m:t>
          </m:r>
          <m:sSub>
            <m:e>
              <m:r>
                <m:t>x</m:t>
              </m:r>
            </m:e>
            <m:sub>
              <m:r>
                <m:t>b</m:t>
              </m:r>
            </m:sub>
          </m:sSub>
          <m:r>
            <m:t>]</m:t>
          </m:r>
          <m:r>
            <m:t>≤</m:t>
          </m:r>
          <m:r>
            <m:t>1</m:t>
          </m:r>
          <m:r>
            <m:t>/</m:t>
          </m:r>
          <m:r>
            <m:t>2</m:t>
          </m:r>
        </m:oMath>
      </m:oMathPara>
    </w:p>
    <w:p>
      <w:pPr>
        <w:pStyle w:val="Compact"/>
        <w:numPr>
          <w:numId w:val="1005"/>
          <w:ilvl w:val="0"/>
        </w:numPr>
      </w:pPr>
      <w:r>
        <w:t xml:space="preserve">(Arbitrary prior security: Eve can’t guess which message was encrypted with success better than her prior information.) For every distribution</w:t>
      </w:r>
      <w:r>
        <w:t xml:space="preserve"> </w:t>
      </w:r>
      <m:oMath>
        <m:r>
          <m:rPr>
            <m:sty m:val="p"/>
            <m:scr m:val="script"/>
          </m:rPr>
          <m:t>D</m:t>
        </m:r>
      </m:oMath>
      <w:r>
        <w:t xml:space="preserve"> </w:t>
      </w:r>
      <w:r>
        <w:t xml:space="preserve">over</w:t>
      </w:r>
      <w:r>
        <w:t xml:space="preserve"> </w:t>
      </w:r>
      <m:oMath>
        <m:r>
          <m:t>{</m:t>
        </m:r>
        <m:r>
          <m:t>0</m:t>
        </m:r>
        <m:r>
          <m:t>,</m:t>
        </m:r>
        <m:r>
          <m:t>1</m:t>
        </m:r>
        <m:sSup>
          <m:e>
            <m:r>
              <m:t>}</m:t>
            </m:r>
          </m:e>
          <m:sup>
            <m:r>
              <m:t>L</m:t>
            </m:r>
            <m:r>
              <m:t>(</m:t>
            </m:r>
            <m:r>
              <m:t>n</m:t>
            </m:r>
            <m:r>
              <m:t>)</m:t>
            </m:r>
          </m:sup>
        </m:sSup>
      </m:oMath>
      <w:r>
        <w:t xml:space="preserve">, and</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x</m:t>
              </m:r>
              <m:r>
                <m:t>∼</m:t>
              </m:r>
              <m:r>
                <m:rPr>
                  <m:sty m:val="p"/>
                  <m:scr m:val="script"/>
                </m:rPr>
                <m:t>D</m:t>
              </m:r>
              <m:r>
                <m:t>,</m:t>
              </m:r>
              <m:r>
                <m:t>k</m:t>
              </m:r>
              <m:r>
                <m:t>∼</m:t>
              </m:r>
              <m:r>
                <m:t>{</m:t>
              </m:r>
              <m:r>
                <m:t>0</m:t>
              </m:r>
              <m:r>
                <m:t>,</m:t>
              </m:r>
              <m:r>
                <m:t>1</m:t>
              </m:r>
              <m:sSup>
                <m:e>
                  <m:r>
                    <m:t>}</m:t>
                  </m:r>
                </m:e>
                <m:sup>
                  <m:r>
                    <m:t>n</m:t>
                  </m:r>
                </m:sup>
              </m:sSup>
            </m:lim>
          </m:limLow>
          <m:r>
            <m:t>[</m:t>
          </m:r>
          <m:r>
            <m:t>E</m:t>
          </m:r>
          <m:r>
            <m:t>v</m:t>
          </m:r>
          <m:r>
            <m:t>e</m:t>
          </m:r>
          <m:r>
            <m:t>(</m:t>
          </m:r>
          <m:sSub>
            <m:e>
              <m:r>
                <m:t>E</m:t>
              </m:r>
            </m:e>
            <m:sub>
              <m:r>
                <m:t>k</m:t>
              </m:r>
            </m:sub>
          </m:sSub>
          <m:r>
            <m:t>(</m:t>
          </m:r>
          <m:r>
            <m:t>x</m:t>
          </m:r>
          <m:r>
            <m:t>)</m:t>
          </m:r>
          <m:r>
            <m:t>)</m:t>
          </m:r>
          <m:r>
            <m:t>=</m:t>
          </m:r>
          <m:r>
            <m:t>x</m:t>
          </m:r>
          <m:r>
            <m:t>]</m:t>
          </m:r>
          <m:r>
            <m:t>≤</m:t>
          </m:r>
          <m:r>
            <m:t>m</m:t>
          </m:r>
          <m:r>
            <m:t>a</m:t>
          </m:r>
          <m:r>
            <m:t>x</m:t>
          </m:r>
          <m:r>
            <m:t>(</m:t>
          </m:r>
          <m:r>
            <m:rPr>
              <m:sty m:val="p"/>
              <m:scr m:val="script"/>
            </m:rPr>
            <m:t>D</m:t>
          </m:r>
          <m:r>
            <m:t>)</m:t>
          </m:r>
        </m:oMath>
      </m:oMathPara>
    </w:p>
    <w:p>
      <w:pPr>
        <w:pStyle w:val="FirstParagraph"/>
      </w:pPr>
      <w:r>
        <w:t xml:space="preserve">where we denote</w:t>
      </w:r>
      <w:r>
        <w:t xml:space="preserve"> </w:t>
      </w:r>
      <m:oMath>
        <m:r>
          <m:t>m</m:t>
        </m:r>
        <m:r>
          <m:t>a</m:t>
        </m:r>
        <m:r>
          <m:t>x</m:t>
        </m:r>
        <m:r>
          <m:t>(</m:t>
        </m:r>
        <m:r>
          <m:rPr>
            <m:sty m:val="p"/>
            <m:scr m:val="script"/>
          </m:rPr>
          <m:t>D</m:t>
        </m:r>
        <m:r>
          <m:t>)</m:t>
        </m:r>
        <m:r>
          <m:t>=</m:t>
        </m:r>
        <m:sSub>
          <m:e>
            <m:r>
              <m:rPr>
                <m:sty m:val="p"/>
              </m:rPr>
              <m:t>max</m:t>
            </m:r>
          </m:e>
          <m:sub>
            <m:sSup>
              <m:e>
                <m:r>
                  <m:t>x</m:t>
                </m:r>
              </m:e>
              <m:sup>
                <m:r>
                  <m:t>*</m:t>
                </m:r>
              </m:sup>
            </m:sSup>
            <m:r>
              <m:t>∈</m:t>
            </m:r>
            <m:r>
              <m:t>{</m:t>
            </m:r>
            <m:r>
              <m:t>0</m:t>
            </m:r>
            <m:r>
              <m:t>,</m:t>
            </m:r>
            <m:r>
              <m:t>1</m:t>
            </m:r>
            <m:sSup>
              <m:e>
                <m:r>
                  <m:t>}</m:t>
                </m:r>
              </m:e>
              <m:sup>
                <m:r>
                  <m:t>L</m:t>
                </m:r>
                <m:r>
                  <m:t>(</m:t>
                </m:r>
                <m:r>
                  <m:t>n</m:t>
                </m:r>
                <m:r>
                  <m:t>)</m:t>
                </m:r>
              </m:sup>
            </m:sSup>
          </m:sub>
        </m:sSub>
        <m:sSub>
          <m:e>
            <m:r>
              <m:rPr>
                <m:sty m:val="p"/>
              </m:rPr>
              <m:t>Pr</m:t>
            </m:r>
          </m:e>
          <m:sub>
            <m:r>
              <m:t>x</m:t>
            </m:r>
            <m:r>
              <m:t>∼</m:t>
            </m:r>
            <m:r>
              <m:rPr>
                <m:sty m:val="p"/>
                <m:scr m:val="script"/>
              </m:rPr>
              <m:t>D</m:t>
            </m:r>
          </m:sub>
        </m:sSub>
        <m:r>
          <m:t>[</m:t>
        </m:r>
        <m:r>
          <m:t>x</m:t>
        </m:r>
        <m:r>
          <m:t>=</m:t>
        </m:r>
        <m:sSup>
          <m:e>
            <m:r>
              <m:t>x</m:t>
            </m:r>
          </m:e>
          <m:sup>
            <m:r>
              <m:t>*</m:t>
            </m:r>
          </m:sup>
        </m:sSup>
        <m:r>
          <m:t>]</m:t>
        </m:r>
      </m:oMath>
      <w:r>
        <w:t xml:space="preserve"> </w:t>
      </w:r>
      <w:r>
        <w:t xml:space="preserve">to be the largest probability of any element under</w:t>
      </w:r>
      <w:r>
        <w:t xml:space="preserve"> </w:t>
      </w:r>
      <m:oMath>
        <m:r>
          <m:rPr>
            <m:sty m:val="p"/>
            <m:scr m:val="script"/>
          </m:rPr>
          <m:t>D</m:t>
        </m:r>
      </m:oMath>
      <w:r>
        <w:t xml:space="preserve">.</w:t>
      </w:r>
    </w:p>
    <w:bookmarkEnd w:id="65"/>
    <w:p>
      <w:pPr>
        <w:pStyle w:val="Heading3"/>
      </w:pPr>
      <w:bookmarkStart w:id="66" w:name="achieving-perfect-secrecy"/>
      <w:r>
        <w:t xml:space="preserve">Achieving perfect secrecy</w:t>
      </w:r>
      <w:bookmarkEnd w:id="66"/>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7">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68"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7"/>
                    <a:stretch>
                      <a:fillRect/>
                    </a:stretch>
                  </pic:blipFill>
                  <pic:spPr bwMode="auto">
                    <a:xfrm>
                      <a:off x="0" y="0"/>
                      <a:ext cx="5334000" cy="1905423"/>
                    </a:xfrm>
                    <a:prstGeom prst="rect">
                      <a:avLst/>
                    </a:prstGeom>
                    <a:noFill/>
                    <a:ln w="9525">
                      <a:noFill/>
                      <a:headEnd/>
                      <a:tailEnd/>
                    </a:ln>
                  </pic:spPr>
                </pic:pic>
              </a:graphicData>
            </a:graphic>
          </wp:inline>
        </w:drawing>
      </w:r>
      <w:bookmarkEnd w:id="68"/>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70"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9"/>
                    <a:stretch>
                      <a:fillRect/>
                    </a:stretch>
                  </pic:blipFill>
                  <pic:spPr bwMode="auto">
                    <a:xfrm>
                      <a:off x="0" y="0"/>
                      <a:ext cx="5334000" cy="5939874"/>
                    </a:xfrm>
                    <a:prstGeom prst="rect">
                      <a:avLst/>
                    </a:prstGeom>
                    <a:noFill/>
                    <a:ln w="9525">
                      <a:noFill/>
                      <a:headEnd/>
                      <a:tailEnd/>
                    </a:ln>
                  </pic:spPr>
                </pic:pic>
              </a:graphicData>
            </a:graphic>
          </wp:inline>
        </w:drawing>
      </w:r>
      <w:bookmarkEnd w:id="70"/>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r>
        <w:rPr>
          <w:rStyle w:val="FootnoteReference"/>
        </w:rPr>
        <w:footnoteReference w:id="71"/>
      </w:r>
    </w:p>
    <w:p>
      <w:pPr>
        <w:pStyle w:val="Heading1"/>
        <w:pStyle w:val="BlockText"/>
      </w:pPr>
      <w:bookmarkStart w:id="73" w:name="onetimepad"/>
      <w:bookmarkEnd w:id="73"/>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Style w:val="BlockText"/>
      </w:pPr>
      <w:bookmarkStart w:id="74" w:name="section-2"/>
      <w:bookmarkEnd w:id="74"/>
    </w:p>
    <w:p>
      <w:pPr>
        <w:pStyle w:val="BlockText"/>
      </w:pPr>
      <w:r>
        <w:t xml:space="preserve">Our scheme is the</w:t>
      </w:r>
      <w:r>
        <w:t xml:space="preserve"> </w:t>
      </w:r>
      <w:hyperlink r:id="rId75">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7">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 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77"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76"/>
                    <a:stretch>
                      <a:fillRect/>
                    </a:stretch>
                  </pic:blipFill>
                  <pic:spPr bwMode="auto">
                    <a:xfrm>
                      <a:off x="0" y="0"/>
                      <a:ext cx="5334000" cy="1613195"/>
                    </a:xfrm>
                    <a:prstGeom prst="rect">
                      <a:avLst/>
                    </a:prstGeom>
                    <a:noFill/>
                    <a:ln w="9525">
                      <a:noFill/>
                      <a:headEnd/>
                      <a:tailEnd/>
                    </a:ln>
                  </pic:spPr>
                </pic:pic>
              </a:graphicData>
            </a:graphic>
          </wp:inline>
        </w:drawing>
      </w:r>
      <w:bookmarkEnd w:id="77"/>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Style w:val="BlockText"/>
      </w:pPr>
      <w:bookmarkStart w:id="78" w:name="section-3"/>
      <w:bookmarkEnd w:id="78"/>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7">
        <w:r>
          <w:rPr>
            <w:rStyle w:val="Hyperlink"/>
          </w:rPr>
          <w:t xml:space="preserve">onetimepadtwofig</w:t>
        </w:r>
      </w:hyperlink>
      <w:r>
        <w:t xml:space="preserve">. (In fact the encryption scheme of</w:t>
      </w:r>
      <w:r>
        <w:t xml:space="preserve"> </w:t>
      </w:r>
      <w:hyperlink r:id="rId27">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79" w:name="necessity-of-long-keys"/>
      <w:r>
        <w:t xml:space="preserve">Necessity of long keys</w:t>
      </w:r>
      <w:bookmarkEnd w:id="79"/>
    </w:p>
    <w:p>
      <w:pPr>
        <w:pStyle w:val="FirstParagraph"/>
      </w:pPr>
      <w:r>
        <w:t xml:space="preserve">So, does</w:t>
      </w:r>
      <w:r>
        <w:t xml:space="preserve"> </w:t>
      </w:r>
      <w:hyperlink r:id="rId27">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 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80">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81">
        <w:r>
          <w:rPr>
            <w:rStyle w:val="Hyperlink"/>
          </w:rPr>
          <w:t xml:space="preserve">Venona Project</w:t>
        </w:r>
      </w:hyperlink>
      <w:r>
        <w:t xml:space="preserve"> </w:t>
      </w:r>
      <w:r>
        <w:t xml:space="preserve">of the U.S. Army was founded in February 1943 by Gene Grabeel (see</w:t>
      </w:r>
      <w:r>
        <w:t xml:space="preserve"> </w:t>
      </w:r>
      <w:hyperlink r:id="rId27">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83"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82"/>
                    <a:stretch>
                      <a:fillRect/>
                    </a:stretch>
                  </pic:blipFill>
                  <pic:spPr bwMode="auto">
                    <a:xfrm>
                      <a:off x="0" y="0"/>
                      <a:ext cx="5334000" cy="6065274"/>
                    </a:xfrm>
                    <a:prstGeom prst="rect">
                      <a:avLst/>
                    </a:prstGeom>
                    <a:noFill/>
                    <a:ln w="9525">
                      <a:noFill/>
                      <a:headEnd/>
                      <a:tailEnd/>
                    </a:ln>
                  </pic:spPr>
                </pic:pic>
              </a:graphicData>
            </a:graphic>
          </wp:inline>
        </w:drawing>
      </w:r>
      <w:bookmarkEnd w:id="83"/>
    </w:p>
    <w:p>
      <w:pPr>
        <w:pStyle w:val="ImageCaption"/>
      </w:pPr>
      <w:r>
        <w:t xml:space="preserve">Gene Grabeel, who founded the U.S. Russian SigInt program on 1 Feb 1943. Photo taken in 1942, see Page 7 in the Venona historical study.</w:t>
      </w:r>
    </w:p>
    <w:p>
      <w:pPr>
        <w:pStyle w:val="CaptionedFigure"/>
      </w:pPr>
      <w:bookmarkStart w:id="85"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84"/>
                    <a:stretch>
                      <a:fillRect/>
                    </a:stretch>
                  </pic:blipFill>
                  <pic:spPr bwMode="auto">
                    <a:xfrm>
                      <a:off x="0" y="0"/>
                      <a:ext cx="5334000" cy="7457186"/>
                    </a:xfrm>
                    <a:prstGeom prst="rect">
                      <a:avLst/>
                    </a:prstGeom>
                    <a:noFill/>
                    <a:ln w="9525">
                      <a:noFill/>
                      <a:headEnd/>
                      <a:tailEnd/>
                    </a:ln>
                  </pic:spPr>
                </pic:pic>
              </a:graphicData>
            </a:graphic>
          </wp:inline>
        </w:drawing>
      </w:r>
      <w:bookmarkEnd w:id="85"/>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Style w:val="BlockText"/>
      </w:pPr>
      <w:bookmarkStart w:id="86" w:name="longkeysthm"/>
      <w:bookmarkEnd w:id="86"/>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Style w:val="BlockText"/>
      </w:pPr>
      <w:bookmarkStart w:id="87" w:name="section-4"/>
      <w:bookmarkEnd w:id="87"/>
    </w:p>
    <w:p>
      <w:pPr>
        <w:pStyle w:val="BlockText"/>
      </w:pPr>
      <w:r>
        <w:t xml:space="preserve">The idea behind the proof is illustrated in</w:t>
      </w:r>
      <w:r>
        <w:t xml:space="preserve"> </w:t>
      </w:r>
      <w:hyperlink r:id="rId27">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7">
        <w:r>
          <w:rPr>
            <w:rStyle w:val="Hyperlink"/>
          </w:rPr>
          <w:t xml:space="preserve">longkeysthm</w:t>
        </w:r>
      </w:hyperlink>
      <w:r>
        <w:t xml:space="preserve">.</w:t>
      </w:r>
    </w:p>
    <w:bookmarkStart w:id="88" w:name="addingprobrem"/>
    <w:p>
      <w:pPr>
        <w:pStyle w:val="BodyText"/>
      </w:pPr>
      <w:r>
        <w:t xml:space="preserve">There is a sense in which both our secrecy and our impossibility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w:t>
      </w:r>
    </w:p>
    <w:p>
      <w:pPr>
        <w:pStyle w:val="BodyText"/>
      </w:pPr>
      <w:r>
        <w:t xml:space="preserve">For the former, note that a probabilistic process can be thought of as a</w:t>
      </w:r>
      <w:r>
        <w:t xml:space="preserve"> </w:t>
      </w:r>
      <w:r>
        <w:rPr>
          <w:i/>
        </w:rPr>
        <w:t xml:space="preserve">distribution</w:t>
      </w:r>
      <w:r>
        <w:t xml:space="preserve"> </w:t>
      </w:r>
      <w:r>
        <w:t xml:space="preserve">over functions, 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 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w:t>
      </w:r>
      <w:r>
        <w:t xml:space="preserve"> </w:t>
      </w:r>
      <w:r>
        <w:t xml:space="preserve">But if none of those functions can give an advantage better than</w:t>
      </w:r>
      <w:r>
        <w:t xml:space="preserve"> </w:t>
      </w:r>
      <m:oMath>
        <m:r>
          <m:t>1</m:t>
        </m:r>
        <m:r>
          <m:t>/</m:t>
        </m:r>
        <m:r>
          <m:t>2</m:t>
        </m:r>
      </m:oMath>
      <w:r>
        <w:t xml:space="preserve">, then neither can this collection (this is related to the</w:t>
      </w:r>
      <w:r>
        <w:t xml:space="preserve"> </w:t>
      </w:r>
      <w:r>
        <w:rPr>
          <w:i/>
        </w:rPr>
        <w:t xml:space="preserve">averaging principle</w:t>
      </w:r>
      <w:r>
        <w:t xml:space="preserve"> </w:t>
      </w:r>
      <w:r>
        <w:t xml:space="preserve">in probability).</w:t>
      </w:r>
    </w:p>
    <w:p>
      <w:pPr>
        <w:pStyle w:val="BodyText"/>
      </w:pPr>
      <w:r>
        <w:t xml:space="preserve">A similar (though more involved) argument shows that the impossiblity result showing that the key must be at least as long as the message still holds even if the encryption and decryption algorithms are allowed to be probabilistic processes as well (working this out is a great exercise).</w:t>
      </w:r>
    </w:p>
    <w:bookmarkEnd w:id="88"/>
    <w:p>
      <w:pPr>
        <w:pStyle w:val="Heading2"/>
      </w:pPr>
      <w:bookmarkStart w:id="89" w:name="bibliographical-notes"/>
      <w:r>
        <w:t xml:space="preserve">Bibliographical notes</w:t>
      </w:r>
      <w:bookmarkEnd w:id="89"/>
    </w:p>
    <w:p>
      <w:pPr>
        <w:pStyle w:val="FirstParagraph"/>
      </w:pPr>
      <w:r>
        <w:t xml:space="preserve">Much of this text is shared with</w:t>
      </w:r>
      <w:r>
        <w:t xml:space="preserve"> </w:t>
      </w:r>
      <w:hyperlink r:id="rId90">
        <w:r>
          <w:rPr>
            <w:rStyle w:val="Hyperlink"/>
          </w:rPr>
          <w:t xml:space="preserve">my Introduction to Theoretical Computer Science textbook</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80">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91">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92">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the 1956 letter by</w:t>
      </w:r>
      <w:r>
        <w:t xml:space="preserve"> </w:t>
      </w:r>
      <w:hyperlink r:id="rId93">
        <w:r>
          <w:rPr>
            <w:rStyle w:val="Hyperlink"/>
          </w:rPr>
          <w:t xml:space="preserve">Kurt Gödel to John von Neumann</w:t>
        </w:r>
      </w:hyperlink>
      <w:r>
        <w:t xml:space="preserv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7">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5">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 w:id="54">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 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 about 5 billion years.</w:t>
      </w:r>
    </w:p>
  </w:footnote>
  <w:footnote w:id="71">
    <w:p>
      <w:pPr>
        <w:pStyle w:val="FootnoteText"/>
      </w:pPr>
      <w:r>
        <w:rPr>
          <w:rStyle w:val="FootnoteReference"/>
        </w:rPr>
        <w:footnoteRef/>
      </w:r>
      <w:r>
        <w:t xml:space="preserve"> </w:t>
      </w:r>
      <w:r>
        <w:t xml:space="preserve">The one-time pad is typically credited to Gilbert Vernam of Bell and Joseph Mauborgne of the U.S. Army Signal Corps, but Steve Bellovin discovered an earlier inventor</w:t>
      </w:r>
      <w:r>
        <w:t xml:space="preserve"> </w:t>
      </w:r>
      <w:hyperlink r:id="rId72">
        <w:r>
          <w:rPr>
            <w:rStyle w:val="Hyperlink"/>
          </w:rPr>
          <w:t xml:space="preserve">Frank Miller</w:t>
        </w:r>
      </w:hyperlink>
      <w:r>
        <w:t xml:space="preserve"> </w:t>
      </w:r>
      <w:r>
        <w:t xml:space="preserve">who published a description of the one-time pad in 1882. However, it is unclear if Miller realized the fact that security of this system can be mathematically proven, and so theorem below should probably be still be credited to Vernam and Mauborgne.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1" Target="media/rId41.png" /><Relationship Type="http://schemas.openxmlformats.org/officeDocument/2006/relationships/image" Id="rId35" Target="media/rId35.jp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2"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0"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3" Target="https://www.cs.cmu.edu/~aada/courses/15251s15/www/notes/godel-letter.pdf" TargetMode="External" /><Relationship Type="http://schemas.openxmlformats.org/officeDocument/2006/relationships/hyperlink" Id="rId91" Target="https://www.nsa.gov/news-features/declassified-documents/nash-letters/assets/files/nash_letters1.pdf"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2"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0"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3" Target="https://www.cs.cmu.edu/~aada/courses/15251s15/www/notes/godel-letter.pdf" TargetMode="External" /><Relationship Type="http://schemas.openxmlformats.org/officeDocument/2006/relationships/hyperlink" Id="rId91" Target="https://www.nsa.gov/news-features/declassified-documents/nash-letters/assets/files/nash_letters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Boaz Barak</dc:creator>
  <dc:description>Lecture notes on Cryptography by Boaz Barak</dc:description>
  <dc:language>en</dc:language>
  <cp:keywords/>
  <dcterms:created xsi:type="dcterms:W3CDTF">2020-01-13T00:20:25Z</dcterms:created>
  <dcterms:modified xsi:type="dcterms:W3CDTF">2020-01-13T00:20:25Z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lec_01_introduction</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