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jpg" ContentType="image/jpeg"/>
  <Override PartName="/word/media/rId45.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2.3 and 2.4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Decrypt(key,ciphertext)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bias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p </w:t>
      </w:r>
      <w:r>
        <w:rPr>
          <w:rStyle w:val="OperatorTok"/>
        </w:rPr>
        <w:t xml:space="preserve">=</w:t>
      </w:r>
      <w:r>
        <w:rPr>
          <w:rStyle w:val="NormalTok"/>
        </w:rPr>
        <w:t xml:space="preserve"> Decrypt(key, ciphertext)</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plaintext1: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plaintext2: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bias</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Given</w:t>
      </w:r>
      <w:r>
        <w:t xml:space="preserve"> </w:t>
      </w:r>
      <w:r>
        <w:t xml:space="preserve">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r>
        <w:rPr>
          <w:rStyle w:val="FootnoteReference"/>
        </w:rPr>
        <w:footnoteReference w:id="22"/>
      </w:r>
    </w:p>
    <w:p>
      <w:pPr>
        <w:pStyle w:val="FirstParagraph"/>
      </w:pPr>
      <w:hyperlink r:id="rId23">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4" w:name="section"/>
      <w:bookmarkEnd w:id="24"/>
    </w:p>
    <w:p>
      <w:pPr>
        <w:pStyle w:val="BlockText"/>
      </w:pPr>
      <w:r>
        <w:t xml:space="preserve">Before reading further, you might want to stop and think if you can</w:t>
      </w:r>
      <w:r>
        <w:t xml:space="preserve"> </w:t>
      </w:r>
      <w:r>
        <w:rPr>
          <w:i/>
        </w:rPr>
        <w:t xml:space="preserve">prove</w:t>
      </w:r>
      <w:r>
        <w:t xml:space="preserve"> </w:t>
      </w:r>
      <w:r>
        <w:t xml:space="preserve">that there is no, say,</w:t>
      </w:r>
      <w:r>
        <w:t xml:space="preserve"> </w:t>
      </w:r>
      <m:oMath>
        <m:rad>
          <m:radPr>
            <m:degHide m:val="1"/>
          </m:radPr>
          <m:deg/>
          <m:e>
            <m:r>
              <m:t>n</m:t>
            </m:r>
          </m:e>
        </m:rad>
      </m:oMath>
      <w:r>
        <w:t xml:space="preserve"> </w:t>
      </w:r>
      <w:r>
        <w:t xml:space="preserve">secure encryption scheme satisfying</w:t>
      </w:r>
      <w:r>
        <w:t xml:space="preserve"> </w:t>
      </w:r>
      <w:hyperlink r:id="rId23">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3">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To fix this definition, we do not consider guessing with such a tiny advantage as a</w:t>
      </w:r>
      <w:r>
        <w:t xml:space="preserve"> </w:t>
      </w:r>
      <w:r>
        <w:t xml:space="preserve">“</w:t>
      </w:r>
      <w:r>
        <w:t xml:space="preserve">true break</w:t>
      </w:r>
      <w:r>
        <w:t xml:space="preserve">”</w:t>
      </w:r>
      <w:r>
        <w:t xml:space="preserve"> </w:t>
      </w:r>
      <w:r>
        <w:t xml:space="preserve">of the scheme, and hence this will be the actual definition we use.</w:t>
      </w:r>
    </w:p>
    <w:p>
      <w:pPr>
        <w:pStyle w:val="Heading1"/>
        <w:pStyle w:val="BlockText"/>
      </w:pPr>
      <w:bookmarkStart w:id="25" w:name="compsecconcdef"/>
      <w:bookmarkEnd w:id="25"/>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6"/>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7" w:name="twotomanycomp"/>
      <w:bookmarkEnd w:id="27"/>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3">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 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8" w:name="section-1"/>
      <w:bookmarkEnd w:id="28"/>
    </w:p>
    <w:p>
      <w:pPr>
        <w:pStyle w:val="BlockText"/>
      </w:pPr>
      <w:r>
        <w:t xml:space="preserve">Before reading the proof, try to again review the proof of</w:t>
      </w:r>
      <w:r>
        <w:t xml:space="preserve"> </w:t>
      </w:r>
      <w:hyperlink r:id="rId23">
        <w:r>
          <w:rPr>
            <w:rStyle w:val="Hyperlink"/>
          </w:rPr>
          <w:t xml:space="preserve">twotomanythm</w:t>
        </w:r>
      </w:hyperlink>
      <w:r>
        <w:t xml:space="preserve">, and see if you can generalize it yourself to the computational setting.</w:t>
      </w:r>
    </w:p>
    <w:p>
      <w:pPr>
        <w:pStyle w:val="Heading1"/>
        <w:pStyle w:val="BlockText"/>
      </w:pPr>
      <w:bookmarkStart w:id="29" w:name="section-2"/>
      <w:bookmarkEnd w:id="29"/>
    </w:p>
    <w:p>
      <w:pPr>
        <w:pStyle w:val="BlockText"/>
      </w:pPr>
      <w:r>
        <w:t xml:space="preserve">The proof is rather similar to the equivalence of guessing one of two</w:t>
      </w:r>
      <w:r>
        <w:t xml:space="preserve"> </w:t>
      </w:r>
      <w:r>
        <w:t xml:space="preserve">messages vs. one of many messages for perfect secrecy (i.e.,</w:t>
      </w:r>
      <w:r>
        <w:t xml:space="preserve"> </w:t>
      </w:r>
      <w:hyperlink r:id="rId23">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3">
        <w:r>
          <w:rPr>
            <w:rStyle w:val="Hyperlink"/>
          </w:rPr>
          <w:t xml:space="preserve">twotomanythm</w:t>
        </w:r>
      </w:hyperlink>
      <w:r>
        <w:t xml:space="preserve"> </w:t>
      </w:r>
      <w:r>
        <w:t xml:space="preserve">we showed that if there exists:</w:t>
      </w:r>
    </w:p>
    <w:p>
      <w:pPr>
        <w:pStyle w:val="Compact"/>
        <w:pStyle w:val="BlockTex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BlockText"/>
      </w:pPr>
      <w:r>
        <w:t xml:space="preserve">and</w:t>
      </w:r>
    </w:p>
    <w:p>
      <w:pPr>
        <w:pStyle w:val="Compact"/>
        <w:pStyle w:val="BlockText"/>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lockText"/>
      </w:pPr>
      <w:r>
        <w:t xml:space="preserve">$$
\Pr_{m{\leftarrow_{\tiny R}}M, k{\leftarrow_{\tiny R}}{\{0,1\}}^n}[ Eve(E_k(m))=m ] &gt; 1/|M|
$$</w:t>
      </w:r>
    </w:p>
    <w:p>
      <w:pPr>
        <w:pStyle w:val="BlockText"/>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lockText"/>
      </w:pPr>
      <w:r>
        <w:t xml:space="preserve">To adapt this proof to the computational setting and complete the proof of the</w:t>
      </w:r>
      <w:r>
        <w:t xml:space="preserve"> </w:t>
      </w:r>
      <w:r>
        <w:t xml:space="preserve">current theorem it suffices to show that:</w:t>
      </w:r>
    </w:p>
    <w:p>
      <w:pPr>
        <w:pStyle w:val="BlockText"/>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pStyle w:val="BlockText"/>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w:t>
      </w:r>
      <w:r>
        <w:t xml:space="preserve"> </w:t>
      </w:r>
      <w:r>
        <w:t xml:space="preserve">computed in</w:t>
      </w:r>
      <w:r>
        <w:t xml:space="preserve"> </w:t>
      </w:r>
      <m:oMath>
        <m:r>
          <m:t>T</m:t>
        </m:r>
        <m:r>
          <m:t>+</m:t>
        </m:r>
        <m:r>
          <m:t>100</m:t>
        </m:r>
        <m:r>
          <m:t>ℓ</m:t>
        </m:r>
        <m:r>
          <m:t>+</m:t>
        </m:r>
        <m:r>
          <m:t>100</m:t>
        </m:r>
      </m:oMath>
      <w:r>
        <w:t xml:space="preserve"> </w:t>
      </w:r>
      <w:r>
        <w:t xml:space="preserve">operations.</w:t>
      </w:r>
    </w:p>
    <w:p>
      <w:pPr>
        <w:pStyle w:val="BlockText"/>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lock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 As the world’s most annoying saying goes, doing this is an excellent exercise for the reader. The item point is obtained by</w:t>
      </w:r>
      <w:r>
        <w:t xml:space="preserve"> </w:t>
      </w:r>
      <w:r>
        <w:t xml:space="preserve">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30" w:name="proof-by-reduction"/>
      <w:r>
        <w:t xml:space="preserve">Proof by reduction</w:t>
      </w:r>
      <w:bookmarkEnd w:id="30"/>
    </w:p>
    <w:p>
      <w:pPr>
        <w:pStyle w:val="FirstParagraph"/>
      </w:pPr>
      <w:r>
        <w:t xml:space="preserve">The proof of</w:t>
      </w:r>
      <w:r>
        <w:t xml:space="preserve"> </w:t>
      </w:r>
      <w:hyperlink r:id="rId23">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3">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3">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2"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bookmarkEnd w:id="32"/>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3" w:name="the-asymptotic-approach"/>
      <w:r>
        <w:t xml:space="preserve">The asymptotic approach</w:t>
      </w:r>
      <w:bookmarkEnd w:id="33"/>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However, for understanding the</w:t>
      </w:r>
      <w:r>
        <w:t xml:space="preserve"> </w:t>
      </w:r>
      <w:r>
        <w:rPr>
          <w:i/>
        </w:rPr>
        <w:t xml:space="preserve">principles</w:t>
      </w:r>
      <w:r>
        <w:t xml:space="preserve"> </w:t>
      </w:r>
      <w:r>
        <w:t xml:space="preserve">behind cryptography, keeping track of those bits can be a distraction, and so just like we do for algorithms, we will use</w:t>
      </w:r>
      <w:r>
        <w:t xml:space="preserve"> </w:t>
      </w:r>
      <w:r>
        <w:rPr>
          <w:i/>
        </w:rPr>
        <w:t xml:space="preserve">asymptotic</w:t>
      </w:r>
      <w:r>
        <w:rPr>
          <w:i/>
        </w:rPr>
        <w:t xml:space="preserve"> </w:t>
      </w:r>
      <w:r>
        <w:rPr>
          <w:i/>
        </w:rPr>
        <w:t xml:space="preserve">analysis</w:t>
      </w:r>
      <w:r>
        <w:t xml:space="preserve"> </w:t>
      </w:r>
      <w:r>
        <w:t xml:space="preserve">(also known as</w:t>
      </w:r>
      <w:r>
        <w:t xml:space="preserve"> </w:t>
      </w:r>
      <w:r>
        <w:rPr>
          <w:i/>
        </w:rPr>
        <w:t xml:space="preserve">big Oh notation</w:t>
      </w:r>
      <w:r>
        <w:t xml:space="preserve">) to sweep many of those details under</w:t>
      </w:r>
      <w:r>
        <w:t xml:space="preserve"> </w:t>
      </w:r>
      <w:r>
        <w:t xml:space="preserve">the carpet.</w:t>
      </w:r>
    </w:p>
    <w:p>
      <w:pPr>
        <w:pStyle w:val="BodyText"/>
      </w:pPr>
      <w:r>
        <w:t xml:space="preserve">To a first approximation, there will be only two types of running times we will</w:t>
      </w:r>
      <w:r>
        <w:t xml:space="preserve"> </w:t>
      </w:r>
      <w:r>
        <w:t xml:space="preserve">encounter in this course:</w:t>
      </w:r>
    </w:p>
    <w:p>
      <w:pPr>
        <w:numPr>
          <w:numId w:val="1005"/>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5"/>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4"/>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 That is, for every</w:t>
      </w:r>
      <w:r>
        <w:t xml:space="preserve"> </w:t>
      </w:r>
      <m:oMath>
        <m:r>
          <m:t>c</m:t>
        </m:r>
        <m:r>
          <m:t>,</m:t>
        </m:r>
        <m:r>
          <m:t>d</m:t>
        </m:r>
      </m:oMath>
      <w:r>
        <w:t xml:space="preserve"> </w:t>
      </w:r>
      <w:r>
        <w:t xml:space="preserve">there is some</w:t>
      </w:r>
      <w:r>
        <w:t xml:space="preserve"> </w:t>
      </w:r>
      <m:oMath>
        <m:r>
          <m:t>N</m:t>
        </m:r>
      </m:oMath>
      <w:r>
        <w:t xml:space="preserve">, such that if</w:t>
      </w:r>
      <w:r>
        <w:t xml:space="preserve"> </w:t>
      </w:r>
      <m:oMath>
        <m:r>
          <m:t>n</m:t>
        </m:r>
        <m:r>
          <m:t>&gt;</m:t>
        </m:r>
        <m:r>
          <m:t>N</m:t>
        </m:r>
      </m:oMath>
      <w:r>
        <w:t xml:space="preserve"> </w:t>
      </w:r>
      <w:r>
        <w:t xml:space="preserve">then</w:t>
      </w:r>
      <w:r>
        <w:t xml:space="preserve"> </w:t>
      </w:r>
      <m:oMath>
        <m:r>
          <m:t>μ</m:t>
        </m:r>
        <m:r>
          <m:t>(</m:t>
        </m:r>
        <m:r>
          <m:t>n</m:t>
        </m:r>
        <m:r>
          <m:t>)</m:t>
        </m:r>
        <m:r>
          <m:t>&lt;</m:t>
        </m:r>
        <m:r>
          <m:t>1</m:t>
        </m:r>
        <m:r>
          <m:t>/</m:t>
        </m:r>
        <m:r>
          <m:t>(</m:t>
        </m:r>
        <m:r>
          <m:t>c</m:t>
        </m:r>
        <m:r>
          <m:t>n</m:t>
        </m:r>
        <m:sSup>
          <m:e>
            <m:r>
              <m:t>)</m:t>
            </m:r>
          </m:e>
          <m:sup>
            <m:r>
              <m:t>d</m:t>
            </m:r>
          </m:sup>
        </m:sSup>
      </m:oMath>
      <w:r>
        <w:t xml:space="preserve">. Note that for</w:t>
      </w:r>
      <w:r>
        <w:t xml:space="preserve"> </w:t>
      </w:r>
      <w:r>
        <w:t xml:space="preserve">every non-constant polynomials</w:t>
      </w:r>
      <w:r>
        <w:t xml:space="preserve"> </w:t>
      </w:r>
      <m:oMath>
        <m:r>
          <m:t>p</m:t>
        </m:r>
        <m:r>
          <m:t>,</m:t>
        </m:r>
        <m:r>
          <m:t>q</m:t>
        </m:r>
      </m:oMath>
      <w:r>
        <w:t xml:space="preserve">,</w:t>
      </w:r>
      <w:r>
        <w:t xml:space="preserve"> </w:t>
      </w:r>
      <m:oMath>
        <m:r>
          <m:t>μ</m:t>
        </m:r>
        <m:r>
          <m:t>(</m:t>
        </m:r>
        <m:r>
          <m:t>n</m:t>
        </m:r>
        <m:r>
          <m:t>)</m:t>
        </m:r>
      </m:oMath>
      <w:r>
        <w:t xml:space="preserve"> </w:t>
      </w:r>
      <w:r>
        <w:t xml:space="preserve">is negligible if and only if the</w:t>
      </w:r>
      <w:r>
        <w:t xml:space="preserve"> </w:t>
      </w:r>
      <w:r>
        <w:t xml:space="preserve">function</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pStyle w:val="Heading1"/>
        <w:pStyle w:val="BlockText"/>
      </w:pPr>
      <w:bookmarkStart w:id="35" w:name="asymptotic"/>
      <w:bookmarkEnd w:id="35"/>
    </w:p>
    <w:p>
      <w:pPr>
        <w:pStyle w:val="BlockText"/>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lock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r>
        <w:t xml:space="preserve"> </w:t>
      </w: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w:r>
        <w:t xml:space="preserve"> </w:t>
      </w:r>
      <w:r>
        <w:t xml:space="preserve">and</w:t>
      </w:r>
      <w:r>
        <w:t xml:space="preserve"> </w:t>
      </w: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w:r>
        <w:t xml:space="preserve">. 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p>
      <w:pPr>
        <w:pStyle w:val="FirstParagraph"/>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7"/>
      </w:r>
      <w:r>
        <w:t xml:space="preserve"> </w:t>
      </w:r>
      <w:r>
        <w:t xml:space="preserve">That is, we make the following definition:</w:t>
      </w:r>
    </w:p>
    <w:p>
      <w:pPr>
        <w:pStyle w:val="Heading1"/>
        <w:pStyle w:val="BlockText"/>
      </w:pPr>
      <w:bookmarkStart w:id="38" w:name="compsecdef"/>
      <w:bookmarkEnd w:id="38"/>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39" w:name="counting-number-of-operations."/>
      <w:r>
        <w:t xml:space="preserve">Counting number of operations.</w:t>
      </w:r>
      <w:bookmarkEnd w:id="39"/>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NAND gates (or equivalently, there is a NAND program computing</w:t>
      </w:r>
      <w:r>
        <w:t xml:space="preserve"> </w:t>
      </w:r>
      <m:oMath>
        <m:r>
          <m:t>F</m:t>
        </m:r>
      </m:oMath>
      <w:r>
        <w:t xml:space="preserve"> </w:t>
      </w:r>
      <w:r>
        <w:t xml:space="preserve">in at most</w:t>
      </w:r>
      <w:r>
        <w:t xml:space="preserve"> </w:t>
      </w:r>
      <m:oMath>
        <m:r>
          <m:t>T</m:t>
        </m:r>
      </m:oMath>
      <w:r>
        <w:t xml:space="preserve"> </w:t>
      </w:r>
      <w:r>
        <w:t xml:space="preserve">lines).</w:t>
      </w:r>
      <w:r>
        <w:t xml:space="preserve"> </w:t>
      </w:r>
      <w:r>
        <w:t xml:space="preserve">(There is nothing special about NAND, and we can use any other universal gate set.) 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Heading2"/>
      </w:pPr>
      <w:bookmarkStart w:id="40" w:name="our-first-conjecture"/>
      <w:r>
        <w:t xml:space="preserve">Our first conjecture</w:t>
      </w:r>
      <w:bookmarkEnd w:id="40"/>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1"/>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2" w:name="PNPcipherthm"/>
      <w:bookmarkEnd w:id="42"/>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3" w:name="section-3"/>
      <w:bookmarkEnd w:id="43"/>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6"/>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6"/>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6"/>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4" w:name="why-care-about-the-cipher-conjecture"/>
      <w:r>
        <w:t xml:space="preserve">Why care about the cipher conjecture?</w:t>
      </w:r>
      <w:bookmarkEnd w:id="44"/>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6"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5"/>
                    <a:stretch>
                      <a:fillRect/>
                    </a:stretch>
                  </pic:blipFill>
                  <pic:spPr bwMode="auto">
                    <a:xfrm>
                      <a:off x="0" y="0"/>
                      <a:ext cx="5334000" cy="2794000"/>
                    </a:xfrm>
                    <a:prstGeom prst="rect">
                      <a:avLst/>
                    </a:prstGeom>
                    <a:noFill/>
                    <a:ln w="9525">
                      <a:noFill/>
                      <a:headEnd/>
                      <a:tailEnd/>
                    </a:ln>
                  </pic:spPr>
                </pic:pic>
              </a:graphicData>
            </a:graphic>
          </wp:inline>
        </w:drawing>
      </w:r>
      <w:bookmarkEnd w:id="46"/>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47" w:name="X3a05b9928b8959264b1d11bb9f5a47b331eb6b2"/>
      <w:r>
        <w:t xml:space="preserve">Prelude: Computational Indistinguishability</w:t>
      </w:r>
      <w:bookmarkEnd w:id="47"/>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p>
      <w:pPr>
        <w:pStyle w:val="Heading1"/>
        <w:pStyle w:val="BlockText"/>
      </w:pPr>
      <w:bookmarkStart w:id="48" w:name="compindef"/>
      <w:bookmarkEnd w:id="48"/>
    </w:p>
    <w:p>
      <w:pPr>
        <w:pStyle w:val="Block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lock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BlockText"/>
      </w:pPr>
      <w:r>
        <w:t xml:space="preserve">We say that</w:t>
      </w:r>
      <w:r>
        <w:t xml:space="preserve"> </w:t>
      </w:r>
      <m:oMath>
        <m:r>
          <m:t>X</m:t>
        </m:r>
      </m:oMath>
      <w:r>
        <w:t xml:space="preserve"> </w:t>
      </w:r>
      <w:r>
        <w:t xml:space="preserve">and</w:t>
      </w:r>
      <w:r>
        <w:t xml:space="preserve"> </w:t>
      </w:r>
      <m:oMath>
        <m:r>
          <m:t>Y</m:t>
        </m:r>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49"/>
      </w:r>
    </w:p>
    <w:p>
      <w:pPr>
        <w:pStyle w:val="FirstParagraph"/>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0" w:name="compindsecthm"/>
      <w:bookmarkEnd w:id="50"/>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1"/>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2" w:name="triangleeqthm"/>
      <w:bookmarkEnd w:id="52"/>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3" w:name="section-4"/>
      <w:bookmarkEnd w:id="53"/>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4" w:name="compindrepthm"/>
      <w:bookmarkEnd w:id="54"/>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5" w:name="section-5"/>
      <w:bookmarkEnd w:id="55"/>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6"/>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57" w:name="hybridrem"/>
      <w:bookmarkEnd w:id="57"/>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58" w:name="the-length-extension-theorem"/>
      <w:r>
        <w:t xml:space="preserve">The Length Extension Theorem</w:t>
      </w:r>
      <w:bookmarkEnd w:id="58"/>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59" w:name="secrepthm"/>
      <w:bookmarkEnd w:id="59"/>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0" w:name="section-6"/>
      <w:bookmarkEnd w:id="60"/>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1" w:name="lengthextendthm"/>
      <w:bookmarkEnd w:id="61"/>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3"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2"/>
                    <a:stretch>
                      <a:fillRect/>
                    </a:stretch>
                  </pic:blipFill>
                  <pic:spPr bwMode="auto">
                    <a:xfrm>
                      <a:off x="0" y="0"/>
                      <a:ext cx="5334000" cy="2133600"/>
                    </a:xfrm>
                    <a:prstGeom prst="rect">
                      <a:avLst/>
                    </a:prstGeom>
                    <a:noFill/>
                    <a:ln w="9525">
                      <a:noFill/>
                      <a:headEnd/>
                      <a:tailEnd/>
                    </a:ln>
                  </pic:spPr>
                </pic:pic>
              </a:graphicData>
            </a:graphic>
          </wp:inline>
        </w:drawing>
      </w:r>
      <w:bookmarkEnd w:id="63"/>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4" w:name="section-7"/>
      <w:bookmarkEnd w:id="64"/>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5"/>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6"/>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3">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67" w:name="appendix-the-computational-model"/>
      <w:r>
        <w:t xml:space="preserve">Appendix: The computational model</w:t>
      </w:r>
      <w:bookmarkEnd w:id="67"/>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r>
        <w:t xml:space="preserve"> </w:t>
      </w:r>
      <w:r>
        <w:t xml:space="preserve">This is the model of RAND programs as in my</w:t>
      </w:r>
      <w:r>
        <w:t xml:space="preserve"> </w:t>
      </w:r>
      <w:hyperlink r:id="rId68">
        <w:r>
          <w:rPr>
            <w:rStyle w:val="Hyperlink"/>
          </w:rPr>
          <w:t xml:space="preserve">introduction to TCS lecture notes</w:t>
        </w:r>
      </w:hyperlink>
      <w:r>
        <w:t xml:space="preserve">, also known as the model of (probabilistic) Boolean circuits.</w:t>
      </w:r>
    </w:p>
    <w:p>
      <w:pPr>
        <w:pStyle w:val="Heading1"/>
        <w:pStyle w:val="BlockText"/>
      </w:pPr>
      <w:bookmarkStart w:id="69" w:name="randprogdef"/>
      <w:bookmarkEnd w:id="69"/>
    </w:p>
    <w:p>
      <w:pPr>
        <w:pStyle w:val="Block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pStyle w:val="Compact"/>
        <w:pStyle w:val="BlockText"/>
        <w:numPr>
          <w:numId w:val="1007"/>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r>
        <w:br w:type="textWrapping"/>
      </w:r>
    </w:p>
    <w:p>
      <w:pPr>
        <w:pStyle w:val="Compact"/>
        <w:pStyle w:val="BlockText"/>
        <w:numPr>
          <w:numId w:val="1007"/>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r>
        <w:br w:type="textWrapping"/>
      </w:r>
    </w:p>
    <w:p>
      <w:pPr>
        <w:pStyle w:val="BlockText"/>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beginning with</w:t>
      </w:r>
      <w:r>
        <w:t xml:space="preserve"> </w:t>
      </w:r>
      <w:r>
        <w:rPr>
          <w:rStyle w:val="VerbatimChar"/>
        </w:rPr>
        <w:t xml:space="preserve">x_</w:t>
      </w:r>
      <w:r>
        <w:t xml:space="preserve"> </w:t>
      </w:r>
      <w:r>
        <w:t xml:space="preserve">and</w:t>
      </w:r>
      <w:r>
        <w:t xml:space="preserve"> </w:t>
      </w:r>
      <w:r>
        <w:rPr>
          <w:rStyle w:val="VerbatimChar"/>
        </w:rPr>
        <w:t xml:space="preserve">y_</w:t>
      </w:r>
      <w:r>
        <w:t xml:space="preserve"> </w:t>
      </w:r>
      <w:r>
        <w:t xml:space="preserve">are considered input and output variables respectively. We require such variables to have the forms</w:t>
      </w:r>
      <w:r>
        <w:t xml:space="preserve"> </w:t>
      </w:r>
      <w:r>
        <w:rPr>
          <w:rStyle w:val="VerbatimChar"/>
        </w:rPr>
        <w:t xml:space="preserve">x_</w:t>
      </w:r>
      <m:oMath>
        <m:r>
          <m:t>0</m:t>
        </m:r>
      </m:oMath>
      <w:r>
        <w:t xml:space="preserve">,</w:t>
      </w:r>
      <m:oMath>
        <m:r>
          <m:t>…</m:t>
        </m:r>
      </m:oMath>
      <w:r>
        <w:t xml:space="preserve">,</w:t>
      </w:r>
      <w:r>
        <w:rPr>
          <w:rStyle w:val="VerbatimChar"/>
        </w:rPr>
        <w:t xml:space="preserve">x_</w:t>
      </w:r>
      <m:oMath>
        <m:r>
          <m:t>n</m:t>
        </m:r>
        <m:r>
          <m:t>−</m:t>
        </m:r>
        <m:r>
          <m:t>1</m:t>
        </m:r>
      </m:oMath>
      <w:r>
        <w:t xml:space="preserve"> </w:t>
      </w:r>
      <w:r>
        <w:t xml:space="preserve">for some</w:t>
      </w:r>
      <w:r>
        <w:t xml:space="preserve"> </w:t>
      </w:r>
      <m:oMath>
        <m:r>
          <m:t>n</m:t>
        </m:r>
        <m:r>
          <m:t>&gt;</m:t>
        </m:r>
        <m:r>
          <m:t>0</m:t>
        </m:r>
      </m:oMath>
      <w:r>
        <w:t xml:space="preserve"> </w:t>
      </w:r>
      <w:r>
        <w:t xml:space="preserve">and</w:t>
      </w:r>
      <w:r>
        <w:t xml:space="preserve"> </w:t>
      </w:r>
      <w:r>
        <w:rPr>
          <w:rStyle w:val="VerbatimChar"/>
        </w:rPr>
        <w:t xml:space="preserve">y_</w:t>
      </w:r>
      <m:oMath>
        <m:r>
          <m:t>0</m:t>
        </m:r>
      </m:oMath>
      <w:r>
        <w:t xml:space="preserve">,</w:t>
      </w:r>
      <w:r>
        <w:t xml:space="preserve"> </w:t>
      </w:r>
      <m:oMath>
        <m:r>
          <m:t>…</m:t>
        </m:r>
      </m:oMath>
      <w:r>
        <w:t xml:space="preserve">,</w:t>
      </w:r>
      <w:r>
        <w:t xml:space="preserve"> </w:t>
      </w:r>
      <w:r>
        <w:rPr>
          <w:rStyle w:val="VerbatimChar"/>
        </w:rPr>
        <w:t xml:space="preserve">y_</w:t>
      </w:r>
      <m:oMath>
        <m:r>
          <m:t>m</m:t>
        </m:r>
        <m:r>
          <m:t>−</m:t>
        </m:r>
        <m:r>
          <m:t>1</m:t>
        </m:r>
      </m:oMath>
      <w:r>
        <w:t xml:space="preserve">.</w:t>
      </w:r>
      <w:r>
        <w:t xml:space="preserve"> </w:t>
      </w:r>
      <w:r>
        <w:t xml:space="preserve">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FirstParagraph"/>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0"/>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footnote>
  <w:footnote w:id="26">
    <w:p>
      <w:pPr>
        <w:pStyle w:val="FootnoteText"/>
      </w:pPr>
      <w:r>
        <w:rPr>
          <w:rStyle w:val="FootnoteReference"/>
        </w:rPr>
        <w:footnoteRef/>
      </w:r>
      <w:r>
        <w:t xml:space="preserve"> </w:t>
      </w:r>
      <w:r>
        <w:t xml:space="preserve">This is a slight simplification of the typical notion of</w:t>
      </w:r>
      <w:r>
        <w:t xml:space="preserve"> </w:t>
      </w:r>
      <w:r>
        <w:t xml:space="preserve">“</w:t>
      </w:r>
      <m:oMath>
        <m:r>
          <m:t>t</m:t>
        </m:r>
      </m:oMath>
      <w:r>
        <w:t xml:space="preserve"> </w:t>
      </w:r>
      <w:r>
        <w:t xml:space="preserve">bits of security</w:t>
      </w:r>
      <w:r>
        <w:t xml:space="preserve">”</w:t>
      </w:r>
      <w:r>
        <w:t xml:space="preserve">. In the more standard definition we’d say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34">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7">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a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49">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1">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6">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5">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6">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0">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68">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jpg" /><Relationship Type="http://schemas.openxmlformats.org/officeDocument/2006/relationships/image" Id="rId45" Target="media/rId45.jpg" /><Relationship Type="http://schemas.openxmlformats.org/officeDocument/2006/relationships/image" Id="rId31" Target="media/rId31.jpg" /><Relationship Type="http://schemas.openxmlformats.org/officeDocument/2006/relationships/hyperlink" Id="rId23" Target="" TargetMode="External" /><Relationship Type="http://schemas.openxmlformats.org/officeDocument/2006/relationships/hyperlink" Id="rId68"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68"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2019-12-29T22:57:43Z</dcterms:created>
  <dcterms:modified xsi:type="dcterms:W3CDTF">2019-12-29T22:57:43Z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lec_02_computational_security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