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v0.29.1.</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Extract Companies from Profiles (v0.29.1, opt-in, Dashboard-only):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 its selectors could not be verified against a live LinkedIn profile before shipping and may need a live-tuning pass.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plus the auto-Priority-1 score threshold;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v0.28.5)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Deterministic Priority 1 - Post leads only - a “New” Post lead with no priority yet, whose company matches a target account labeled Very High or High (never a Provisional/Insufficient Evidence/Out of Scope one) at or above a configurable score threshold (Settings, default 70), is automatically set to Priority 1 before any batch AI prioritization call runs, so it's never double-scored. The tooltip on the Dashboard's priority pill names the match, its score, and its top AI initiative. The lead also gets a targetAccountMatch: true flag, so it stays distinguishable from a Mentor-scored lead even though both render the same way.</w:t>
      </w:r>
    </w:p>
    <w:p>
      <w:pPr>
        <w:pStyle w:val="ListBullet"/>
      </w:pPr>
      <w:r>
        <w:t>Job leads never get this hard override (v0.28.5) - reported: top-priority leads were nearly all Job listings, boosted purely by their employer's score even though a job ad's “creator” is the company itself, not a real, contactable individual, and typically states nothing beyond the hiring itself. A Job lead's company match - confident or not - is now always routed to the AI prioritization pass as a signal only, never a hard override; the Mentor is explicitly instructed to weigh a job's target-account signal much more conservatively than a post's (roughly one priority level of lift over what the ad's own content would otherwise justify, not straight to 1 or 2 on the company's strength alone).</w:t>
      </w:r>
    </w:p>
    <w:p>
      <w:pPr>
        <w:pStyle w:val="ListBullet"/>
      </w:pPr>
      <w:r>
        <w:t>Soft signal otherwise (Posts below the bar, and every Job lead) - passed into the same batch AI prioritization call (6.4) as context, so the Sales Mentor weighs it alongside its usual judgment rather than ignoring it outright. The Mentor is told to mention it in its own reason when it influenced the call, but that's free-text AI writing, not a guaranteed template - it didn't reliably say so, which made it look like the list wasn't being used at all even when it was.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Heading3"/>
      </w:pPr>
      <w:r>
        <w:t>6.12 Target Accounts Explorer (v0.29.0)</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company (Company, Industry, Type, Swiss Employees, Global Revenue, AI Score, AI Priority pill, Research Status), sortable per column and filterable by a free-text search across company name and industry. Sorted by AI Score descending by default.</w:t>
      </w:r>
    </w:p>
    <w:p>
      <w:pPr>
        <w:pStyle w:val="ListBullet"/>
      </w:pPr>
      <w:r>
        <w:t>Row click expands a detail panel in place: the company's fuller record plus its related Contacts and AI Initiatives - filtered client-side by matching companyId - and AI Investment/Sources sub-tables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0.29.1.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