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v0.29.4.</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 its selectors could not be verified against a live LinkedIn profile before shipping and may need a live-tuning pass.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confidence threshold, and the configurable Prioritization Rules table, v0.29.4;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v0.29.4)</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ListBullet"/>
      </w:pPr>
      <w:r>
        <w:t>Every rule above is configurable, and the whole set is visible in one place (v0.29.4) - a Prioritization Rules table on Settings (6.7) lists the four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all 44 Companies columns (v0.29.3) - every field the sheet has is a real, toggleable table column (43 columns cover all 44 raw fields - two currency fields are folded into their paired amount column's display). Twelve start visible (Company, Industry, Type, Global/Swiss Employees, Global/Swiss Revenue, AI Score, AI Priority pill, Evidence Coverage, Research Status, Priority Rationale) - the rest start hidden. Same Columns button + per-column “Hide This Column” menu item as the Dashboard (6.5). Sortable per column, plus a free-text search box across company name/industry. Sorted by AI Score descending by default.</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