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v0.28.6.</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v0.28.5)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Post leads only - a “New” Post lead with no priority yet, whose company matches a target account labeled Very High or High (never a Provisional/Insufficient Evidence/Out of Scope one) at or above a configurable score threshold (Settings, default 70), is automatically set to Priority 1 before any batch AI prioritization call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Job leads never get this hard override (v0.28.5) - reported: top-priority leads were nearly all Job listings, boosted purely by their employer's score even though a job ad's “creator” is the company itself, not a real, contactable individual, and typically states nothing beyond the hiring itself. A Job lead's company match - confident or not - is now always routed to the AI prioritization pass as a signal only, never a hard override; the Mentor is explicitly instructed to weigh a job's target-account signal much more conservatively than a post's (roughly one priority level of lift over what the ad's own content would otherwise justify, not straight to 1 or 2 on the company's strength alone).</w:t>
      </w:r>
    </w:p>
    <w:p>
      <w:pPr>
        <w:pStyle w:val="ListBullet"/>
      </w:pPr>
      <w:r>
        <w:t>Soft signal otherwise (Posts below the bar, and every Job lead) - passed into the same batch AI prioritization call (6.4) as context, so the Sales Mentor weighs it alongside its usual judgment rather than ignoring it outright. The Mentor is told to mention it in its own reason when it influenced the call, but that's free-text AI writing, not a guaranteed template - it didn't reliably say so, which made it look like the list wasn't being used at all even when it was.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