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v0.29.2.</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Three built-in topics, seeded by the Sales Mentor's own review of a real scan, cannot be removed but every field (keywords, AND-group, scope, enabled) is fully editable: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and Known Recruiting Firms (applies to both, v0.23.0 - a curated list of known Swiss recruiting/staffing agencies matched against company, a more reliable alternative to guessing from headline text).</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Extract Companies from Profiles (v0.29.1, opt-in, Dashboard-only):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 its selectors could not be verified against a live LinkedIn profile before shipping and may need a live-tuning pass.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with an impressive AI-sounding title at a company that clearly already runs AI at scale, that's really just industry commentary or thought leadership - reacting to AI news, sharing opinions/trends - with no expressed need, project, challenge, or hire of its own. Topical overlap and an impressive title aren't buying intent; the prompt now explicitly scores that pattern low (4-5) regardless of how senior or on-topic the poster looks.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Dismiss). Every sortable column supports click-to-sort and an Excel-style per-column dropdown (sort asc/desc, free-text filter). Column widths are user-resizable and persisted.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Target Accounts (v0.28.0 - imported list plus the auto-Priority-1 score threshold; see 6.11). Opened via its own blue button in the Scanner tile. The Advisors page reads these live (via chrome.storage.onChanged) rather than caching a stale copy, since editing now happens on a separate page.</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API key (opt-in per export, for deliberately sharing a spend-capped trial key). Import replaces wholesale - this is configuration a person deliberately set.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v0.29.2)</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 in Settings (6.7) and travel with a Settings export/import (6.8), so a fresh install or a restored backup doesn't lose them.</w:t>
      </w:r>
    </w:p>
    <w:p>
      <w:pPr>
        <w:pStyle w:val="Heading3"/>
      </w:pPr>
      <w:r>
        <w:t>6.12 Target Accounts Explorer (v0.29.0)</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company (Company, Industry, Type, Swiss Employees, Global Revenue, AI Score, AI Priority pill, Research Status), sortable per column and filterable by a free-text search across company name and industry. Sorted by AI Score descending by default.</w:t>
      </w:r>
    </w:p>
    <w:p>
      <w:pPr>
        <w:pStyle w:val="ListBullet"/>
      </w:pPr>
      <w:r>
        <w:t>Row click expands a detail panel in place: the company's fuller record plus its related Contacts and AI Initiatives - filtered client-side by matching companyId - and AI Investment/Sources sub-tables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Heading2"/>
      </w:pPr>
      <w:r>
        <w:t>9. Version history</w:t>
      </w:r>
    </w:p>
    <w:p>
      <w:r>
        <w:t>See RELEASE_NOTES.md for the full, dated changelog. Current version: 0.29.2.</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