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v0.29.3.</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Extract Companies from Profiles (v0.29.1, opt-in, Dashboard-only):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 its selectors could not be verified against a live LinkedIn profile before shipping and may need a live-tuning pass.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Dismiss). Every sortable column supports click-to-sort and an Excel-style per-column dropdown (sort asc/desc, free-text filter). Column widths are user-resizable and persisted.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Target Accounts (v0.28.0 - imported list plus the auto-Priority-1 score threshold; see 6.11). Opened via its own blue button in the Scanner tile. The Advisors page reads these live (via chrome.storage.onChanged) rather than caching a stale copy, since editing now happens on a separate page.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v0.29.2)</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 in Settings (6.7) and travel with a Settings export/import (6.8), so a fresh install or a restored backup doesn't lose them.</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all 44 Companies columns (v0.29.3) - every field the sheet has is a real, toggleable table column (43 columns cover all 44 raw fields - two currency fields are folded into their paired amount column's display). Twelve start visible (Company, Industry, Type, Global/Swiss Employees, Global/Swiss Revenue, AI Score, AI Priority pill, Evidence Coverage, Research Status, Priority Rationale) - the rest start hidden. Same Columns button + per-column “Hide This Column” menu item as the Dashboard (6.5). Sortable per column, plus a free-text search box across company name/industry. Sorted by AI Score descending by default.</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0.29.3.</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