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draft for review.</w:t>
      </w:r>
      <w:r>
        <w:rPr>
          <w:b w:val="0"/>
        </w:rPr>
        <w:t xml:space="preserve"> Decisions D1–D6 (section 12) wait for Boaz.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, the Ready bar, </w:t>
      </w:r>
      <w:r>
        <w:rPr>
          <w:rFonts w:ascii="Consolas" w:hAnsi="Consolas"/>
          <w:b w:val="0"/>
        </w:rPr>
        <w:t>MIN_READY_TO_SCAN</w:t>
      </w:r>
    </w:p>
    <w:p>
      <w:r>
        <w:rPr>
          <w:b w:val="0"/>
        </w:rPr>
        <w:t xml:space="preserve">(5) and the Scanner's selection are </w:t>
      </w:r>
      <w:r>
        <w:rPr>
          <w:b/>
        </w:rPr>
        <w:t>unchanged</w:t>
      </w:r>
      <w:r>
        <w:rPr>
          <w:b w:val="0"/>
        </w:rPr>
        <w:t>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 Discovery from listings; Advanced &gt; *Find accounts on the web*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listing cost, rows kept after filtering, share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pPr>
        <w:pStyle w:val="Heading2"/>
      </w:pPr>
      <w:r>
        <w:rPr>
          <w:b w:val="0"/>
        </w:rPr>
        <w:t>12. Decisions for Boaz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(postponed, decided).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