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bidi/>
        <w:spacing w:after="200" w:before="0"/>
        <w:jc w:val="center"/>
      </w:pPr>
      <w:r>
        <w:rPr>
          <w:rFonts w:ascii="David" w:cs="David" w:eastAsia="David" w:hAnsi="David"/>
          <w:b/>
          <w:bCs/>
          <w:color w:val="1F3864"/>
          <w:sz w:val="56"/>
          <w:szCs w:val="56"/>
        </w:rPr>
        <w:t xml:space="preserve">CareDesk Israel</w:t>
      </w:r>
    </w:p>
    <w:p>
      <w:pPr>
        <w:bidi/>
        <w:spacing w:after="200" w:before="0"/>
        <w:jc w:val="center"/>
      </w:pPr>
      <w:r>
        <w:rPr>
          <w:rFonts w:ascii="David" w:cs="David" w:eastAsia="David" w:hAnsi="David"/>
          <w:b/>
          <w:bCs/>
          <w:color w:val="2E5F9E"/>
          <w:sz w:val="38"/>
          <w:szCs w:val="38"/>
        </w:rPr>
        <w:t xml:space="preserve">מסמך אימות משפטי ורגולטורי — P0</w:t>
      </w:r>
    </w:p>
    <w:p>
      <w:pPr>
        <w:bidi/>
        <w:spacing w:after="100" w:before="0"/>
        <w:jc w:val="center"/>
      </w:pPr>
      <w:r>
        <w:rPr>
          <w:rFonts w:ascii="David" w:cs="David" w:eastAsia="David" w:hAnsi="David"/>
          <w:color w:val="595959"/>
          <w:sz w:val="28"/>
          <w:szCs w:val="28"/>
        </w:rPr>
        <w:t xml:space="preserve">לפני השקה מסחרית</w:t>
      </w:r>
    </w:p>
    <w:p>
      <w:pPr>
        <w:bidi/>
        <w:spacing w:after="600" w:before="0"/>
        <w:jc w:val="center"/>
      </w:pPr>
      <w:r>
        <w:rPr>
          <w:rFonts w:ascii="David" w:cs="David" w:eastAsia="David" w:hAnsi="David"/>
          <w:color w:val="595959"/>
          <w:sz w:val="22"/>
          <w:szCs w:val="22"/>
        </w:rPr>
        <w:t xml:space="preserve">גרסה 1.0  |  יולי 2026</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000"/>
            <w:shd w:fill="FFF2CC" w:val="clear"/>
            <w:tcMar>
              <w:top w:type="dxa" w:w="150"/>
              <w:left w:type="dxa" w:w="200"/>
              <w:bottom w:type="dxa" w:w="150"/>
              <w:right w:type="dxa" w:w="200"/>
            </w:tcMar>
          </w:tcPr>
          <w:p>
            <w:pPr>
              <w:bidi/>
              <w:jc w:val="center"/>
            </w:pPr>
            <w:r>
              <w:rPr>
                <w:rFonts w:ascii="David" w:cs="David" w:eastAsia="David" w:hAnsi="David"/>
                <w:sz w:val="20"/>
                <w:szCs w:val="20"/>
              </w:rPr>
              <w:t xml:space="preserve">⚠  מסמך זה הוא בסיס לבדיקה משפטית ואינו מהווה ייעוץ משפטי. יש להעביר לבדיקת עורך דין מוסמך בתחום דיני עבודה והגנת הפרטיות טרם השקה מסחרית.</w:t>
            </w:r>
          </w:p>
        </w:tc>
      </w:tr>
    </w:tbl>
    <w:p>
      <w:r>
        <w:br w:type="page"/>
      </w:r>
    </w:p>
    <w:p>
      <w:pPr>
        <w:pStyle w:val="Heading1"/>
        <w:bidi/>
      </w:pPr>
      <w:r>
        <w:t xml:space="preserve">חלק 1 — מפת סיכונים משפטיים</w:t>
      </w:r>
    </w:p>
    <w:p>
      <w:pPr>
        <w:bidi/>
        <w:spacing w:after="60" w:before="60"/>
      </w:pPr>
      <w:r>
        <w:rPr>
          <w:rFonts w:ascii="David" w:cs="David" w:eastAsia="David" w:hAnsi="David"/>
          <w:color w:val="000000"/>
          <w:sz w:val="22"/>
          <w:szCs w:val="22"/>
        </w:rPr>
        <w:t xml:space="preserve">המסמך הבא מפרט את הסיכונים המשפטיים המרכזיים הכרוכים בהפעלת CareDesk, מדרג אותם לפי חומרה ומציין את הדרישות הנדרשות לצמצומם.</w:t>
      </w:r>
    </w:p>
    <w:p>
      <w:pPr>
        <w:spacing w:after="80" w:before="80"/>
      </w:pPr>
    </w:p>
    <w:p>
      <w:pPr>
        <w:pStyle w:val="Heading2"/>
        <w:bidi/>
      </w:pPr>
      <w:r>
        <w:t xml:space="preserve">סיכון 1 — חישובי שכר שגויים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המערכת מחשבת שכר לעובד זר (שכר מינימום, גמולים, פיצויים, ימי מחלה, חופשה). טעות בחישוב עלולה ליצור חבות אזרחית כלפי העובד ו/או המעסיק.</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גבוה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שכר מינימום, תשמ"ז-1987  |  חוק פיצויי פיטורין, תשכ"ג-1963  |  חוק חופשה שנתית, תשי"א-1951  |  חוק דמי מחלה, תשל"ו-1976  |  תקנות עובדים זרים, תשנ"ה-1995</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אימות כל כלל שכר ע"י יועץ שכר מורשה (CPA). 2) Disclaimer שהמערכת מסייעת ואינה מחליפה ייעוץ. 3) בדיקת regression אוטומטית לכל שינוי. 4) תיעוד גרסאות של כל כלל חישוב.</w:t>
            </w:r>
          </w:p>
        </w:tc>
      </w:tr>
    </w:tbl>
    <w:p>
      <w:pPr>
        <w:spacing w:after="80" w:before="80"/>
      </w:pPr>
    </w:p>
    <w:p>
      <w:pPr>
        <w:pStyle w:val="Heading2"/>
        <w:bidi/>
      </w:pPr>
      <w:r>
        <w:t xml:space="preserve">סיכון 2 — עוזר AI המתפרש כייעוץ משפטי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המשתמש עלול לפרש תשובות העוזר כייעוץ משפטי מחייב. שגיאה עלולה לגרום נזק ממוני ולחשוף את CareDesk לתביעה בגין ייעוץ ללא רישיון.</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גבוה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לשכת עורכי הדין, תשכ"א-1961 (סעיפים 20, 97)  |  חוק הגנת הצרכן, תשמ"א-1981  |  פקודת הנזיקין [נוסח חדש]</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Disclaimer בולט בכל תשובת AI. 2) מניעת ניסוח "מותר/אסור" — רק "בדרך כלל" / "ייתכן". 3) Guardrails שמונעים ניסוח הסכמים. 4) אישור עו"ד לטקסטים במאגר הידע.</w:t>
            </w:r>
          </w:p>
        </w:tc>
      </w:tr>
    </w:tbl>
    <w:p>
      <w:pPr>
        <w:spacing w:after="80" w:before="80"/>
      </w:pPr>
    </w:p>
    <w:p>
      <w:pPr>
        <w:pStyle w:val="Heading2"/>
        <w:bidi/>
      </w:pPr>
      <w:r>
        <w:t xml:space="preserve">סיכון 3 — אחסון נתוני דרכון/ת.ז. ללא הסכמה מספקת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המערכת מאחסנת מסמכי זיהוי רגישים (דרכון, ת.ז., אשרה) של עובד ומעסיק. אלה "מידע רגיש" לפי חוק הגנת הפרטיות ותיקון 13.</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גבוה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הגנת הפרטיות, תשמ"א-1981  |  תיקון 13 (אוגוסט 2025)  |  תקנות הגנת הפרטיות (אבטחת מידע), תשע"ז-2017</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הסכמה מפורשת (opt-in) נפרדת לאחסון מסמכי זיהוי. 2) הצפנה AES-256 לכל מסמך. 3) מדיניות מחיקה אוטומטית 90 יום לאחר סיום. 4) רישום מאגר ברשם. 5) 2FA חובה.</w:t>
            </w:r>
          </w:p>
        </w:tc>
      </w:tr>
    </w:tbl>
    <w:p>
      <w:pPr>
        <w:spacing w:after="80" w:before="80"/>
      </w:pPr>
    </w:p>
    <w:p>
      <w:pPr>
        <w:pStyle w:val="Heading2"/>
        <w:bidi/>
      </w:pPr>
      <w:r>
        <w:t xml:space="preserve">סיכון 4 — עיבוד נתוני שכר ללא רישיון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ניהול תלושי שכר וחישובי גמלאות עשוי לחייב הסמכה מרשות שוק ההון/ביטוח לאומי לפי אופי הפעילות.</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ED7D31"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בינוני</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שירות נתוני אשראי, תשס"ב-2002  |  חוק הסדרת העיסוק בייעוץ השקעות, תשנ"ה-1995  |  תקנות מס הכנסה  |  חוק הביטוח הלאומי [נוסח משולב], תשנ"ה-1995</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בדיקת עו"ד האם הפעילות חייבת ברישיון. 2) שיתוף עם רואה חשבון מוסמך לכל תלוש. 3) Disclaimer שהמערכת כלי עזר ואינה מחליפה חשב שכר.</w:t>
            </w:r>
          </w:p>
        </w:tc>
      </w:tr>
    </w:tbl>
    <w:p>
      <w:pPr>
        <w:spacing w:after="80" w:before="80"/>
      </w:pPr>
    </w:p>
    <w:p>
      <w:pPr>
        <w:pStyle w:val="Heading2"/>
        <w:bidi/>
      </w:pPr>
      <w:r>
        <w:t xml:space="preserve">סיכון 5 — אחריות לאי-עמידה בהוראות רשות האוכלוסין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המערכת מנהלת תהליכי אשרות ורישיונות עבודה. אם מסמכים פגי תוקף לא יסומנו בזמן, המעסיק עלול להפר את חוק העובדים הזרים ולחטוף קנסות כבדים.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גבוה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עובדים זרים, תשנ"א-1991  |  תקנות עובדים זרים (איסור העסקה שלא כדין), תשנ"ה-1995  |  הנחיות רשות האוכלוסין וההגירה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התראות אוטומטיות 60/30/7 ימים לפני פקיעת אשרה. 2) Disclaimer שהמערכת אינה מחליפה בדיקת רשות האוכלוסין. 3) רישום מדויק של תאריכי תוקף. 4) אפשרות "הגשה בתהליך".</w:t>
            </w:r>
          </w:p>
        </w:tc>
      </w:tr>
    </w:tbl>
    <w:p>
      <w:pPr>
        <w:spacing w:after="80" w:before="80"/>
      </w:pPr>
    </w:p>
    <w:p>
      <w:pPr>
        <w:pStyle w:val="Heading2"/>
        <w:bidi/>
      </w:pPr>
      <w:r>
        <w:t xml:space="preserve">סיכון 6 — הפרת חוק הגנת הפרטיות, תיקון 13 (אוגוסט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פרמטר</w:t>
            </w:r>
          </w:p>
        </w:tc>
        <w:tc>
          <w:tcPr>
            <w:tcW w:type="dxa" w:w="6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תיאור</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תיקון 13 מחזק דרישות לעיבוד "מידע רגיש", מחייב מינוי DPO, הסכמה מפורשת ותיעוד מלא. קנסות עד 3.2 מיליון ₪.</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חומרה</w:t>
            </w:r>
          </w:p>
        </w:tc>
        <w:tc>
          <w:tcPr>
            <w:tcW w:type="dxa" w:w="68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גבוה</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חקיקה</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חוק הגנת הפרטיות, תשמ"א-1981  |  תיקון 13 (נכנס לתוקף אוגוסט 2025)  |  תקנות הגנת הפרטיות (אבטחת מידע), תשע"ז-2017</w:t>
            </w:r>
          </w:p>
        </w:tc>
      </w:tr>
      <w:tr>
        <w:tc>
          <w:tcPr>
            <w:tcW w:type="dxa" w:w="22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נדרש</w:t>
            </w:r>
          </w:p>
        </w:tc>
        <w:tc>
          <w:tcPr>
            <w:tcW w:type="dxa" w:w="68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מינוי DPO. 2) Privacy Notice מלא בשפה פשוטה. 3) רישום מאגר ברשם. 4) מדיניות מחיקה ותהליך גישה/תיקון/ניידות. 5) Audit log לגישה למידע רגיש. 6) הסכמי DPA עם ספקי ענן.</w:t>
            </w:r>
          </w:p>
        </w:tc>
      </w:tr>
    </w:tbl>
    <w:p>
      <w:r>
        <w:br w:type="page"/>
      </w:r>
    </w:p>
    <w:p>
      <w:pPr>
        <w:pStyle w:val="Heading1"/>
        <w:bidi/>
      </w:pPr>
      <w:r>
        <w:t xml:space="preserve">חלק 2 — הודעת פרטיות מלאה (Privacy Notice)</w:t>
      </w:r>
    </w:p>
    <w:p>
      <w:pPr>
        <w:bidi/>
        <w:spacing w:after="80" w:before="200"/>
        <w:jc w:val="center"/>
      </w:pPr>
      <w:r>
        <w:rPr>
          <w:rFonts w:ascii="David" w:cs="David" w:eastAsia="David" w:hAnsi="David"/>
          <w:b/>
          <w:bCs/>
          <w:color w:val="1F3864"/>
          <w:sz w:val="34"/>
          <w:szCs w:val="34"/>
        </w:rPr>
        <w:t xml:space="preserve">הודעת פרטיות — CareDesk Israel</w:t>
      </w:r>
    </w:p>
    <w:p>
      <w:pPr>
        <w:bidi/>
        <w:spacing w:after="200" w:before="0"/>
        <w:jc w:val="center"/>
      </w:pPr>
      <w:r>
        <w:rPr>
          <w:rFonts w:ascii="David" w:cs="David" w:eastAsia="David" w:hAnsi="David"/>
          <w:color w:val="595959"/>
          <w:sz w:val="20"/>
          <w:szCs w:val="20"/>
        </w:rPr>
        <w:t xml:space="preserve">לפי חוק הגנת הפרטיות, תשמ"א-1981 ותיקון 13  |  עדכון: יולי 2026</w:t>
      </w:r>
    </w:p>
    <w:p>
      <w:pPr>
        <w:pStyle w:val="Heading2"/>
        <w:bidi/>
      </w:pPr>
      <w:r>
        <w:t xml:space="preserve">1. מי אנחנו ומה אנחנו אוספים</w:t>
      </w:r>
    </w:p>
    <w:p>
      <w:pPr>
        <w:bidi/>
        <w:spacing w:after="60" w:before="60"/>
      </w:pPr>
      <w:r>
        <w:rPr>
          <w:rFonts w:ascii="David" w:cs="David" w:eastAsia="David" w:hAnsi="David"/>
          <w:color w:val="000000"/>
          <w:sz w:val="22"/>
          <w:szCs w:val="22"/>
        </w:rPr>
        <w:t xml:space="preserve">CareDesk Israel (להלן: "אנחנו" / "השירות") הוא כלי דיגיטלי לניהול העסקה ישירה של עובד סיעודי זר. כדי לספק את השירות, אנחנו אוספים ומעבדים מידע עליך ועל העובד שאתה מעסיק.</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סוג מידע</w:t>
            </w:r>
          </w:p>
        </w:tc>
        <w:tc>
          <w:tcPr>
            <w:tcW w:type="dxa" w:w="3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דוגמאות</w:t>
            </w:r>
          </w:p>
        </w:tc>
        <w:tc>
          <w:tcPr>
            <w:tcW w:type="dxa" w:w="2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מידע רגיש?</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פרטי זיהוי מעסיק</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שם, ת.ז., כתובת, טלפון, דוא"ל</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לא</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פרטי זיהוי עובד</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שם, מספר דרכון, אשרת עבודה, לאום</w:t>
            </w:r>
          </w:p>
        </w:tc>
        <w:tc>
          <w:tcPr>
            <w:tcW w:type="dxa" w:w="2500"/>
            <w:shd w:fill="FCE4D6"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כן ✓</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מסמכי זיהוי סרוקים</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צילום דרכון, ת.ז., אשרת כניסה/עבודה</w:t>
            </w:r>
          </w:p>
        </w:tc>
        <w:tc>
          <w:tcPr>
            <w:tcW w:type="dxa" w:w="2500"/>
            <w:shd w:fill="FCE4D6"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כן ✓</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נתוני שכר</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שעות עבודה, תלושים, גמולים, פיצויים</w:t>
            </w:r>
          </w:p>
        </w:tc>
        <w:tc>
          <w:tcPr>
            <w:tcW w:type="dxa" w:w="2500"/>
            <w:shd w:fill="FCE4D6"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כן ✓</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שאלות לעוזר AI</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שאלות שהקלדת לצ'אט</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תלוי בתוכן</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נתוני שימוש</w:t>
            </w:r>
          </w:p>
        </w:tc>
        <w:tc>
          <w:tcPr>
            <w:tcW w:type="dxa" w:w="3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זמן כניסה, עמודים, שגיאות</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לא</w:t>
            </w:r>
          </w:p>
        </w:tc>
      </w:tr>
    </w:tbl>
    <w:p>
      <w:pPr>
        <w:spacing w:after="80" w:before="80"/>
      </w:pPr>
    </w:p>
    <w:p>
      <w:pPr>
        <w:pStyle w:val="Heading2"/>
        <w:bidi/>
      </w:pPr>
      <w:r>
        <w:t xml:space="preserve">2. למה אנחנו משתמשים במידע שלך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מטרה</w:t>
            </w:r>
          </w:p>
        </w:tc>
        <w:tc>
          <w:tcPr>
            <w:tcW w:type="dxa" w:w="4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הבסיס המשפטי</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חישוב שכר ויצירת תלושים</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ביצוע חוזה בינינו לבינך</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ניהול מסמכי אשרה ודרכון</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ביצוע חוזה + הסכמה מפורשת</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התראות על פקיעת מסמכים</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אינטרס לגיטימי — מניעת נזק</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מענה לשאלות דרך העוזר החכם</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ביצוע חוזה</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שיפור השירות ואבטחה</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אינטרס לגיטימי — אבטחת מידע</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ציות לדיני עבודה ורשויות</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חובה חוקית</w:t>
            </w:r>
          </w:p>
        </w:tc>
      </w:tr>
    </w:tbl>
    <w:p>
      <w:pPr>
        <w:spacing w:after="80" w:before="80"/>
      </w:pPr>
    </w:p>
    <w:p>
      <w:pPr>
        <w:pStyle w:val="Heading2"/>
        <w:bidi/>
      </w:pPr>
      <w:r>
        <w:t xml:space="preserve">3. עם מי אנחנו משתפים את המידע שלך</w:t>
      </w:r>
    </w:p>
    <w:p>
      <w:pPr>
        <w:bidi/>
        <w:spacing w:after="60" w:before="60"/>
      </w:pPr>
      <w:r>
        <w:rPr>
          <w:rFonts w:ascii="David" w:cs="David" w:eastAsia="David" w:hAnsi="David"/>
          <w:color w:val="000000"/>
          <w:sz w:val="22"/>
          <w:szCs w:val="22"/>
        </w:rPr>
        <w:t xml:space="preserve">אנחנו לא מוכרים את המידע שלך לאף גורם. אנחנו עשויים לשתף מידע עם:</w:t>
      </w:r>
    </w:p>
    <w:p>
      <w:pPr>
        <w:bidi/>
        <w:spacing w:after="40" w:before="40"/>
        <w:ind w:left="400"/>
      </w:pPr>
      <w:r>
        <w:rPr>
          <w:rFonts w:ascii="David" w:cs="David" w:eastAsia="David" w:hAnsi="David"/>
          <w:sz w:val="22"/>
          <w:szCs w:val="22"/>
        </w:rPr>
        <w:t xml:space="preserve">• ספקי ענן ואחסון — לצורך הפעלת השירות בלבד, תחת הסכמי עיבוד מידע (DPA)</w:t>
      </w:r>
    </w:p>
    <w:p>
      <w:pPr>
        <w:bidi/>
        <w:spacing w:after="40" w:before="40"/>
        <w:ind w:left="400"/>
      </w:pPr>
      <w:r>
        <w:rPr>
          <w:rFonts w:ascii="David" w:cs="David" w:eastAsia="David" w:hAnsi="David"/>
          <w:sz w:val="22"/>
          <w:szCs w:val="22"/>
        </w:rPr>
        <w:t xml:space="preserve">• גורמי ביטוח לאומי/מס הכנסה — רק כשמחויבים על פי חוק</w:t>
      </w:r>
    </w:p>
    <w:p>
      <w:pPr>
        <w:bidi/>
        <w:spacing w:after="40" w:before="40"/>
        <w:ind w:left="400"/>
      </w:pPr>
      <w:r>
        <w:rPr>
          <w:rFonts w:ascii="David" w:cs="David" w:eastAsia="David" w:hAnsi="David"/>
          <w:sz w:val="22"/>
          <w:szCs w:val="22"/>
        </w:rPr>
        <w:t xml:space="preserve">• עורכי דין או רואי חשבון — אם שכרת שירות כזה דרכנו</w:t>
      </w:r>
    </w:p>
    <w:p>
      <w:pPr>
        <w:bidi/>
        <w:spacing w:after="40" w:before="40"/>
        <w:ind w:left="400"/>
      </w:pPr>
      <w:r>
        <w:rPr>
          <w:rFonts w:ascii="David" w:cs="David" w:eastAsia="David" w:hAnsi="David"/>
          <w:sz w:val="22"/>
          <w:szCs w:val="22"/>
        </w:rPr>
        <w:t xml:space="preserve">• רשויות ממשלתיות — אם נצטווה על פי צו בית משפט</w:t>
      </w:r>
    </w:p>
    <w:p>
      <w:pPr>
        <w:spacing w:after="80" w:before="80"/>
      </w:pPr>
    </w:p>
    <w:p>
      <w:pPr>
        <w:pStyle w:val="Heading2"/>
        <w:bidi/>
      </w:pPr>
      <w:r>
        <w:t xml:space="preserve">4. כמה זמן אנחנו שומרים את המידע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סוג מידע</w:t>
            </w:r>
          </w:p>
        </w:tc>
        <w:tc>
          <w:tcPr>
            <w:tcW w:type="dxa" w:w="4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תקופת שמירה</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תלושי שכר וגמולים</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7 שנים (חובה חוקית)</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צילומי דרכון/ת.ז.</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90 יום לאחר סיום ההעסקה</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שאלות לעוזר AI</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30 יום — לאחר מכן אנונימיזציה</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נתוני כניסה ושימוש</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12 חודשים</w:t>
            </w:r>
          </w:p>
        </w:tc>
      </w:tr>
      <w:tr>
        <w:tc>
          <w:tcPr>
            <w:tcW w:type="dxa" w:w="4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חשבון לא פעיל</w:t>
            </w:r>
          </w:p>
        </w:tc>
        <w:tc>
          <w:tcPr>
            <w:tcW w:type="dxa" w:w="4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24 חודשים ממועד הכניסה האחרון — ואז מחיקה</w:t>
            </w:r>
          </w:p>
        </w:tc>
      </w:tr>
    </w:tbl>
    <w:p>
      <w:pPr>
        <w:spacing w:after="80" w:before="80"/>
      </w:pPr>
    </w:p>
    <w:p>
      <w:pPr>
        <w:pStyle w:val="Heading2"/>
        <w:bidi/>
      </w:pPr>
      <w:r>
        <w:t xml:space="preserve">5. הזכויות שלך</w:t>
      </w:r>
    </w:p>
    <w:p>
      <w:pPr>
        <w:bidi/>
        <w:spacing w:after="60" w:before="60"/>
      </w:pPr>
      <w:r>
        <w:rPr>
          <w:rFonts w:ascii="David" w:cs="David" w:eastAsia="David" w:hAnsi="David"/>
          <w:color w:val="000000"/>
          <w:sz w:val="22"/>
          <w:szCs w:val="22"/>
        </w:rPr>
        <w:t xml:space="preserve">לפי חוק הגנת הפרטיות ותיקון 13, יש לך זכויות הבאות: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זכות</w:t>
            </w:r>
          </w:p>
        </w:tc>
        <w:tc>
          <w:tcPr>
            <w:tcW w:type="dxa" w:w="40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מה זה אומר</w:t>
            </w:r>
          </w:p>
        </w:tc>
        <w:tc>
          <w:tcPr>
            <w:tcW w:type="dxa" w:w="25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איך לממש</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גישה למידע</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לקבל רשימה של כל המידע שיש לנו עליך</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בקשה בכתב ל-DPO</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תיקון מידע</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לתקן מידע שגוי</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ישירות בהגדרות חשבון</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מחיקת מידע</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לבקש מחיקה (בכפוף לחובות חוקיות)</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בקשה בכתב ל-DPO</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ניידות נתונים</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לקבל את המידע בפורמט נקי (CSV/JSON)</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ייצוא מהגדרות</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התנגדות לעיבוד</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להתנגד לעיבוד המבוסס על אינטרס לגיטימי</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בקשה בכתב ל-DPO</w:t>
            </w:r>
          </w:p>
        </w:tc>
      </w:tr>
      <w:tr>
        <w:tc>
          <w:tcPr>
            <w:tcW w:type="dxa" w:w="25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שלילת הסכמה</w:t>
            </w:r>
          </w:p>
        </w:tc>
        <w:tc>
          <w:tcPr>
            <w:tcW w:type="dxa" w:w="4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לחזור בך מהסכמה שנתת (לא למפרע)</w:t>
            </w:r>
          </w:p>
        </w:tc>
        <w:tc>
          <w:tcPr>
            <w:tcW w:type="dxa" w:w="25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הגדרות פרטיות</w:t>
            </w:r>
          </w:p>
        </w:tc>
      </w:tr>
    </w:tbl>
    <w:p>
      <w:pPr>
        <w:spacing w:after="80" w:before="80"/>
      </w:pPr>
    </w:p>
    <w:p>
      <w:pPr>
        <w:pStyle w:val="Heading2"/>
        <w:bidi/>
      </w:pPr>
      <w:r>
        <w:t xml:space="preserve">6. איך אנחנו מגינים על המידע שלך</w:t>
      </w:r>
    </w:p>
    <w:p>
      <w:pPr>
        <w:bidi/>
        <w:spacing w:after="40" w:before="40"/>
        <w:ind w:left="400"/>
      </w:pPr>
      <w:r>
        <w:rPr>
          <w:rFonts w:ascii="David" w:cs="David" w:eastAsia="David" w:hAnsi="David"/>
          <w:sz w:val="22"/>
          <w:szCs w:val="22"/>
        </w:rPr>
        <w:t xml:space="preserve">• הצפנה מסוג AES-256 לכל מסמך מאוחסן</w:t>
      </w:r>
    </w:p>
    <w:p>
      <w:pPr>
        <w:bidi/>
        <w:spacing w:after="40" w:before="40"/>
        <w:ind w:left="400"/>
      </w:pPr>
      <w:r>
        <w:rPr>
          <w:rFonts w:ascii="David" w:cs="David" w:eastAsia="David" w:hAnsi="David"/>
          <w:sz w:val="22"/>
          <w:szCs w:val="22"/>
        </w:rPr>
        <w:t xml:space="preserve">• הצפנת תקשורת TLS 1.3 בכל העברות נתונים</w:t>
      </w:r>
    </w:p>
    <w:p>
      <w:pPr>
        <w:bidi/>
        <w:spacing w:after="40" w:before="40"/>
        <w:ind w:left="400"/>
      </w:pPr>
      <w:r>
        <w:rPr>
          <w:rFonts w:ascii="David" w:cs="David" w:eastAsia="David" w:hAnsi="David"/>
          <w:sz w:val="22"/>
          <w:szCs w:val="22"/>
        </w:rPr>
        <w:t xml:space="preserve">• 2FA (אימות דו-שלבי) — חובה לחשבונות עם מסמכי זיהוי</w:t>
      </w:r>
    </w:p>
    <w:p>
      <w:pPr>
        <w:bidi/>
        <w:spacing w:after="40" w:before="40"/>
        <w:ind w:left="400"/>
      </w:pPr>
      <w:r>
        <w:rPr>
          <w:rFonts w:ascii="David" w:cs="David" w:eastAsia="David" w:hAnsi="David"/>
          <w:sz w:val="22"/>
          <w:szCs w:val="22"/>
        </w:rPr>
        <w:t xml:space="preserve">• Audit log לכל גישה למסמך רגיש</w:t>
      </w:r>
    </w:p>
    <w:p>
      <w:pPr>
        <w:bidi/>
        <w:spacing w:after="40" w:before="40"/>
        <w:ind w:left="400"/>
      </w:pPr>
      <w:r>
        <w:rPr>
          <w:rFonts w:ascii="David" w:cs="David" w:eastAsia="David" w:hAnsi="David"/>
          <w:sz w:val="22"/>
          <w:szCs w:val="22"/>
        </w:rPr>
        <w:t xml:space="preserve">• גישה מינימלית — עובדים שלנו ניגשים רק למה שנחוץ לתפקידם</w:t>
      </w:r>
    </w:p>
    <w:p>
      <w:pPr>
        <w:bidi/>
        <w:spacing w:after="40" w:before="40"/>
        <w:ind w:left="400"/>
      </w:pPr>
      <w:r>
        <w:rPr>
          <w:rFonts w:ascii="David" w:cs="David" w:eastAsia="David" w:hAnsi="David"/>
          <w:sz w:val="22"/>
          <w:szCs w:val="22"/>
        </w:rPr>
        <w:t xml:space="preserve">• בדיקות אבטחה (Penetration Test) תקופתיות</w:t>
      </w:r>
    </w:p>
    <w:p>
      <w:pPr>
        <w:spacing w:after="80" w:before="80"/>
      </w:pPr>
    </w:p>
    <w:p>
      <w:pPr>
        <w:pStyle w:val="Heading2"/>
        <w:bidi/>
      </w:pPr>
      <w:r>
        <w:t xml:space="preserve">7. העברת מידע לחוץ לארץ</w:t>
      </w:r>
    </w:p>
    <w:p>
      <w:pPr>
        <w:bidi/>
        <w:spacing w:after="60" w:before="60"/>
      </w:pPr>
      <w:r>
        <w:rPr>
          <w:rFonts w:ascii="David" w:cs="David" w:eastAsia="David" w:hAnsi="David"/>
          <w:color w:val="000000"/>
          <w:sz w:val="22"/>
          <w:szCs w:val="22"/>
        </w:rPr>
        <w:t xml:space="preserve">אם נעביר מידע לשרתים מחוץ לישראל, נוודא שהמדינה או הגוף הקולט מספקים הגנה שוות-ערך לחוק הישראלי, ונחתום הסכם עיבוד מידע (DPA) מתאים.</w:t>
      </w:r>
    </w:p>
    <w:p>
      <w:pPr>
        <w:spacing w:after="80" w:before="80"/>
      </w:pPr>
    </w:p>
    <w:p>
      <w:pPr>
        <w:pStyle w:val="Heading2"/>
        <w:bidi/>
      </w:pPr>
      <w:r>
        <w:t xml:space="preserve">8. עוגיות (Cookies)</w:t>
      </w:r>
    </w:p>
    <w:p>
      <w:pPr>
        <w:bidi/>
        <w:spacing w:after="60" w:before="60"/>
      </w:pPr>
      <w:r>
        <w:rPr>
          <w:rFonts w:ascii="David" w:cs="David" w:eastAsia="David" w:hAnsi="David"/>
          <w:color w:val="000000"/>
          <w:sz w:val="22"/>
          <w:szCs w:val="22"/>
        </w:rPr>
        <w:t xml:space="preserve">אנחנו משתמשים בעוגיות הכרחיות בלבד להפעלת השירות (שמירת הכניסה לחשבון). איננו משתמשים בעוגיות פרסומיות או מעקב.</w:t>
      </w:r>
    </w:p>
    <w:p>
      <w:pPr>
        <w:spacing w:after="80" w:before="80"/>
      </w:pPr>
    </w:p>
    <w:p>
      <w:pPr>
        <w:pStyle w:val="Heading2"/>
        <w:bidi/>
      </w:pPr>
      <w:r>
        <w:t xml:space="preserve">9. שינויים במדיניות הפרטיות</w:t>
      </w:r>
    </w:p>
    <w:p>
      <w:pPr>
        <w:bidi/>
        <w:spacing w:after="60" w:before="60"/>
      </w:pPr>
      <w:r>
        <w:rPr>
          <w:rFonts w:ascii="David" w:cs="David" w:eastAsia="David" w:hAnsi="David"/>
          <w:color w:val="000000"/>
          <w:sz w:val="22"/>
          <w:szCs w:val="22"/>
        </w:rPr>
        <w:t xml:space="preserve">אם נשנה מדיניות זו בצורה מהותית, נודיע לך 30 יום מראש בדוא"ל ובהתראה בתוך השירות. שימוש מתמשך לאחר ההודעה מהווה הסכמה לשינויים.</w:t>
      </w:r>
    </w:p>
    <w:p>
      <w:pPr>
        <w:spacing w:after="80" w:before="80"/>
      </w:pPr>
    </w:p>
    <w:p>
      <w:pPr>
        <w:pStyle w:val="Heading2"/>
        <w:bidi/>
      </w:pPr>
      <w:r>
        <w:t xml:space="preserve">10. פרטי התקשרות — ממונה הגנת הפרטיות (DPO)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שם הממונה:</w:t>
            </w:r>
          </w:p>
        </w:tc>
        <w:tc>
          <w:tcPr>
            <w:tcW w:type="dxa" w:w="6000"/>
            <w:shd w:fill="FFF2CC"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[יש למלא לפני השקה]</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דוא"ל:</w:t>
            </w:r>
          </w:p>
        </w:tc>
        <w:tc>
          <w:tcPr>
            <w:tcW w:type="dxa" w:w="6000"/>
            <w:shd w:fill="FFF2CC"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privacy@caredesk.co.il  [יש להגדיר]</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כתובת:</w:t>
            </w:r>
          </w:p>
        </w:tc>
        <w:tc>
          <w:tcPr>
            <w:tcW w:type="dxa" w:w="6000"/>
            <w:shd w:fill="FFF2CC"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[כתובת החברה — יש למלא]</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טלפון:</w:t>
            </w:r>
          </w:p>
        </w:tc>
        <w:tc>
          <w:tcPr>
            <w:tcW w:type="dxa" w:w="6000"/>
            <w:shd w:fill="FFF2CC"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[טלפון — יש למלא]</w:t>
            </w:r>
          </w:p>
        </w:tc>
      </w:tr>
      <w:tr>
        <w:tc>
          <w:tcPr>
            <w:tcW w:type="dxa" w:w="30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זמן תגובה:</w:t>
            </w:r>
          </w:p>
        </w:tc>
        <w:tc>
          <w:tcPr>
            <w:tcW w:type="dxa" w:w="60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עד 30 ימי עסקים</w:t>
            </w:r>
          </w:p>
        </w:tc>
      </w:tr>
    </w:tbl>
    <w:p>
      <w:pPr>
        <w:spacing w:after="80" w:before="80"/>
      </w:pPr>
    </w:p>
    <w:p>
      <w:pPr>
        <w:bidi/>
        <w:spacing w:after="60" w:before="60"/>
      </w:pPr>
      <w:r>
        <w:rPr>
          <w:rFonts w:ascii="David" w:cs="David" w:eastAsia="David" w:hAnsi="David"/>
          <w:color w:val="595959"/>
          <w:sz w:val="22"/>
          <w:szCs w:val="22"/>
        </w:rPr>
        <w:t xml:space="preserve">ניתן גם לפנות לרשות הגנת הפרטיות (ישראל): www.gov.il/privacy</w:t>
      </w:r>
    </w:p>
    <w:p>
      <w:r>
        <w:br w:type="page"/>
      </w:r>
    </w:p>
    <w:p>
      <w:pPr>
        <w:pStyle w:val="Heading1"/>
        <w:bidi/>
      </w:pPr>
      <w:r>
        <w:t xml:space="preserve">חלק 3 — Checklist P0: חובה לפני השקה</w:t>
      </w:r>
    </w:p>
    <w:p>
      <w:pPr>
        <w:bidi/>
        <w:spacing w:after="60" w:before="60"/>
      </w:pPr>
      <w:r>
        <w:rPr>
          <w:rFonts w:ascii="David" w:cs="David" w:eastAsia="David" w:hAnsi="David"/>
          <w:color w:val="000000"/>
          <w:sz w:val="22"/>
          <w:szCs w:val="22"/>
        </w:rPr>
        <w:t xml:space="preserve">כל הפריטים הבאים חייבים להיות מסומנים "הושלם" לפני פתיחת השירות לציבור.</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פריט</w:t>
            </w:r>
          </w:p>
        </w:tc>
        <w:tc>
          <w:tcPr>
            <w:tcW w:type="dxa" w:w="14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סטטוס</w:t>
            </w:r>
          </w:p>
        </w:tc>
        <w:tc>
          <w:tcPr>
            <w:tcW w:type="dxa" w:w="2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אחראי</w:t>
            </w:r>
          </w:p>
        </w:tc>
        <w:tc>
          <w:tcPr>
            <w:tcW w:type="dxa" w:w="16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דדליין</w:t>
            </w:r>
          </w:p>
        </w:tc>
      </w:tr>
      <w:tr>
        <w:tc>
          <w:tcPr>
            <w:tcW w:type="dxa" w:w="3800"/>
            <w:gridSpan w:val="4"/>
            <w:shd w:fill="2E5F9E" w:val="clear"/>
            <w:tcMar>
              <w:top w:type="dxa" w:w="60"/>
              <w:left w:type="dxa" w:w="100"/>
              <w:bottom w:type="dxa" w:w="60"/>
              <w:right w:type="dxa" w:w="100"/>
            </w:tcMar>
          </w:tcPr>
          <w:p>
            <w:pPr>
              <w:bidi/>
            </w:pPr>
            <w:r>
              <w:rPr>
                <w:rFonts w:ascii="David" w:cs="David" w:eastAsia="David" w:hAnsi="David"/>
                <w:b/>
                <w:bCs/>
                <w:color w:val="FFFFFF"/>
                <w:sz w:val="20"/>
                <w:szCs w:val="20"/>
              </w:rPr>
              <w:t xml:space="preserve">משפטי וציות</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כל כלל שכר אומת ע"י יועץ שכר מורשה (CPA)</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CPA חיצוני</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Privacy Notice אושר ע"י עורך דין</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עו"ד פרטיות</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תנאי שימוש (ToS) נוסחו ואושרו ע"י עו"ד</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Disclaimer לעוזר החכם אושר ע"י עו"ד</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עו"ד + מוצר</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רישום מאגר מידע ברשם המאגרים</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DPO / 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מינוי DPO רשמי ופרסום פרטי התקשרות</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מנכ"ל</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הסכמי עיבוד מידע (DPA) עם ספקי ענן</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DPO</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בדיקת חובת רישיון כמערכת שכר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gridSpan w:val="4"/>
            <w:shd w:fill="2E5F9E" w:val="clear"/>
            <w:tcMar>
              <w:top w:type="dxa" w:w="60"/>
              <w:left w:type="dxa" w:w="100"/>
              <w:bottom w:type="dxa" w:w="60"/>
              <w:right w:type="dxa" w:w="100"/>
            </w:tcMar>
          </w:tcPr>
          <w:p>
            <w:pPr>
              <w:bidi/>
            </w:pPr>
            <w:r>
              <w:rPr>
                <w:rFonts w:ascii="David" w:cs="David" w:eastAsia="David" w:hAnsi="David"/>
                <w:b/>
                <w:bCs/>
                <w:color w:val="FFFFFF"/>
                <w:sz w:val="20"/>
                <w:szCs w:val="20"/>
              </w:rPr>
              <w:t xml:space="preserve">תרחישי קצה</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Flow: מוות מטופל — הוגדר ונבדק</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 + 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Flow: עובד שנעלם (AWOL) — הוגדר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 + 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Flow: גירוש עובד ע"י רשות האוכלוסין — הוגדר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 + 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Flow: עובד נפצע — הוגדר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Flow: מעסיק נפטר / פשיטת רגל — הוגדר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 + עו"ד</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gridSpan w:val="4"/>
            <w:shd w:fill="2E5F9E" w:val="clear"/>
            <w:tcMar>
              <w:top w:type="dxa" w:w="60"/>
              <w:left w:type="dxa" w:w="100"/>
              <w:bottom w:type="dxa" w:w="60"/>
              <w:right w:type="dxa" w:w="100"/>
            </w:tcMar>
          </w:tcPr>
          <w:p>
            <w:pPr>
              <w:bidi/>
            </w:pPr>
            <w:r>
              <w:rPr>
                <w:rFonts w:ascii="David" w:cs="David" w:eastAsia="David" w:hAnsi="David"/>
                <w:b/>
                <w:bCs/>
                <w:color w:val="FFFFFF"/>
                <w:sz w:val="20"/>
                <w:szCs w:val="20"/>
              </w:rPr>
              <w:t xml:space="preserve">אבטחת מידע</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הצפנה AES-256 לכל מסמך מאוחסן</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 אבטחה</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Audit log לכל גישה למסמך רגיש</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2FA חובה לחשבונות עם מסמכי זיהוי</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מדיניות מחיקת מסמכים אוטומטית (90 יום)</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 + DPO</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Penetration Test בוצע ע"י גורם חיצוני</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אבטחה חיצונית</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TLS 1.3 בכל נקודות API</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gridSpan w:val="4"/>
            <w:shd w:fill="2E5F9E" w:val="clear"/>
            <w:tcMar>
              <w:top w:type="dxa" w:w="60"/>
              <w:left w:type="dxa" w:w="100"/>
              <w:bottom w:type="dxa" w:w="60"/>
              <w:right w:type="dxa" w:w="100"/>
            </w:tcMar>
          </w:tcPr>
          <w:p>
            <w:pPr>
              <w:bidi/>
            </w:pPr>
            <w:r>
              <w:rPr>
                <w:rFonts w:ascii="David" w:cs="David" w:eastAsia="David" w:hAnsi="David"/>
                <w:b/>
                <w:bCs/>
                <w:color w:val="FFFFFF"/>
                <w:sz w:val="20"/>
                <w:szCs w:val="20"/>
              </w:rPr>
              <w:t xml:space="preserve">שכר ורגולציה</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שכר מינימום 2026 מוטמע ומאומת</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CPA</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נקודות זיכוי לעובד זר — אומתו</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CPA</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חישוב ביטוח לאומי מעסיק/עובד — אומת</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CPA</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Regression tests אוטומטיים לכל כלל שכר</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התראות 60/30/7 יום לפני פקיעת אשרה</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מהנדס</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r>
        <w:tc>
          <w:tcPr>
            <w:tcW w:type="dxa" w:w="3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תהליך הסכמה נפרד לאחסון מסמכי זיהוי</w:t>
            </w:r>
          </w:p>
        </w:tc>
        <w:tc>
          <w:tcPr>
            <w:tcW w:type="dxa" w:w="1400"/>
            <w:shd w:fill="C00000" w:val="clear"/>
            <w:tcMar>
              <w:top w:type="dxa" w:w="80"/>
              <w:left w:type="dxa" w:w="100"/>
              <w:bottom w:type="dxa" w:w="80"/>
              <w:right w:type="dxa" w:w="100"/>
            </w:tcMar>
          </w:tcPr>
          <w:p>
            <w:pPr>
              <w:bidi/>
              <w:spacing w:after="60" w:before="60"/>
              <w:jc w:val="right"/>
            </w:pPr>
            <w:r>
              <w:rPr>
                <w:rFonts w:ascii="David" w:cs="David" w:eastAsia="David" w:hAnsi="David"/>
                <w:b w:val="false"/>
                <w:bCs w:val="false"/>
                <w:color w:val="FFFFFF"/>
                <w:sz w:val="20"/>
                <w:szCs w:val="20"/>
              </w:rPr>
              <w:t xml:space="preserve">חובה</w:t>
            </w:r>
          </w:p>
        </w:tc>
        <w:tc>
          <w:tcPr>
            <w:tcW w:type="dxa" w:w="2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מוצר + DPO</w:t>
            </w:r>
          </w:p>
        </w:tc>
        <w:tc>
          <w:tcPr>
            <w:tcW w:type="dxa" w:w="16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[_______]</w:t>
            </w:r>
          </w:p>
        </w:tc>
      </w:tr>
    </w:tbl>
    <w:p>
      <w:r>
        <w:br w:type="page"/>
      </w:r>
    </w:p>
    <w:p>
      <w:pPr>
        <w:pStyle w:val="Heading1"/>
        <w:bidi/>
      </w:pPr>
      <w:r>
        <w:t xml:space="preserve">חלק 4 — תרחישי קצה: Flows מוגדרים</w:t>
      </w:r>
    </w:p>
    <w:p>
      <w:pPr>
        <w:bidi/>
        <w:spacing w:after="60" w:before="60"/>
      </w:pPr>
      <w:r>
        <w:rPr>
          <w:rFonts w:ascii="David" w:cs="David" w:eastAsia="David" w:hAnsi="David"/>
          <w:color w:val="000000"/>
          <w:sz w:val="22"/>
          <w:szCs w:val="22"/>
        </w:rPr>
        <w:t xml:space="preserve">לכל תרחיש: מה קורה, מי אחראי, מה המערכת עושה, מה המשתמש רואה.</w:t>
      </w:r>
    </w:p>
    <w:p>
      <w:pPr>
        <w:spacing w:after="80" w:before="80"/>
      </w:pPr>
    </w:p>
    <w:p>
      <w:pPr>
        <w:pStyle w:val="Heading2"/>
        <w:bidi/>
      </w:pPr>
      <w:r>
        <w:t xml:space="preserve">תרחיש 1 — מוות מטופל באמצע חודש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המטופל נפטר. יש לחשב שכר יחסי עד יום הפטירה, לשלם פיצויי פיטורין לעובד ולסיים את ההעסקה.</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(יורשים / נציג עיזבון) — CareDesk מסייע בתהליך, לא מחליף ייעוץ משפטי.</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סימון "הסתיימה העסקה עקב פטירת מטופל" + תאריך. 2) חישוב שכר יחסי אוטומטי. 3) חישוב פיצויי פיטורין. 4) Checklist פרידה מהעובד. 5) התראה: "יש לפנות לרשות האוכלוסין בתוך 30 יום לעדכון סטטוס אשרה." 6) שאלה: האם לנעול גישה ולשמור מסמכים 90 יום.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כחול: "סיום העסקה — פטירת מטופל" + סיכום תשלומים + כפתור "הפק מסמך סיום". Disclaimer: "מסמך זה לנוחות בלבד — לאימות משפטי פנה לעורך דין."</w:t>
            </w:r>
          </w:p>
        </w:tc>
      </w:tr>
    </w:tbl>
    <w:p>
      <w:pPr>
        <w:spacing w:after="80" w:before="80"/>
      </w:pPr>
    </w:p>
    <w:p>
      <w:pPr>
        <w:pStyle w:val="Heading2"/>
        <w:bidi/>
      </w:pPr>
      <w:r>
        <w:t xml:space="preserve">תרחיש 2 — עובד שנעלם (AWOL)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העובד לא הופיע לעבודה ואין קשר. מצב זה יוצר חובות משפטיות כלפי רשות האוכלוסין (חובת דיווח) ושאלות לגבי שכר ופיצויים.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חייב לדווח לרשות האוכלוסין ולמשטרה (אם רלוונטי). CareDesk מספק הנחיה בלבד.</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סימון "עובד לא הופיע — יום X". 2) לאחר 3 ימים: התראה לדווח לרשות האוכלוסין. 3) קישור לטופס הדיווח הרשמי. 4) קפיאת חישוב שכר מיום ההיעלמות. 5) לאחר 30 יום: הצעה לסגור את ההעסקה.</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כתום: "עובד לא הופיע — פעול עכשיו" + Checklist: (1) דווח לרשות האוכלוסין תוך 5 ימי עסקים, (2) תעד ניסיונות יצירת קשר, (3) שקול פנייה למשטרה. Disclaimer: "אנחנו לא יכולים לדווח לרשויות עבורך."</w:t>
            </w:r>
          </w:p>
        </w:tc>
      </w:tr>
    </w:tbl>
    <w:p>
      <w:pPr>
        <w:spacing w:after="80" w:before="80"/>
      </w:pPr>
    </w:p>
    <w:p>
      <w:pPr>
        <w:pStyle w:val="Heading2"/>
        <w:bidi/>
      </w:pPr>
      <w:r>
        <w:t xml:space="preserve">תרחיש 3 — גירוש עובד ע"י רשות האוכלוסין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רשות האוכלוסין הוציאה צו גירוש לעובד. ההעסקה מסתיימת בפתאומיות; עשויות להיות זכויות שכר שלא שולמו.</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חייב לשלם שכר עד יום הגירוש ולשקול פיצויים. רשות האוכלוסין מנהלת את הגירוש.</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סימון "גירוש" + תאריך. 2) חישוב שכר עד אותו יום. 3) הפקת "תשלום אחרון" — שעות, חופשה שלא נוצלה, פיצויים. 4) הנחיה: "שלם בהעברה בנקאית ותעד קבלה." 5) עדכון סטטוס ל"הסתיימה העסקה — גירוש".</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אדום: "גירוש עובד — תשלום אחרון נדרש". סיכום תשלומים + כפתור "הפק מסמך סיום". התראה: "שמור אסמכתא על התשלום — נדרש לתיק ברשות האוכלוסין."</w:t>
            </w:r>
          </w:p>
        </w:tc>
      </w:tr>
    </w:tbl>
    <w:p>
      <w:pPr>
        <w:spacing w:after="80" w:before="80"/>
      </w:pPr>
    </w:p>
    <w:p>
      <w:pPr>
        <w:pStyle w:val="Heading2"/>
        <w:bidi/>
      </w:pPr>
      <w:r>
        <w:t xml:space="preserve">תרחיש 4 — עובד נפצע בעבודה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העובד נפצע תוך כדי עבודה. קיימות חובות ביטוח לאומי (דמי פגיעה), חובת תיעוד ודיווח.</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חייב להגיש תביעה לביטוח לאומי תוך 12 חודשים. אחריות ביטוחית תלויה בנסיבות.</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סימון "תאונת עבודה" + תאריך + תיאור. 2) Checklist: (א) פנה לחדר מיון, (ב) הפק אישור ביקור רפואי, (ג) הגש תביעה לביטוח לאומי. 3) קישור לטופס ביטוח לאומי BL/200. 4) הסבר: "ימי היעדרות עקב תאונת עבודה — הביטוח הלאומי משלם מיום ה-4."</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כתום: "תאונת עבודה — פעול עכשיו" + Checklist + Disclaimer: "אנחנו לא יכולים להגיש תביעות לביטוח לאומי עבורך."</w:t>
            </w:r>
          </w:p>
        </w:tc>
      </w:tr>
    </w:tbl>
    <w:p>
      <w:pPr>
        <w:spacing w:after="80" w:before="80"/>
      </w:pPr>
    </w:p>
    <w:p>
      <w:pPr>
        <w:pStyle w:val="Heading2"/>
        <w:bidi/>
      </w:pPr>
      <w:r>
        <w:t xml:space="preserve">תרחיש 5 — מעסיק נפטר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נפטר. העובד עדיין בארץ וזכאי לתשלום. צד שלישי (יורש/בן משפחה) צריך לנהל את ההשלמה.</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עיזבון המעסיק / יורשים חייבים בתשלום זכויות העובד. גישה לחשבון מחייבת אימות יורשים.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"העברת חשבון לנציג" — דורשת אימות זהות + צו ירושה / ייפוי כוח. 2) קפיאת חיובים אוטומטיים עד אישור ממשיך. 3) שמירת כל המסמכים 24 חודשים. 4) Checklist: (א) קבל ייפוי כוח/צו ירושה, (ב) עדכן את העובד, (ג) שלם זכויות שנצברו.</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אדום: "חשבון ממתין לנציג מורשה". טופס "בקשת העברת ניהול חשבון" + רשימת מסמכים. Disclaimer: "לתוקף המשפטי של ההעברה — פנה לעורך דין."</w:t>
            </w:r>
          </w:p>
        </w:tc>
      </w:tr>
    </w:tbl>
    <w:p>
      <w:pPr>
        <w:spacing w:after="80" w:before="80"/>
      </w:pPr>
    </w:p>
    <w:p>
      <w:pPr>
        <w:pStyle w:val="Heading2"/>
        <w:bidi/>
      </w:pPr>
      <w:r>
        <w:t xml:space="preserve">תרחיש 6 — פשיטת רגל של המעסיק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שלב</w:t>
            </w:r>
          </w:p>
        </w:tc>
        <w:tc>
          <w:tcPr>
            <w:tcW w:type="dxa" w:w="7200"/>
            <w:shd w:fill="1F3864" w:val="clear"/>
            <w:tcMar>
              <w:top w:type="dxa" w:w="80"/>
              <w:left w:type="dxa" w:w="100"/>
              <w:bottom w:type="dxa" w:w="80"/>
              <w:right w:type="dxa" w:w="100"/>
            </w:tcMar>
          </w:tcPr>
          <w:p>
            <w:pPr>
              <w:bidi/>
              <w:spacing w:after="60" w:before="60"/>
              <w:jc w:val="right"/>
            </w:pPr>
            <w:r>
              <w:rPr>
                <w:rFonts w:ascii="David" w:cs="David" w:eastAsia="David" w:hAnsi="David"/>
                <w:b/>
                <w:bCs/>
                <w:color w:val="FFFFFF"/>
                <w:sz w:val="20"/>
                <w:szCs w:val="20"/>
              </w:rPr>
              <w:t xml:space="preserve">פרטים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קורה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המעסיק הכריז על פשיטת רגל. לעובד יש זכות תשלום עדיפה מהביטוח הלאומי דרך "קרן גמלאות".</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מי אחראי</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הביטוח הלאומי ו/או כונס הנכסים. המעסיק אינו יכול להמשיך לנהל את החשבון.</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המערכת עושה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1) סימון "פשיטת רגל" — מקפיא את החשבון מיד. 2) הפקת דוח מלא של זכויות צבורות לעובד (שכר, פיצויים, חופשה). 3) הנחיה לעובד: "הגש תביעה לביטוח לאומי לקבלת שכר שלא שולם."</w:t>
            </w:r>
          </w:p>
        </w:tc>
      </w:tr>
      <w:tr>
        <w:tc>
          <w:tcPr>
            <w:tcW w:type="dxa" w:w="1800"/>
            <w:shd w:fill="F2F2F2"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מה המשתמש רואה</w:t>
            </w:r>
          </w:p>
        </w:tc>
        <w:tc>
          <w:tcPr>
            <w:tcW w:type="dxa" w:w="7200"/>
            <w:shd w:fill="FFFFFF" w:val="clear"/>
            <w:tcMar>
              <w:top w:type="dxa" w:w="80"/>
              <w:left w:type="dxa" w:w="100"/>
              <w:bottom w:type="dxa" w:w="80"/>
              <w:right w:type="dxa" w:w="100"/>
            </w:tcMar>
          </w:tcPr>
          <w:p>
            <w:pPr>
              <w:bidi/>
              <w:spacing w:after="60" w:before="60"/>
              <w:jc w:val="right"/>
            </w:pPr>
            <w:r>
              <w:rPr>
                <w:rFonts w:ascii="David" w:cs="David" w:eastAsia="David" w:hAnsi="David"/>
                <w:b w:val="false"/>
                <w:bCs w:val="false"/>
                <w:color w:val="000000"/>
                <w:sz w:val="20"/>
                <w:szCs w:val="20"/>
              </w:rPr>
              <w:t xml:space="preserve">Banner אדום: "חשבון מוקפא — פשיטת רגל". כפתור "הפק דוח זכויות עובד". Disclaimer: "מסמך זה לא מהווה מסמך משפטי — פנה לביטוח לאומי / כונס נכסים."</w:t>
            </w:r>
          </w:p>
        </w:tc>
      </w:tr>
    </w:tbl>
    <w:p>
      <w:pPr>
        <w:spacing w:after="80" w:before="80"/>
      </w:pPr>
    </w:p>
    <w:p>
      <w:r>
        <w:br w:type="page"/>
      </w:r>
    </w:p>
    <w:p>
      <w:pPr>
        <w:pStyle w:val="Heading1"/>
        <w:bidi/>
      </w:pPr>
      <w:r>
        <w:t xml:space="preserve">חלק 5 — Disclaimer לעוזר החכם</w:t>
      </w:r>
    </w:p>
    <w:p>
      <w:pPr>
        <w:bidi/>
        <w:spacing w:after="60" w:before="60"/>
      </w:pPr>
      <w:r>
        <w:rPr>
          <w:rFonts w:ascii="David" w:cs="David" w:eastAsia="David" w:hAnsi="David"/>
          <w:color w:val="000000"/>
          <w:sz w:val="22"/>
          <w:szCs w:val="22"/>
        </w:rPr>
        <w:t xml:space="preserve">שלוש גרסאות לשימוש בהקשרים שונים.</w:t>
      </w:r>
    </w:p>
    <w:p>
      <w:pPr>
        <w:spacing w:after="80" w:before="80"/>
      </w:pPr>
    </w:p>
    <w:p>
      <w:pPr>
        <w:pStyle w:val="Heading2"/>
        <w:bidi/>
      </w:pPr>
      <w:r>
        <w:t xml:space="preserve">גרסה א׳ — קצרה (שורה אחת)</w:t>
      </w:r>
    </w:p>
    <w:p>
      <w:pPr>
        <w:bidi/>
        <w:spacing w:after="60" w:before="60"/>
      </w:pPr>
      <w:r>
        <w:rPr>
          <w:rFonts w:ascii="David" w:cs="David" w:eastAsia="David" w:hAnsi="David"/>
          <w:color w:val="595959"/>
          <w:sz w:val="22"/>
          <w:szCs w:val="22"/>
        </w:rPr>
        <w:t xml:space="preserve">שימוש: placeholder בתיבת הצ'אט, tooltip, כותרת עמוד העוזר.</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BF3FB" w:val="clear"/>
            <w:tcMar>
              <w:top w:type="dxa" w:w="140"/>
              <w:left w:type="dxa" w:w="200"/>
              <w:bottom w:type="dxa" w:w="140"/>
              <w:right w:type="dxa" w:w="200"/>
            </w:tcMar>
          </w:tcPr>
          <w:p>
            <w:pPr>
              <w:bidi/>
              <w:jc w:val="right"/>
            </w:pPr>
            <w:r>
              <w:rPr>
                <w:rFonts w:ascii="David" w:cs="David" w:eastAsia="David" w:hAnsi="David"/>
                <w:sz w:val="22"/>
                <w:szCs w:val="22"/>
              </w:rPr>
              <w:t xml:space="preserve">העוזר החכם מספק מידע כללי בלבד ואינו מהווה ייעוץ משפטי, שכר או רפואי. לקבלת ייעוץ אישי פנה לאיש מקצוע מוסמך.</w:t>
            </w:r>
          </w:p>
        </w:tc>
      </w:tr>
    </w:tbl>
    <w:p>
      <w:pPr>
        <w:spacing w:after="80" w:before="80"/>
      </w:pPr>
    </w:p>
    <w:p>
      <w:pPr>
        <w:pStyle w:val="Heading2"/>
        <w:bidi/>
      </w:pPr>
      <w:r>
        <w:t xml:space="preserve">גרסה ב׳ — בינונית (3 שורות)</w:t>
      </w:r>
    </w:p>
    <w:p>
      <w:pPr>
        <w:bidi/>
        <w:spacing w:after="60" w:before="60"/>
      </w:pPr>
      <w:r>
        <w:rPr>
          <w:rFonts w:ascii="David" w:cs="David" w:eastAsia="David" w:hAnsi="David"/>
          <w:color w:val="595959"/>
          <w:sz w:val="22"/>
          <w:szCs w:val="22"/>
        </w:rPr>
        <w:t xml:space="preserve">שימוש: מסך פתיחת העוזר, לפני שאלה ראשונה, הגדרות עזרה.</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left w:val="single" w:color="2E5F9E" w:sz="16"/>
            </w:tcBorders>
            <w:shd w:fill="EBF3FB" w:val="clear"/>
            <w:tcMar>
              <w:top w:type="dxa" w:w="120"/>
              <w:left w:type="dxa" w:w="200"/>
              <w:bottom w:type="dxa" w:w="120"/>
              <w:right w:type="dxa" w:w="200"/>
            </w:tcMar>
          </w:tcPr>
          <w:p>
            <w:pPr>
              <w:bidi/>
              <w:spacing w:after="80" w:before="100"/>
            </w:pPr>
            <w:r>
              <w:rPr>
                <w:rFonts w:ascii="David" w:cs="David" w:eastAsia="David" w:hAnsi="David"/>
                <w:b/>
                <w:bCs/>
                <w:color w:val="1F3864"/>
                <w:sz w:val="24"/>
                <w:szCs w:val="24"/>
              </w:rPr>
              <w:t xml:space="preserve">העוזר החכם של CareDesk</w:t>
            </w:r>
          </w:p>
          <w:p>
            <w:pPr>
              <w:bidi/>
              <w:spacing w:after="80" w:before="0"/>
            </w:pPr>
            <w:r>
              <w:rPr>
                <w:rFonts w:ascii="David" w:cs="David" w:eastAsia="David" w:hAnsi="David"/>
                <w:sz w:val="22"/>
                <w:szCs w:val="22"/>
              </w:rPr>
              <w:t xml:space="preserve">העוזר מספק מידע כללי על העסקת עובד סיעודי זר — חוקים, נהלים, טפסים ותאריכים. המידע מבוסס על ידע קיים ועשוי שלא לשקף שינויי חקיקה אחרונים.</w:t>
            </w:r>
          </w:p>
          <w:p>
            <w:pPr>
              <w:bidi/>
              <w:spacing w:after="100" w:before="0"/>
            </w:pPr>
            <w:r>
              <w:rPr>
                <w:rFonts w:ascii="David" w:cs="David" w:eastAsia="David" w:hAnsi="David"/>
                <w:color w:val="595959"/>
                <w:sz w:val="22"/>
                <w:szCs w:val="22"/>
              </w:rPr>
              <w:t xml:space="preserve">תשובות העוזר אינן מהוות ייעוץ משפטי, שכר או רפואי מקצועי. לכל החלטה בעלת השלכות — פנה לעורך דין, חשב שכר, או איש מקצוע מתאים.</w:t>
            </w:r>
          </w:p>
        </w:tc>
      </w:tr>
    </w:tbl>
    <w:p>
      <w:pPr>
        <w:spacing w:after="80" w:before="80"/>
      </w:pPr>
    </w:p>
    <w:p>
      <w:pPr>
        <w:pStyle w:val="Heading2"/>
        <w:bidi/>
      </w:pPr>
      <w:r>
        <w:t xml:space="preserve">גרסה ג׳ — מלאה (לדף תנאי שימוש / FAQ)</w:t>
      </w:r>
    </w:p>
    <w:p>
      <w:pPr>
        <w:bidi/>
        <w:spacing w:after="60" w:before="60"/>
      </w:pPr>
      <w:r>
        <w:rPr>
          <w:rFonts w:ascii="David" w:cs="David" w:eastAsia="David" w:hAnsi="David"/>
          <w:color w:val="595959"/>
          <w:sz w:val="22"/>
          <w:szCs w:val="22"/>
        </w:rPr>
        <w:t xml:space="preserve">שימוש: עמוד "אודות העוזר", מסמך תנאי שימוש, עמוד שאלות נפוצות.</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left w:val="single" w:color="2E5F9E" w:sz="16"/>
            </w:tcBorders>
            <w:shd w:fill="EBF3FB" w:val="clear"/>
            <w:tcMar>
              <w:top w:type="dxa" w:w="120"/>
              <w:left w:type="dxa" w:w="200"/>
              <w:bottom w:type="dxa" w:w="120"/>
              <w:right w:type="dxa" w:w="200"/>
            </w:tcMar>
          </w:tcPr>
          <w:p>
            <w:pPr>
              <w:bidi/>
              <w:spacing w:after="120" w:before="100"/>
            </w:pPr>
            <w:r>
              <w:rPr>
                <w:rFonts w:ascii="David" w:cs="David" w:eastAsia="David" w:hAnsi="David"/>
                <w:b/>
                <w:bCs/>
                <w:color w:val="1F3864"/>
                <w:sz w:val="24"/>
                <w:szCs w:val="24"/>
              </w:rPr>
              <w:t xml:space="preserve">הגבלת אחריות — עוזר CareDesk החכם</w:t>
            </w:r>
          </w:p>
          <w:p>
            <w:pPr>
              <w:bidi/>
              <w:spacing w:after="120" w:before="0"/>
            </w:pPr>
            <w:r>
              <w:rPr>
                <w:rFonts w:ascii="David" w:cs="David" w:eastAsia="David" w:hAnsi="David"/>
                <w:sz w:val="22"/>
                <w:szCs w:val="22"/>
              </w:rPr>
              <w:t xml:space="preserve">העוזר החכם של CareDesk הוא כלי עזר המבוסס על בינה מלאכותית, המיועד לסייע לך בניווט בין מידע כללי הנוגע להעסקה ישירה של עובד סיעודי זר בישראל. הוא יכול לספק הסברים על חקיקה, נהלים מינהליים, דרישות רשות האוכלוסין, חישובים תיאורטיים וכיוצא בכך.</w:t>
            </w:r>
          </w:p>
          <w:p>
            <w:pPr>
              <w:bidi/>
              <w:spacing w:after="120" w:before="0"/>
            </w:pPr>
            <w:r>
              <w:rPr>
                <w:rFonts w:ascii="David" w:cs="David" w:eastAsia="David" w:hAnsi="David"/>
                <w:b/>
                <w:bCs/>
                <w:sz w:val="22"/>
                <w:szCs w:val="22"/>
              </w:rPr>
              <w:t xml:space="preserve">חשוב לדעת: תשובות העוזר אינן מהוות ייעוץ משפטי, ייעוץ שכר, ייעוץ מס, ייעוץ רפואי, או כל ייעוץ מקצועי אחר. אין ליצור יחסי עורך דין-לקוח, רואה חשבון-לקוח, או כל יחס מקצועי מחייב על בסיס תשובות העוזר. CareDesk Israel, עובדיה ונציגיה אינם אחראים לכל נזק, הפסד, קנס, או השלכה משפטית שייגרמו מהסתמכות על מידע שסיפק העוזר.</w:t>
            </w:r>
          </w:p>
          <w:p>
            <w:pPr>
              <w:bidi/>
              <w:spacing w:after="100" w:before="0"/>
            </w:pPr>
            <w:r>
              <w:rPr>
                <w:rFonts w:ascii="David" w:cs="David" w:eastAsia="David" w:hAnsi="David"/>
                <w:color w:val="595959"/>
                <w:sz w:val="22"/>
                <w:szCs w:val="22"/>
              </w:rPr>
              <w:t xml:space="preserve">המידע שמספק העוזר מבוסס על ידע קיים ועשוי שלא לכלול עדכוני חקיקה, פסיקה, או הנחיות רשמיות שפורסמו לאחרונה. לכל שאלה עם השלכות כספיות או משפטיות — פנה לעורך דין מוסמך, חשב שכר, או גורם מקצועי מתאים. CareDesk ממליצה לאמת כל מידע קריטי ישירות מול הרשות המוסמכת (רשות האוכלוסין, ביטוח לאומי, רשות המסים).</w:t>
            </w:r>
          </w:p>
        </w:tc>
      </w:tr>
    </w:tbl>
    <w:p>
      <w:pPr>
        <w:spacing w:after="80" w:before="80"/>
      </w:pPr>
    </w:p>
    <w:p>
      <w:pPr>
        <w:spacing w:after="80" w:before="80"/>
      </w:pPr>
    </w:p>
    <w:p>
      <w:pPr>
        <w:bidi/>
        <w:spacing w:after="80" w:before="200"/>
        <w:jc w:val="center"/>
      </w:pPr>
      <w:r>
        <w:rPr>
          <w:rFonts w:ascii="David" w:cs="David" w:eastAsia="David" w:hAnsi="David"/>
          <w:color w:val="595959"/>
          <w:sz w:val="18"/>
          <w:szCs w:val="18"/>
        </w:rPr>
        <w:t xml:space="preserve">מסמך זה הוכן יולי 2026 ומבוסס על החקיקה הידועה נכון לתאריך זה. יש לאמת מול עורך דין מוסמך בתחום דיני עבודה והגנת הפרטיות לפני השקה מסחרית.</w:t>
      </w:r>
    </w:p>
    <w:p>
      <w:pPr>
        <w:bidi/>
        <w:jc w:val="center"/>
      </w:pPr>
      <w:r>
        <w:rPr>
          <w:rFonts w:ascii="David" w:cs="David" w:eastAsia="David" w:hAnsi="David"/>
          <w:color w:val="595959"/>
          <w:sz w:val="18"/>
          <w:szCs w:val="18"/>
        </w:rPr>
        <w:t xml:space="preserve">CareDesk Israel © 2026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hd w:fill="1F3864" w:val="clear"/>
      <w:bidi/>
      <w:spacing w:after="200" w:before="400"/>
    </w:pPr>
    <w:rPr>
      <w:rFonts w:ascii="David" w:cs="David" w:eastAsia="David" w:hAnsi="David"/>
      <w:b/>
      <w:bCs/>
      <w:color w:val="FFFFFF"/>
      <w:sz w:val="30"/>
      <w:szCs w:val="30"/>
    </w:rPr>
  </w:style>
  <w:style w:type="paragraph" w:styleId="Heading2">
    <w:name w:val="Heading 2"/>
    <w:basedOn w:val="Normal"/>
    <w:next w:val="Normal"/>
    <w:pPr>
      <w:bidi/>
      <w:spacing w:after="120" w:before="280"/>
    </w:pPr>
    <w:rPr>
      <w:rFonts w:ascii="David" w:cs="David" w:eastAsia="David" w:hAnsi="David"/>
      <w:b/>
      <w:bCs/>
      <w:color w:val="2E5F9E"/>
      <w:sz w:val="24"/>
      <w:szCs w:val="24"/>
    </w:rPr>
  </w:style>
  <w:style w:type="paragraph" w:styleId="Heading3">
    <w:name w:val="Heading 3"/>
    <w:basedOn w:val="Normal"/>
    <w:next w:val="Normal"/>
    <w:pPr>
      <w:bidi/>
      <w:spacing w:after="80" w:before="200"/>
    </w:pPr>
    <w:rPr>
      <w:rFonts w:ascii="David" w:cs="David" w:eastAsia="David" w:hAnsi="David"/>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2026-07-17T13:50:58.348Z</dcterms:created>
  <dcterms:modified xsi:type="dcterms:W3CDTF">2026-07-17T13:50:58.348Z</dcterms:modified>
</cp:coreProperties>
</file>

<file path=docProps/custom.xml><?xml version="1.0" encoding="utf-8"?>
<Properties xmlns="http://schemas.openxmlformats.org/officeDocument/2006/custom-properties" xmlns:vt="http://schemas.openxmlformats.org/officeDocument/2006/docPropsVTypes"/>
</file>