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Digitization Workflow Process</w:t>
      </w:r>
    </w:p>
    <w:p>
      <w:r>
        <w:t>Improved flowchart representation of the document digitization workflow.</w:t>
      </w:r>
    </w:p>
    <w:p>
      <w:r>
        <w:drawing>
          <wp:inline xmlns:a="http://schemas.openxmlformats.org/drawingml/2006/main" xmlns:pic="http://schemas.openxmlformats.org/drawingml/2006/picture">
            <wp:extent cx="5029200" cy="9788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roved_digitization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78879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