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b/>
          <w:sz w:val="32"/>
        </w:rPr>
        <w:t>Отчет о результатах тестирования и отладки</w:t>
      </w:r>
    </w:p>
    <w:p>
      <w:pPr>
        <w:pStyle w:val="Normal"/>
        <w:bidi w:val="0"/>
        <w:jc w:val="left"/>
        <w:rPr/>
      </w:pPr>
      <w:r>
        <w:rPr/>
        <w:t>Специальность: 09.02.07 Информационные системы и программирование</w:t>
      </w:r>
    </w:p>
    <w:p>
      <w:pPr>
        <w:pStyle w:val="Normal"/>
        <w:bidi w:val="0"/>
        <w:jc w:val="left"/>
        <w:rPr/>
      </w:pPr>
      <w:r>
        <w:rPr/>
        <w:t>Программный модуль: ИС управления товарами и заказами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sz w:val="24"/>
        </w:rPr>
        <w:t>1. Подтверждение работы сценариев (Скриншоты)</w:t>
      </w:r>
    </w:p>
    <w:p>
      <w:pPr>
        <w:pStyle w:val="Normal"/>
        <w:bidi w:val="0"/>
        <w:jc w:val="left"/>
        <w:rPr/>
      </w:pPr>
      <w:r>
        <w:rPr>
          <w:i/>
        </w:rPr>
        <w:t>Скриншот 1. Авторизация и разграничение доступа в системе: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500245" cy="24003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i/>
        </w:rPr>
        <w:t>Скриншот 2. Каталог товаров с цветовой подсветкой: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500245" cy="240030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sz w:val="24"/>
        </w:rPr>
        <w:t>2. Заключение</w:t>
      </w:r>
    </w:p>
    <w:p>
      <w:pPr>
        <w:pStyle w:val="Normal"/>
        <w:bidi w:val="0"/>
        <w:jc w:val="left"/>
        <w:rPr/>
      </w:pPr>
      <w:r>
        <w:rPr/>
        <w:t>Все сценарии успешно отлажены. Система устойчива к ошибкам, серверные проверки предотвращают несанкционированные операции.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WenQuanYi Zen Hei Sharp" w:cs="Unifont"/>
        <w:kern w:val="2"/>
        <w:sz w:val="22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WenQuanYi Zen Hei Sharp" w:cs="Unifont"/>
      <w:color w:val="auto"/>
      <w:kern w:val="2"/>
      <w:sz w:val="22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Unifon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1</Pages>
  <Words>55</Words>
  <Characters>402</Characters>
  <CharactersWithSpaces>449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2026-09-30T12:34:22Z</dcterms:modified>
  <cp:revision>1</cp:revision>
  <dc:subject/>
  <dc:title/>
</cp:coreProperties>
</file>