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15"/>
        <w:jc w:val="start"/>
        <w:rPr/>
      </w:pPr>
      <w:r>
        <w:rPr/>
        <w:t>TABSS System Algorithm</w:t>
      </w:r>
    </w:p>
    <w:p>
      <w:pPr>
        <w:pStyle w:val="BodyText"/>
        <w:jc w:val="start"/>
        <w:rPr>
          <w:b/>
        </w:rPr>
      </w:pPr>
      <w:r>
        <w:rPr>
          <w:b/>
        </w:rPr>
        <w:t>Technical, calculation, simulation, AP2 audit, and frontend specification</w:t>
      </w:r>
    </w:p>
    <w:p>
      <w:pPr>
        <w:pStyle w:val="BodyTextsmall"/>
        <w:jc w:val="start"/>
        <w:rPr/>
      </w:pPr>
      <w:r>
        <w:rPr/>
        <w:t>System reviewed against the implementation dated 31 July 2026.</w:t>
      </w:r>
    </w:p>
    <w:p>
      <w:pPr>
        <w:pStyle w:val="BodyText"/>
        <w:ind w:hanging="0" w:start="101" w:end="101"/>
        <w:jc w:val="start"/>
        <w:rPr/>
      </w:pPr>
      <w:r>
        <w:rPr>
          <w:b/>
        </w:rPr>
        <w:t>Scope and safety:</w:t>
      </w:r>
      <w:r>
        <w:rPr/>
        <w:t xml:space="preserve"> TABSS is a BTCUSDT market-analysis and paper-trading system. It reads public Binance market data and may request an OpenAI recommendation, but it never submits an exchange order, moves real money, withdraws funds, or uses leverage. All balances, purchases, sales, mandates, and payments are simulated.</w:t>
      </w:r>
    </w:p>
    <w:p>
      <w:pPr>
        <w:pStyle w:val="Heading2"/>
        <w:jc w:val="start"/>
        <w:rPr/>
      </w:pPr>
      <w:r>
        <w:rPr/>
        <w:t>1. System Purpose</w:t>
      </w:r>
    </w:p>
    <w:p>
      <w:pPr>
        <w:pStyle w:val="BodyText"/>
        <w:jc w:val="start"/>
        <w:rPr/>
      </w:pPr>
      <w:r>
        <w:rPr/>
        <w:t>The system repeatedly reads BTCUSDT market data, calculates technical indicators, produces a BUY, SELL, or HOLD recommendation, and optionally runs an automatic paper-trading strategy. The strategy models fees and adverse slippage and records each proposed or completed action through an AP2-inspired signed mandate chain.</w:t>
      </w:r>
    </w:p>
    <w:p>
      <w:pPr>
        <w:pStyle w:val="BodyText"/>
        <w:ind w:hanging="0" w:start="101" w:end="101"/>
        <w:jc w:val="center"/>
        <w:rPr>
          <w:b/>
          <w:color w:val="153B70"/>
        </w:rPr>
      </w:pPr>
      <w:r>
        <w:rPr>
          <w:b/>
          <w:color w:val="153B70"/>
        </w:rPr>
        <w:t>Binance candles and live price → indicators → rule scores → AI or fallback signal → price trigger → mandate validation → simulated balance update → API/dashboard</w:t>
      </w:r>
    </w:p>
    <w:p>
      <w:pPr>
        <w:pStyle w:val="Heading2"/>
        <w:jc w:val="start"/>
        <w:rPr/>
      </w:pPr>
      <w:r>
        <w:rPr/>
        <w:t>2. Main Components</w:t>
      </w:r>
    </w:p>
    <w:tbl>
      <w:tblPr>
        <w:tblW w:w="9600" w:type="dxa"/>
        <w:jc w:val="start"/>
        <w:tblInd w:w="0" w:type="dxa"/>
        <w:tblLayout w:type="fixed"/>
        <w:tblCellMar>
          <w:top w:w="0" w:type="dxa"/>
          <w:start w:w="0" w:type="dxa"/>
          <w:bottom w:w="0" w:type="dxa"/>
          <w:end w:w="0" w:type="dxa"/>
        </w:tblCellMar>
      </w:tblPr>
      <w:tblGrid>
        <w:gridCol w:w="1776"/>
        <w:gridCol w:w="7824"/>
      </w:tblGrid>
      <w:tr>
        <w:trPr/>
        <w:tc>
          <w:tcPr>
            <w:tcW w:w="1776" w:type="dxa"/>
            <w:tcBorders/>
            <w:vAlign w:val="center"/>
          </w:tcPr>
          <w:p>
            <w:pPr>
              <w:pStyle w:val="TableHeading"/>
              <w:spacing w:before="101" w:after="101"/>
              <w:ind w:hanging="0" w:start="0" w:end="0"/>
              <w:jc w:val="start"/>
              <w:rPr/>
            </w:pPr>
            <w:r>
              <w:rPr/>
              <w:t>Component</w:t>
            </w:r>
          </w:p>
        </w:tc>
        <w:tc>
          <w:tcPr>
            <w:tcW w:w="7824" w:type="dxa"/>
            <w:tcBorders/>
            <w:vAlign w:val="center"/>
          </w:tcPr>
          <w:p>
            <w:pPr>
              <w:pStyle w:val="TableHeading"/>
              <w:spacing w:before="101" w:after="101"/>
              <w:ind w:hanging="0" w:start="0" w:end="0"/>
              <w:jc w:val="start"/>
              <w:rPr/>
            </w:pPr>
            <w:r>
              <w:rPr/>
              <w:t>Responsibility</w:t>
            </w:r>
          </w:p>
        </w:tc>
      </w:tr>
      <w:tr>
        <w:trPr/>
        <w:tc>
          <w:tcPr>
            <w:tcW w:w="1776" w:type="dxa"/>
            <w:tcBorders/>
            <w:vAlign w:val="center"/>
          </w:tcPr>
          <w:p>
            <w:pPr>
              <w:pStyle w:val="TableContents"/>
              <w:spacing w:before="101" w:after="101"/>
              <w:ind w:hanging="0" w:start="0" w:end="0"/>
              <w:jc w:val="start"/>
              <w:rPr/>
            </w:pPr>
            <w:r>
              <w:rPr>
                <w:rStyle w:val="SourceText"/>
              </w:rPr>
              <w:t>btc_agent.py</w:t>
            </w:r>
          </w:p>
        </w:tc>
        <w:tc>
          <w:tcPr>
            <w:tcW w:w="7824" w:type="dxa"/>
            <w:tcBorders/>
            <w:vAlign w:val="center"/>
          </w:tcPr>
          <w:p>
            <w:pPr>
              <w:pStyle w:val="TableContents"/>
              <w:spacing w:before="101" w:after="101"/>
              <w:ind w:hanging="0" w:start="0" w:end="0"/>
              <w:jc w:val="start"/>
              <w:rPr/>
            </w:pPr>
            <w:r>
              <w:rPr/>
              <w:t>Market retrieval, EMA/RSI/MACD/ATR calculations, scoring, signal generation, retry/fallback behavior, trade triggers, fees, slippage, balances, and P&amp;L.</w:t>
            </w:r>
          </w:p>
        </w:tc>
      </w:tr>
      <w:tr>
        <w:trPr/>
        <w:tc>
          <w:tcPr>
            <w:tcW w:w="1776" w:type="dxa"/>
            <w:tcBorders/>
            <w:vAlign w:val="center"/>
          </w:tcPr>
          <w:p>
            <w:pPr>
              <w:pStyle w:val="TableContents"/>
              <w:spacing w:before="101" w:after="101"/>
              <w:ind w:hanging="0" w:start="0" w:end="0"/>
              <w:jc w:val="start"/>
              <w:rPr/>
            </w:pPr>
            <w:r>
              <w:rPr>
                <w:rStyle w:val="SourceText"/>
              </w:rPr>
              <w:t>ap2_sim.py</w:t>
            </w:r>
          </w:p>
        </w:tc>
        <w:tc>
          <w:tcPr>
            <w:tcW w:w="7824" w:type="dxa"/>
            <w:tcBorders/>
            <w:vAlign w:val="center"/>
          </w:tcPr>
          <w:p>
            <w:pPr>
              <w:pStyle w:val="TableContents"/>
              <w:spacing w:before="101" w:after="101"/>
              <w:ind w:hanging="0" w:start="0" w:end="0"/>
              <w:jc w:val="start"/>
              <w:rPr/>
            </w:pPr>
            <w:r>
              <w:rPr/>
              <w:t>Simulation-only Intent, Cart, and Payment Mandates; signatures, validation, expiry checks, balance constraints, and append-only audit events.</w:t>
            </w:r>
          </w:p>
        </w:tc>
      </w:tr>
      <w:tr>
        <w:trPr/>
        <w:tc>
          <w:tcPr>
            <w:tcW w:w="1776" w:type="dxa"/>
            <w:tcBorders/>
            <w:vAlign w:val="center"/>
          </w:tcPr>
          <w:p>
            <w:pPr>
              <w:pStyle w:val="TableContents"/>
              <w:spacing w:before="101" w:after="101"/>
              <w:ind w:hanging="0" w:start="0" w:end="0"/>
              <w:jc w:val="start"/>
              <w:rPr/>
            </w:pPr>
            <w:r>
              <w:rPr>
                <w:rStyle w:val="SourceText"/>
              </w:rPr>
              <w:t>api_server.py</w:t>
            </w:r>
          </w:p>
        </w:tc>
        <w:tc>
          <w:tcPr>
            <w:tcW w:w="7824" w:type="dxa"/>
            <w:tcBorders/>
            <w:vAlign w:val="center"/>
          </w:tcPr>
          <w:p>
            <w:pPr>
              <w:pStyle w:val="TableContents"/>
              <w:spacing w:before="101" w:after="101"/>
              <w:ind w:hanging="0" w:start="0" w:end="0"/>
              <w:jc w:val="start"/>
              <w:rPr/>
            </w:pPr>
            <w:r>
              <w:rPr/>
              <w:t>Local HTTP API, automatic worker, configuration validation, state serialization, authorization for mutations, and frontend delivery.</w:t>
            </w:r>
          </w:p>
        </w:tc>
      </w:tr>
      <w:tr>
        <w:trPr/>
        <w:tc>
          <w:tcPr>
            <w:tcW w:w="1776" w:type="dxa"/>
            <w:tcBorders/>
            <w:vAlign w:val="center"/>
          </w:tcPr>
          <w:p>
            <w:pPr>
              <w:pStyle w:val="TableContents"/>
              <w:spacing w:before="101" w:after="101"/>
              <w:ind w:hanging="0" w:start="0" w:end="0"/>
              <w:jc w:val="start"/>
              <w:rPr/>
            </w:pPr>
            <w:r>
              <w:rPr/>
              <w:t>Standalone/Next.js UI</w:t>
            </w:r>
          </w:p>
        </w:tc>
        <w:tc>
          <w:tcPr>
            <w:tcW w:w="7824" w:type="dxa"/>
            <w:tcBorders/>
            <w:vAlign w:val="center"/>
          </w:tcPr>
          <w:p>
            <w:pPr>
              <w:pStyle w:val="TableContents"/>
              <w:spacing w:before="101" w:after="101"/>
              <w:jc w:val="start"/>
              <w:rPr/>
            </w:pPr>
            <w:r>
              <w:rPr/>
              <w:t>Displays the current signal, indicators, balances, costs, messages, AP2 status, configuration controls, and demonstration checkout.</w:t>
            </w:r>
          </w:p>
        </w:tc>
      </w:tr>
    </w:tbl>
    <w:p>
      <w:pPr>
        <w:pStyle w:val="Heading2"/>
        <w:jc w:val="start"/>
        <w:rPr/>
      </w:pPr>
      <w:r>
        <w:rPr/>
        <w:t>3. Inputs and Default Configuration</w:t>
      </w:r>
    </w:p>
    <w:p>
      <w:pPr>
        <w:pStyle w:val="BodyText"/>
        <w:jc w:val="start"/>
        <w:rPr/>
      </w:pPr>
      <w:r>
        <w:rPr/>
        <w:t xml:space="preserve">The default symbol is </w:t>
      </w:r>
      <w:r>
        <w:rPr>
          <w:rStyle w:val="SourceText"/>
        </w:rPr>
        <w:t>BTCUSDT</w:t>
      </w:r>
      <w:r>
        <w:rPr/>
        <w:t xml:space="preserve">, candle interval is </w:t>
      </w:r>
      <w:r>
        <w:rPr>
          <w:rStyle w:val="SourceText"/>
        </w:rPr>
        <w:t>15m</w:t>
      </w:r>
      <w:r>
        <w:rPr/>
        <w:t>, and lookback is 250 candles. At least 60 candles are required. Binance supplies OHLCV candles and a separate current ticker price.</w:t>
      </w:r>
    </w:p>
    <w:tbl>
      <w:tblPr>
        <w:tblW w:w="9600" w:type="dxa"/>
        <w:jc w:val="start"/>
        <w:tblInd w:w="0" w:type="dxa"/>
        <w:tblLayout w:type="fixed"/>
        <w:tblCellMar>
          <w:top w:w="0" w:type="dxa"/>
          <w:start w:w="0" w:type="dxa"/>
          <w:bottom w:w="0" w:type="dxa"/>
          <w:end w:w="0" w:type="dxa"/>
        </w:tblCellMar>
      </w:tblPr>
      <w:tblGrid>
        <w:gridCol w:w="3257"/>
        <w:gridCol w:w="1722"/>
        <w:gridCol w:w="4621"/>
      </w:tblGrid>
      <w:tr>
        <w:trPr/>
        <w:tc>
          <w:tcPr>
            <w:tcW w:w="3257" w:type="dxa"/>
            <w:tcBorders/>
            <w:vAlign w:val="center"/>
          </w:tcPr>
          <w:p>
            <w:pPr>
              <w:pStyle w:val="TableHeading"/>
              <w:spacing w:before="101" w:after="101"/>
              <w:ind w:hanging="0" w:start="0" w:end="0"/>
              <w:jc w:val="start"/>
              <w:rPr/>
            </w:pPr>
            <w:r>
              <w:rPr/>
              <w:t>Parameter</w:t>
            </w:r>
          </w:p>
        </w:tc>
        <w:tc>
          <w:tcPr>
            <w:tcW w:w="1722" w:type="dxa"/>
            <w:tcBorders/>
            <w:vAlign w:val="center"/>
          </w:tcPr>
          <w:p>
            <w:pPr>
              <w:pStyle w:val="TableHeading"/>
              <w:spacing w:before="101" w:after="101"/>
              <w:ind w:hanging="0" w:start="0" w:end="0"/>
              <w:jc w:val="start"/>
              <w:rPr/>
            </w:pPr>
            <w:r>
              <w:rPr/>
              <w:t>Default</w:t>
            </w:r>
          </w:p>
        </w:tc>
        <w:tc>
          <w:tcPr>
            <w:tcW w:w="4621" w:type="dxa"/>
            <w:tcBorders/>
            <w:vAlign w:val="center"/>
          </w:tcPr>
          <w:p>
            <w:pPr>
              <w:pStyle w:val="TableHeading"/>
              <w:spacing w:before="101" w:after="101"/>
              <w:ind w:hanging="0" w:start="0" w:end="0"/>
              <w:jc w:val="start"/>
              <w:rPr/>
            </w:pPr>
            <w:r>
              <w:rPr/>
              <w:t>Meaning</w:t>
            </w:r>
          </w:p>
        </w:tc>
      </w:tr>
      <w:tr>
        <w:trPr/>
        <w:tc>
          <w:tcPr>
            <w:tcW w:w="3257" w:type="dxa"/>
            <w:tcBorders/>
            <w:vAlign w:val="center"/>
          </w:tcPr>
          <w:p>
            <w:pPr>
              <w:pStyle w:val="TableContents"/>
              <w:spacing w:before="101" w:after="101"/>
              <w:ind w:hanging="0" w:start="0" w:end="0"/>
              <w:jc w:val="start"/>
              <w:rPr/>
            </w:pPr>
            <w:r>
              <w:rPr/>
              <w:t>BUY_THRESHOLD / SELL_THRESHOLD</w:t>
            </w:r>
          </w:p>
        </w:tc>
        <w:tc>
          <w:tcPr>
            <w:tcW w:w="1722" w:type="dxa"/>
            <w:tcBorders/>
            <w:vAlign w:val="center"/>
          </w:tcPr>
          <w:p>
            <w:pPr>
              <w:pStyle w:val="TableContents"/>
              <w:spacing w:before="101" w:after="101"/>
              <w:ind w:hanging="0" w:start="0" w:end="0"/>
              <w:jc w:val="start"/>
              <w:rPr/>
            </w:pPr>
            <w:r>
              <w:rPr/>
              <w:t>4 / 4 score points</w:t>
            </w:r>
          </w:p>
        </w:tc>
        <w:tc>
          <w:tcPr>
            <w:tcW w:w="4621" w:type="dxa"/>
            <w:tcBorders/>
            <w:vAlign w:val="center"/>
          </w:tcPr>
          <w:p>
            <w:pPr>
              <w:pStyle w:val="TableContents"/>
              <w:spacing w:before="101" w:after="101"/>
              <w:ind w:hanging="0" w:start="0" w:end="0"/>
              <w:jc w:val="start"/>
              <w:rPr/>
            </w:pPr>
            <w:r>
              <w:rPr/>
              <w:t>Threshold used to label the snapshot score gap as bullish, bearish, or mixed. The no-key deterministic fallback itself uses fixed ±4 thresholds.</w:t>
            </w:r>
          </w:p>
        </w:tc>
      </w:tr>
      <w:tr>
        <w:trPr/>
        <w:tc>
          <w:tcPr>
            <w:tcW w:w="3257" w:type="dxa"/>
            <w:tcBorders/>
            <w:vAlign w:val="center"/>
          </w:tcPr>
          <w:p>
            <w:pPr>
              <w:pStyle w:val="TableContents"/>
              <w:spacing w:before="101" w:after="101"/>
              <w:ind w:hanging="0" w:start="0" w:end="0"/>
              <w:jc w:val="start"/>
              <w:rPr/>
            </w:pPr>
            <w:r>
              <w:rPr/>
              <w:t>startingCash</w:t>
            </w:r>
          </w:p>
        </w:tc>
        <w:tc>
          <w:tcPr>
            <w:tcW w:w="1722" w:type="dxa"/>
            <w:tcBorders/>
            <w:vAlign w:val="center"/>
          </w:tcPr>
          <w:p>
            <w:pPr>
              <w:pStyle w:val="TableContents"/>
              <w:spacing w:before="101" w:after="101"/>
              <w:ind w:hanging="0" w:start="0" w:end="0"/>
              <w:jc w:val="start"/>
              <w:rPr/>
            </w:pPr>
            <w:r>
              <w:rPr/>
              <w:t>$500 in API auto mode</w:t>
            </w:r>
          </w:p>
        </w:tc>
        <w:tc>
          <w:tcPr>
            <w:tcW w:w="4621" w:type="dxa"/>
            <w:tcBorders/>
            <w:vAlign w:val="center"/>
          </w:tcPr>
          <w:p>
            <w:pPr>
              <w:pStyle w:val="TableContents"/>
              <w:spacing w:before="101" w:after="101"/>
              <w:ind w:hanging="0" w:start="0" w:end="0"/>
              <w:jc w:val="start"/>
              <w:rPr/>
            </w:pPr>
            <w:r>
              <w:rPr/>
              <w:t>Initial simulated USD balance.</w:t>
            </w:r>
          </w:p>
        </w:tc>
      </w:tr>
      <w:tr>
        <w:trPr/>
        <w:tc>
          <w:tcPr>
            <w:tcW w:w="3257" w:type="dxa"/>
            <w:tcBorders/>
            <w:vAlign w:val="center"/>
          </w:tcPr>
          <w:p>
            <w:pPr>
              <w:pStyle w:val="TableContents"/>
              <w:spacing w:before="101" w:after="101"/>
              <w:ind w:hanging="0" w:start="0" w:end="0"/>
              <w:jc w:val="start"/>
              <w:rPr/>
            </w:pPr>
            <w:r>
              <w:rPr/>
              <w:t>dropToBuyUsd</w:t>
            </w:r>
          </w:p>
        </w:tc>
        <w:tc>
          <w:tcPr>
            <w:tcW w:w="1722" w:type="dxa"/>
            <w:tcBorders/>
            <w:vAlign w:val="center"/>
          </w:tcPr>
          <w:p>
            <w:pPr>
              <w:pStyle w:val="TableContents"/>
              <w:spacing w:before="101" w:after="101"/>
              <w:ind w:hanging="0" w:start="0" w:end="0"/>
              <w:jc w:val="start"/>
              <w:rPr/>
            </w:pPr>
            <w:r>
              <w:rPr/>
              <w:t>$25</w:t>
            </w:r>
          </w:p>
        </w:tc>
        <w:tc>
          <w:tcPr>
            <w:tcW w:w="4621" w:type="dxa"/>
            <w:tcBorders/>
            <w:vAlign w:val="center"/>
          </w:tcPr>
          <w:p>
            <w:pPr>
              <w:pStyle w:val="TableContents"/>
              <w:spacing w:before="101" w:after="101"/>
              <w:ind w:hanging="0" w:start="0" w:end="0"/>
              <w:jc w:val="start"/>
              <w:rPr/>
            </w:pPr>
            <w:r>
              <w:rPr/>
              <w:t>Required drop from the immediately previous observed live price.</w:t>
            </w:r>
          </w:p>
        </w:tc>
      </w:tr>
      <w:tr>
        <w:trPr/>
        <w:tc>
          <w:tcPr>
            <w:tcW w:w="3257" w:type="dxa"/>
            <w:tcBorders/>
            <w:vAlign w:val="center"/>
          </w:tcPr>
          <w:p>
            <w:pPr>
              <w:pStyle w:val="TableContents"/>
              <w:spacing w:before="101" w:after="101"/>
              <w:ind w:hanging="0" w:start="0" w:end="0"/>
              <w:jc w:val="start"/>
              <w:rPr/>
            </w:pPr>
            <w:r>
              <w:rPr/>
              <w:t>riseToSellUsd</w:t>
            </w:r>
          </w:p>
        </w:tc>
        <w:tc>
          <w:tcPr>
            <w:tcW w:w="1722" w:type="dxa"/>
            <w:tcBorders/>
            <w:vAlign w:val="center"/>
          </w:tcPr>
          <w:p>
            <w:pPr>
              <w:pStyle w:val="TableContents"/>
              <w:spacing w:before="101" w:after="101"/>
              <w:ind w:hanging="0" w:start="0" w:end="0"/>
              <w:jc w:val="start"/>
              <w:rPr/>
            </w:pPr>
            <w:r>
              <w:rPr/>
              <w:t>$25</w:t>
            </w:r>
          </w:p>
        </w:tc>
        <w:tc>
          <w:tcPr>
            <w:tcW w:w="4621" w:type="dxa"/>
            <w:tcBorders/>
            <w:vAlign w:val="center"/>
          </w:tcPr>
          <w:p>
            <w:pPr>
              <w:pStyle w:val="TableContents"/>
              <w:spacing w:before="101" w:after="101"/>
              <w:ind w:hanging="0" w:start="0" w:end="0"/>
              <w:jc w:val="start"/>
              <w:rPr/>
            </w:pPr>
            <w:r>
              <w:rPr/>
              <w:t>Required rise from the effective simulated entry price.</w:t>
            </w:r>
          </w:p>
        </w:tc>
      </w:tr>
      <w:tr>
        <w:trPr/>
        <w:tc>
          <w:tcPr>
            <w:tcW w:w="3257" w:type="dxa"/>
            <w:tcBorders/>
            <w:vAlign w:val="center"/>
          </w:tcPr>
          <w:p>
            <w:pPr>
              <w:pStyle w:val="TableContents"/>
              <w:spacing w:before="101" w:after="101"/>
              <w:ind w:hanging="0" w:start="0" w:end="0"/>
              <w:jc w:val="start"/>
              <w:rPr/>
            </w:pPr>
            <w:r>
              <w:rPr/>
              <w:t>feeRateBps</w:t>
            </w:r>
          </w:p>
        </w:tc>
        <w:tc>
          <w:tcPr>
            <w:tcW w:w="1722" w:type="dxa"/>
            <w:tcBorders/>
            <w:vAlign w:val="center"/>
          </w:tcPr>
          <w:p>
            <w:pPr>
              <w:pStyle w:val="TableContents"/>
              <w:spacing w:before="101" w:after="101"/>
              <w:ind w:hanging="0" w:start="0" w:end="0"/>
              <w:jc w:val="start"/>
              <w:rPr/>
            </w:pPr>
            <w:r>
              <w:rPr/>
              <w:t>10 bps = 0.10%</w:t>
            </w:r>
          </w:p>
        </w:tc>
        <w:tc>
          <w:tcPr>
            <w:tcW w:w="4621" w:type="dxa"/>
            <w:tcBorders/>
            <w:vAlign w:val="center"/>
          </w:tcPr>
          <w:p>
            <w:pPr>
              <w:pStyle w:val="TableContents"/>
              <w:spacing w:before="101" w:after="101"/>
              <w:ind w:hanging="0" w:start="0" w:end="0"/>
              <w:jc w:val="start"/>
              <w:rPr/>
            </w:pPr>
            <w:r>
              <w:rPr/>
              <w:t>Applied separately to BUY and SELL.</w:t>
            </w:r>
          </w:p>
        </w:tc>
      </w:tr>
      <w:tr>
        <w:trPr/>
        <w:tc>
          <w:tcPr>
            <w:tcW w:w="3257" w:type="dxa"/>
            <w:tcBorders/>
            <w:vAlign w:val="center"/>
          </w:tcPr>
          <w:p>
            <w:pPr>
              <w:pStyle w:val="TableContents"/>
              <w:spacing w:before="101" w:after="101"/>
              <w:ind w:hanging="0" w:start="0" w:end="0"/>
              <w:jc w:val="start"/>
              <w:rPr/>
            </w:pPr>
            <w:r>
              <w:rPr/>
              <w:t>slippageBps</w:t>
            </w:r>
          </w:p>
        </w:tc>
        <w:tc>
          <w:tcPr>
            <w:tcW w:w="1722" w:type="dxa"/>
            <w:tcBorders/>
            <w:vAlign w:val="center"/>
          </w:tcPr>
          <w:p>
            <w:pPr>
              <w:pStyle w:val="TableContents"/>
              <w:spacing w:before="101" w:after="101"/>
              <w:ind w:hanging="0" w:start="0" w:end="0"/>
              <w:jc w:val="start"/>
              <w:rPr/>
            </w:pPr>
            <w:r>
              <w:rPr/>
              <w:t>2 bps = 0.02%</w:t>
            </w:r>
          </w:p>
        </w:tc>
        <w:tc>
          <w:tcPr>
            <w:tcW w:w="4621" w:type="dxa"/>
            <w:tcBorders/>
            <w:vAlign w:val="center"/>
          </w:tcPr>
          <w:p>
            <w:pPr>
              <w:pStyle w:val="TableContents"/>
              <w:spacing w:before="101" w:after="101"/>
              <w:ind w:hanging="0" w:start="0" w:end="0"/>
              <w:jc w:val="start"/>
              <w:rPr/>
            </w:pPr>
            <w:r>
              <w:rPr/>
              <w:t>Adverse execution-price adjustment.</w:t>
            </w:r>
          </w:p>
        </w:tc>
      </w:tr>
      <w:tr>
        <w:trPr/>
        <w:tc>
          <w:tcPr>
            <w:tcW w:w="3257" w:type="dxa"/>
            <w:tcBorders/>
            <w:vAlign w:val="center"/>
          </w:tcPr>
          <w:p>
            <w:pPr>
              <w:pStyle w:val="TableContents"/>
              <w:spacing w:before="101" w:after="101"/>
              <w:ind w:hanging="0" w:start="0" w:end="0"/>
              <w:jc w:val="start"/>
              <w:rPr/>
            </w:pPr>
            <w:r>
              <w:rPr/>
              <w:t>requireSignalConfirmation</w:t>
            </w:r>
          </w:p>
        </w:tc>
        <w:tc>
          <w:tcPr>
            <w:tcW w:w="1722" w:type="dxa"/>
            <w:tcBorders/>
            <w:vAlign w:val="center"/>
          </w:tcPr>
          <w:p>
            <w:pPr>
              <w:pStyle w:val="TableContents"/>
              <w:spacing w:before="101" w:after="101"/>
              <w:ind w:hanging="0" w:start="0" w:end="0"/>
              <w:jc w:val="start"/>
              <w:rPr/>
            </w:pPr>
            <w:r>
              <w:rPr/>
              <w:t>false</w:t>
            </w:r>
          </w:p>
        </w:tc>
        <w:tc>
          <w:tcPr>
            <w:tcW w:w="4621" w:type="dxa"/>
            <w:tcBorders/>
            <w:vAlign w:val="center"/>
          </w:tcPr>
          <w:p>
            <w:pPr>
              <w:pStyle w:val="TableContents"/>
              <w:spacing w:before="101" w:after="101"/>
              <w:jc w:val="start"/>
              <w:rPr/>
            </w:pPr>
            <w:r>
              <w:rPr/>
              <w:t>If true, a price trigger also requires a matching BUY or SELL signal.</w:t>
            </w:r>
          </w:p>
        </w:tc>
      </w:tr>
    </w:tbl>
    <w:p>
      <w:pPr>
        <w:pStyle w:val="Heading2"/>
        <w:jc w:val="start"/>
        <w:rPr/>
      </w:pPr>
      <w:r>
        <w:rPr/>
        <w:t>4. Technical Indicator Calculations</w:t>
      </w:r>
    </w:p>
    <w:p>
      <w:pPr>
        <w:pStyle w:val="Heading3"/>
        <w:jc w:val="start"/>
        <w:rPr/>
      </w:pPr>
      <w:r>
        <w:rPr/>
        <w:t>4.1 Exponential Moving Average (EMA)</w:t>
      </w:r>
    </w:p>
    <w:p>
      <w:pPr>
        <w:pStyle w:val="BodyText"/>
        <w:jc w:val="start"/>
        <w:rPr/>
      </w:pPr>
      <w:r>
        <w:rPr/>
        <w:t xml:space="preserve">EMA periods 9, 21, and 55 describe fast, medium, and slow trends. MACD additionally uses EMA 12 and EMA 26. The first seed is the simple average of the first </w:t>
      </w:r>
      <w:r>
        <w:rPr>
          <w:i/>
        </w:rPr>
        <w:t>N</w:t>
      </w:r>
      <w:r>
        <w:rPr/>
        <w:t xml:space="preserve"> closing prices.</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α = 2 / (N + 1)</w:t>
        <w:br/>
        <w:t>EMA₀ = average(first N closes)</w:t>
        <w:br/>
        <w:t>EMAₜ = EMAₜ₋₁ + α × (Closeₜ − EMAₜ₋₁)</w:t>
      </w:r>
    </w:p>
    <w:p>
      <w:pPr>
        <w:pStyle w:val="Heading3"/>
        <w:jc w:val="start"/>
        <w:rPr/>
      </w:pPr>
      <w:r>
        <w:rPr/>
        <w:t>4.2 Relative Strength Index (RSI 14)</w:t>
      </w:r>
    </w:p>
    <w:p>
      <w:pPr>
        <w:pStyle w:val="BodyText"/>
        <w:jc w:val="start"/>
        <w:rPr/>
      </w:pPr>
      <w:r>
        <w:rPr/>
        <w:t>For each close-to-close change, gain is the positive part and loss is the absolute negative part. Initial averages use 14 changes; subsequent values use Wilder smoothing.</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Gainₜ = max(Closeₜ − Closeₜ₋₁, 0)</w:t>
        <w:br/>
        <w:t>Lossₜ = max(Closeₜ₋₁ − Closeₜ, 0)</w:t>
        <w:br/>
        <w:t>AvgGainₜ = ((AvgGainₜ₋₁ × 13) + Gainₜ) / 14</w:t>
        <w:br/>
        <w:t>AvgLossₜ = ((AvgLossₜ₋₁ × 13) + Lossₜ) / 14</w:t>
        <w:br/>
        <w:t>RS = AvgGain / AvgLoss</w:t>
        <w:br/>
        <w:t>RSI = 100 − 100 / (1 + RS)</w:t>
      </w:r>
    </w:p>
    <w:p>
      <w:pPr>
        <w:pStyle w:val="BodyText"/>
        <w:jc w:val="start"/>
        <w:rPr/>
      </w:pPr>
      <w:r>
        <w:rPr/>
        <w:t>If average loss is zero, RSI is set to 100.</w:t>
      </w:r>
    </w:p>
    <w:p>
      <w:pPr>
        <w:pStyle w:val="Heading3"/>
        <w:jc w:val="start"/>
        <w:rPr/>
      </w:pPr>
      <w:r>
        <w:rPr/>
        <w:t>4.3 MACD</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MACD line = EMA₁₂(close) − EMA₂₆(close)</w:t>
        <w:br/>
        <w:t>Signal line = EMA₉(MACD line)</w:t>
        <w:br/>
        <w:t>MACD histogram = MACD line − Signal line</w:t>
      </w:r>
    </w:p>
    <w:p>
      <w:pPr>
        <w:pStyle w:val="BodyText"/>
        <w:jc w:val="start"/>
        <w:rPr/>
      </w:pPr>
      <w:r>
        <w:rPr/>
        <w:t>The algorithm uses the latest histogram value and whether it improved or weakened relative to the previous candle.</w:t>
      </w:r>
    </w:p>
    <w:p>
      <w:pPr>
        <w:pStyle w:val="Heading3"/>
        <w:jc w:val="start"/>
        <w:rPr/>
      </w:pPr>
      <w:r>
        <w:rPr/>
        <w:t>4.4 Average True Range (ATR 14)</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TRₜ = max(Highₜ − Lowₜ, |Highₜ − Closeₜ₋₁|, |Lowₜ − Closeₜ₋₁|)</w:t>
        <w:br/>
        <w:t>ATR seed = average of the first 14 applicable true ranges</w:t>
        <w:br/>
        <w:t>ATRₜ = ((ATRₜ₋₁ × 13) + TRₜ) / 14</w:t>
      </w:r>
    </w:p>
    <w:p>
      <w:pPr>
        <w:pStyle w:val="BodyText"/>
        <w:jc w:val="start"/>
        <w:rPr/>
      </w:pPr>
      <w:r>
        <w:rPr/>
        <w:t>ATR describes volatility and is used only to publish indicative stop-loss and take-profit levels. These levels do not execute trades in the simulation.</w:t>
      </w:r>
    </w:p>
    <w:p>
      <w:pPr>
        <w:pStyle w:val="Heading2"/>
        <w:jc w:val="start"/>
        <w:rPr/>
      </w:pPr>
      <w:r>
        <w:rPr/>
        <w:t>5. Deterministic Market Scoring</w:t>
      </w:r>
    </w:p>
    <w:p>
      <w:pPr>
        <w:pStyle w:val="BodyText"/>
        <w:jc w:val="start"/>
        <w:rPr/>
      </w:pPr>
      <w:r>
        <w:rPr/>
        <w:t>The system starts each analysis at zero bullish and bearish points.</w:t>
      </w:r>
    </w:p>
    <w:tbl>
      <w:tblPr>
        <w:tblW w:w="9600" w:type="dxa"/>
        <w:jc w:val="start"/>
        <w:tblInd w:w="0" w:type="dxa"/>
        <w:tblLayout w:type="fixed"/>
        <w:tblCellMar>
          <w:top w:w="0" w:type="dxa"/>
          <w:start w:w="0" w:type="dxa"/>
          <w:bottom w:w="0" w:type="dxa"/>
          <w:end w:w="0" w:type="dxa"/>
        </w:tblCellMar>
      </w:tblPr>
      <w:tblGrid>
        <w:gridCol w:w="8372"/>
        <w:gridCol w:w="1228"/>
      </w:tblGrid>
      <w:tr>
        <w:trPr/>
        <w:tc>
          <w:tcPr>
            <w:tcW w:w="8372" w:type="dxa"/>
            <w:tcBorders/>
            <w:vAlign w:val="center"/>
          </w:tcPr>
          <w:p>
            <w:pPr>
              <w:pStyle w:val="TableHeading"/>
              <w:spacing w:before="101" w:after="101"/>
              <w:ind w:hanging="0" w:start="0" w:end="0"/>
              <w:jc w:val="start"/>
              <w:rPr/>
            </w:pPr>
            <w:r>
              <w:rPr/>
              <w:t>Condition</w:t>
            </w:r>
          </w:p>
        </w:tc>
        <w:tc>
          <w:tcPr>
            <w:tcW w:w="1228" w:type="dxa"/>
            <w:tcBorders/>
            <w:vAlign w:val="center"/>
          </w:tcPr>
          <w:p>
            <w:pPr>
              <w:pStyle w:val="TableHeading"/>
              <w:spacing w:before="101" w:after="101"/>
              <w:ind w:hanging="0" w:start="0" w:end="0"/>
              <w:jc w:val="start"/>
              <w:rPr/>
            </w:pPr>
            <w:r>
              <w:rPr/>
              <w:t>Score</w:t>
            </w:r>
          </w:p>
        </w:tc>
      </w:tr>
      <w:tr>
        <w:trPr/>
        <w:tc>
          <w:tcPr>
            <w:tcW w:w="8372" w:type="dxa"/>
            <w:tcBorders/>
            <w:vAlign w:val="center"/>
          </w:tcPr>
          <w:p>
            <w:pPr>
              <w:pStyle w:val="TableContents"/>
              <w:spacing w:before="101" w:after="101"/>
              <w:ind w:hanging="0" w:start="0" w:end="0"/>
              <w:jc w:val="start"/>
              <w:rPr/>
            </w:pPr>
            <w:r>
              <w:rPr/>
              <w:t>EMA9 &gt; EMA21 &gt; EMA55</w:t>
            </w:r>
          </w:p>
        </w:tc>
        <w:tc>
          <w:tcPr>
            <w:tcW w:w="1228" w:type="dxa"/>
            <w:tcBorders/>
            <w:vAlign w:val="center"/>
          </w:tcPr>
          <w:p>
            <w:pPr>
              <w:pStyle w:val="TableContents"/>
              <w:spacing w:before="101" w:after="101"/>
              <w:ind w:hanging="0" w:start="0" w:end="0"/>
              <w:jc w:val="start"/>
              <w:rPr/>
            </w:pPr>
            <w:r>
              <w:rPr/>
              <w:t>Bullish +2</w:t>
            </w:r>
          </w:p>
        </w:tc>
      </w:tr>
      <w:tr>
        <w:trPr/>
        <w:tc>
          <w:tcPr>
            <w:tcW w:w="8372" w:type="dxa"/>
            <w:tcBorders/>
            <w:vAlign w:val="center"/>
          </w:tcPr>
          <w:p>
            <w:pPr>
              <w:pStyle w:val="TableContents"/>
              <w:spacing w:before="101" w:after="101"/>
              <w:ind w:hanging="0" w:start="0" w:end="0"/>
              <w:jc w:val="start"/>
              <w:rPr/>
            </w:pPr>
            <w:r>
              <w:rPr/>
              <w:t>EMA9 &lt; EMA21 &lt; EMA55</w:t>
            </w:r>
          </w:p>
        </w:tc>
        <w:tc>
          <w:tcPr>
            <w:tcW w:w="1228" w:type="dxa"/>
            <w:tcBorders/>
            <w:vAlign w:val="center"/>
          </w:tcPr>
          <w:p>
            <w:pPr>
              <w:pStyle w:val="TableContents"/>
              <w:spacing w:before="101" w:after="101"/>
              <w:ind w:hanging="0" w:start="0" w:end="0"/>
              <w:jc w:val="start"/>
              <w:rPr/>
            </w:pPr>
            <w:r>
              <w:rPr/>
              <w:t>Bearish +2</w:t>
            </w:r>
          </w:p>
        </w:tc>
      </w:tr>
      <w:tr>
        <w:trPr/>
        <w:tc>
          <w:tcPr>
            <w:tcW w:w="8372" w:type="dxa"/>
            <w:tcBorders/>
            <w:vAlign w:val="center"/>
          </w:tcPr>
          <w:p>
            <w:pPr>
              <w:pStyle w:val="TableContents"/>
              <w:spacing w:before="101" w:after="101"/>
              <w:ind w:hanging="0" w:start="0" w:end="0"/>
              <w:jc w:val="start"/>
              <w:rPr/>
            </w:pPr>
            <w:r>
              <w:rPr/>
              <w:t>Close &gt; EMA9, MACD histogram &gt; 0, and histogram is increasing</w:t>
            </w:r>
          </w:p>
        </w:tc>
        <w:tc>
          <w:tcPr>
            <w:tcW w:w="1228" w:type="dxa"/>
            <w:tcBorders/>
            <w:vAlign w:val="center"/>
          </w:tcPr>
          <w:p>
            <w:pPr>
              <w:pStyle w:val="TableContents"/>
              <w:spacing w:before="101" w:after="101"/>
              <w:ind w:hanging="0" w:start="0" w:end="0"/>
              <w:jc w:val="start"/>
              <w:rPr/>
            </w:pPr>
            <w:r>
              <w:rPr/>
              <w:t>Bullish +2</w:t>
            </w:r>
          </w:p>
        </w:tc>
      </w:tr>
      <w:tr>
        <w:trPr/>
        <w:tc>
          <w:tcPr>
            <w:tcW w:w="8372" w:type="dxa"/>
            <w:tcBorders/>
            <w:vAlign w:val="center"/>
          </w:tcPr>
          <w:p>
            <w:pPr>
              <w:pStyle w:val="TableContents"/>
              <w:spacing w:before="101" w:after="101"/>
              <w:ind w:hanging="0" w:start="0" w:end="0"/>
              <w:jc w:val="start"/>
              <w:rPr/>
            </w:pPr>
            <w:r>
              <w:rPr/>
              <w:t>Close &lt; EMA9, MACD histogram &lt; 0, and histogram is decreasing</w:t>
            </w:r>
          </w:p>
        </w:tc>
        <w:tc>
          <w:tcPr>
            <w:tcW w:w="1228" w:type="dxa"/>
            <w:tcBorders/>
            <w:vAlign w:val="center"/>
          </w:tcPr>
          <w:p>
            <w:pPr>
              <w:pStyle w:val="TableContents"/>
              <w:spacing w:before="101" w:after="101"/>
              <w:ind w:hanging="0" w:start="0" w:end="0"/>
              <w:jc w:val="start"/>
              <w:rPr/>
            </w:pPr>
            <w:r>
              <w:rPr/>
              <w:t>Bearish +2</w:t>
            </w:r>
          </w:p>
        </w:tc>
      </w:tr>
      <w:tr>
        <w:trPr/>
        <w:tc>
          <w:tcPr>
            <w:tcW w:w="8372" w:type="dxa"/>
            <w:tcBorders/>
            <w:vAlign w:val="center"/>
          </w:tcPr>
          <w:p>
            <w:pPr>
              <w:pStyle w:val="TableContents"/>
              <w:spacing w:before="101" w:after="101"/>
              <w:ind w:hanging="0" w:start="0" w:end="0"/>
              <w:jc w:val="start"/>
              <w:rPr/>
            </w:pPr>
            <w:r>
              <w:rPr/>
              <w:t>RSI &lt; 30 and rising</w:t>
            </w:r>
          </w:p>
        </w:tc>
        <w:tc>
          <w:tcPr>
            <w:tcW w:w="1228" w:type="dxa"/>
            <w:tcBorders/>
            <w:vAlign w:val="center"/>
          </w:tcPr>
          <w:p>
            <w:pPr>
              <w:pStyle w:val="TableContents"/>
              <w:spacing w:before="101" w:after="101"/>
              <w:ind w:hanging="0" w:start="0" w:end="0"/>
              <w:jc w:val="start"/>
              <w:rPr/>
            </w:pPr>
            <w:r>
              <w:rPr/>
              <w:t>Bullish +2</w:t>
            </w:r>
          </w:p>
        </w:tc>
      </w:tr>
      <w:tr>
        <w:trPr/>
        <w:tc>
          <w:tcPr>
            <w:tcW w:w="8372" w:type="dxa"/>
            <w:tcBorders/>
            <w:vAlign w:val="center"/>
          </w:tcPr>
          <w:p>
            <w:pPr>
              <w:pStyle w:val="TableContents"/>
              <w:spacing w:before="101" w:after="101"/>
              <w:ind w:hanging="0" w:start="0" w:end="0"/>
              <w:jc w:val="start"/>
              <w:rPr/>
            </w:pPr>
            <w:r>
              <w:rPr/>
              <w:t>40 ≤ RSI ≤ 68 and rising</w:t>
            </w:r>
          </w:p>
        </w:tc>
        <w:tc>
          <w:tcPr>
            <w:tcW w:w="1228" w:type="dxa"/>
            <w:tcBorders/>
            <w:vAlign w:val="center"/>
          </w:tcPr>
          <w:p>
            <w:pPr>
              <w:pStyle w:val="TableContents"/>
              <w:spacing w:before="101" w:after="101"/>
              <w:ind w:hanging="0" w:start="0" w:end="0"/>
              <w:jc w:val="start"/>
              <w:rPr/>
            </w:pPr>
            <w:r>
              <w:rPr/>
              <w:t>Bullish +1</w:t>
            </w:r>
          </w:p>
        </w:tc>
      </w:tr>
      <w:tr>
        <w:trPr/>
        <w:tc>
          <w:tcPr>
            <w:tcW w:w="8372" w:type="dxa"/>
            <w:tcBorders/>
            <w:vAlign w:val="center"/>
          </w:tcPr>
          <w:p>
            <w:pPr>
              <w:pStyle w:val="TableContents"/>
              <w:spacing w:before="101" w:after="101"/>
              <w:ind w:hanging="0" w:start="0" w:end="0"/>
              <w:jc w:val="start"/>
              <w:rPr/>
            </w:pPr>
            <w:r>
              <w:rPr/>
              <w:t>RSI &gt; 70 and falling</w:t>
            </w:r>
          </w:p>
        </w:tc>
        <w:tc>
          <w:tcPr>
            <w:tcW w:w="1228" w:type="dxa"/>
            <w:tcBorders/>
            <w:vAlign w:val="center"/>
          </w:tcPr>
          <w:p>
            <w:pPr>
              <w:pStyle w:val="TableContents"/>
              <w:spacing w:before="101" w:after="101"/>
              <w:ind w:hanging="0" w:start="0" w:end="0"/>
              <w:jc w:val="start"/>
              <w:rPr/>
            </w:pPr>
            <w:r>
              <w:rPr/>
              <w:t>Bearish +2</w:t>
            </w:r>
          </w:p>
        </w:tc>
      </w:tr>
      <w:tr>
        <w:trPr/>
        <w:tc>
          <w:tcPr>
            <w:tcW w:w="8372" w:type="dxa"/>
            <w:tcBorders/>
            <w:vAlign w:val="center"/>
          </w:tcPr>
          <w:p>
            <w:pPr>
              <w:pStyle w:val="TableContents"/>
              <w:spacing w:before="101" w:after="101"/>
              <w:ind w:hanging="0" w:start="0" w:end="0"/>
              <w:jc w:val="start"/>
              <w:rPr/>
            </w:pPr>
            <w:r>
              <w:rPr/>
              <w:t>32 ≤ RSI ≤ 55 and falling</w:t>
            </w:r>
          </w:p>
        </w:tc>
        <w:tc>
          <w:tcPr>
            <w:tcW w:w="1228" w:type="dxa"/>
            <w:tcBorders/>
            <w:vAlign w:val="center"/>
          </w:tcPr>
          <w:p>
            <w:pPr>
              <w:pStyle w:val="TableContents"/>
              <w:spacing w:before="101" w:after="101"/>
              <w:ind w:hanging="0" w:start="0" w:end="0"/>
              <w:jc w:val="start"/>
              <w:rPr/>
            </w:pPr>
            <w:r>
              <w:rPr/>
              <w:t>Bearish +1</w:t>
            </w:r>
          </w:p>
        </w:tc>
      </w:tr>
      <w:tr>
        <w:trPr/>
        <w:tc>
          <w:tcPr>
            <w:tcW w:w="8372" w:type="dxa"/>
            <w:tcBorders/>
            <w:vAlign w:val="center"/>
          </w:tcPr>
          <w:p>
            <w:pPr>
              <w:pStyle w:val="TableContents"/>
              <w:spacing w:before="101" w:after="101"/>
              <w:ind w:hanging="0" w:start="0" w:end="0"/>
              <w:jc w:val="start"/>
              <w:rPr/>
            </w:pPr>
            <w:r>
              <w:rPr/>
              <w:t>Latest volume &gt; 1.25 × average volume of the latest 20 candles, and close ≥ previous close</w:t>
            </w:r>
          </w:p>
        </w:tc>
        <w:tc>
          <w:tcPr>
            <w:tcW w:w="1228" w:type="dxa"/>
            <w:tcBorders/>
            <w:vAlign w:val="center"/>
          </w:tcPr>
          <w:p>
            <w:pPr>
              <w:pStyle w:val="TableContents"/>
              <w:spacing w:before="101" w:after="101"/>
              <w:ind w:hanging="0" w:start="0" w:end="0"/>
              <w:jc w:val="start"/>
              <w:rPr/>
            </w:pPr>
            <w:r>
              <w:rPr/>
              <w:t>Bullish +1</w:t>
            </w:r>
          </w:p>
        </w:tc>
      </w:tr>
      <w:tr>
        <w:trPr/>
        <w:tc>
          <w:tcPr>
            <w:tcW w:w="8372" w:type="dxa"/>
            <w:tcBorders/>
            <w:vAlign w:val="center"/>
          </w:tcPr>
          <w:p>
            <w:pPr>
              <w:pStyle w:val="TableContents"/>
              <w:spacing w:before="101" w:after="101"/>
              <w:ind w:hanging="0" w:start="0" w:end="0"/>
              <w:jc w:val="start"/>
              <w:rPr/>
            </w:pPr>
            <w:r>
              <w:rPr/>
              <w:t>Same volume expansion, but close &lt; previous close</w:t>
            </w:r>
          </w:p>
        </w:tc>
        <w:tc>
          <w:tcPr>
            <w:tcW w:w="1228" w:type="dxa"/>
            <w:tcBorders/>
            <w:vAlign w:val="center"/>
          </w:tcPr>
          <w:p>
            <w:pPr>
              <w:pStyle w:val="TableContents"/>
              <w:spacing w:before="101" w:after="101"/>
              <w:jc w:val="start"/>
              <w:rPr/>
            </w:pPr>
            <w:r>
              <w:rPr/>
              <w:t>Bearish +1</w:t>
            </w:r>
          </w:p>
        </w:tc>
      </w:tr>
    </w:tbl>
    <w:p>
      <w:pPr>
        <w:pStyle w:val="BodyText"/>
        <w:spacing w:before="144" w:after="144"/>
        <w:ind w:hanging="0" w:start="245" w:end="245"/>
        <w:jc w:val="start"/>
        <w:rPr>
          <w:rFonts w:ascii="Liberation Mono;monospace" w:hAnsi="Liberation Mono;monospace"/>
        </w:rPr>
      </w:pPr>
      <w:r>
        <w:rPr>
          <w:rFonts w:ascii="Liberation Mono;monospace" w:hAnsi="Liberation Mono;monospace"/>
        </w:rPr>
        <w:t>ScoreGap = BullishScore − BearishScore</w:t>
        <w:br/>
        <w:t>BUY if ScoreGap ≥ 4</w:t>
        <w:br/>
        <w:t>SELL if ScoreGap ≤ −4</w:t>
        <w:br/>
        <w:t>HOLD otherwise</w:t>
        <w:br/>
        <w:t>Confidence = clamp(floor(max(BullishScore, BearishScore) / 7 × 100), 0, 100)</w:t>
      </w:r>
    </w:p>
    <w:p>
      <w:pPr>
        <w:pStyle w:val="Heading2"/>
        <w:jc w:val="start"/>
        <w:rPr/>
      </w:pPr>
      <w:r>
        <w:rPr/>
        <w:t>6. Signal Selection and Position Interpretation</w:t>
      </w:r>
    </w:p>
    <w:p>
      <w:pPr>
        <w:pStyle w:val="BodyText"/>
        <w:jc w:val="start"/>
        <w:rPr/>
      </w:pPr>
      <w:r>
        <w:rPr/>
        <w:t>If an OpenAI key is configured, the calculated snapshot, scores, current position, and rule explanations are sent to the model. A strict JSON schema permits only BUY, SELL, or HOLD, an integer confidence, and reasons. Invalid signal values become HOLD and confidence is clamped to 0–100. Without a key, the deterministic score above is used. If an OpenAI request fails, the last stored AI signal is reused when available; otherwise the deterministic fallback is used.</w:t>
      </w:r>
    </w:p>
    <w:tbl>
      <w:tblPr>
        <w:tblW w:w="7185" w:type="dxa"/>
        <w:jc w:val="start"/>
        <w:tblInd w:w="0" w:type="dxa"/>
        <w:tblLayout w:type="fixed"/>
        <w:tblCellMar>
          <w:top w:w="0" w:type="dxa"/>
          <w:start w:w="0" w:type="dxa"/>
          <w:bottom w:w="0" w:type="dxa"/>
          <w:end w:w="0" w:type="dxa"/>
        </w:tblCellMar>
      </w:tblPr>
      <w:tblGrid>
        <w:gridCol w:w="2286"/>
        <w:gridCol w:w="2910"/>
        <w:gridCol w:w="1989"/>
      </w:tblGrid>
      <w:tr>
        <w:trPr/>
        <w:tc>
          <w:tcPr>
            <w:tcW w:w="2286" w:type="dxa"/>
            <w:tcBorders/>
            <w:vAlign w:val="center"/>
          </w:tcPr>
          <w:p>
            <w:pPr>
              <w:pStyle w:val="TableHeading"/>
              <w:spacing w:before="101" w:after="101"/>
              <w:ind w:hanging="0" w:start="0" w:end="0"/>
              <w:jc w:val="start"/>
              <w:rPr/>
            </w:pPr>
            <w:r>
              <w:rPr/>
              <w:t>Signal and state</w:t>
            </w:r>
          </w:p>
        </w:tc>
        <w:tc>
          <w:tcPr>
            <w:tcW w:w="2910" w:type="dxa"/>
            <w:tcBorders/>
            <w:vAlign w:val="center"/>
          </w:tcPr>
          <w:p>
            <w:pPr>
              <w:pStyle w:val="TableHeading"/>
              <w:spacing w:before="101" w:after="101"/>
              <w:ind w:hanging="0" w:start="0" w:end="0"/>
              <w:jc w:val="start"/>
              <w:rPr/>
            </w:pPr>
            <w:r>
              <w:rPr/>
              <w:t>Published execution action</w:t>
            </w:r>
          </w:p>
        </w:tc>
        <w:tc>
          <w:tcPr>
            <w:tcW w:w="1989" w:type="dxa"/>
            <w:tcBorders/>
            <w:vAlign w:val="center"/>
          </w:tcPr>
          <w:p>
            <w:pPr>
              <w:pStyle w:val="TableHeading"/>
              <w:spacing w:before="101" w:after="101"/>
              <w:ind w:hanging="0" w:start="0" w:end="0"/>
              <w:jc w:val="start"/>
              <w:rPr/>
            </w:pPr>
            <w:r>
              <w:rPr/>
              <w:t>Next analytical position state</w:t>
            </w:r>
          </w:p>
        </w:tc>
      </w:tr>
      <w:tr>
        <w:trPr/>
        <w:tc>
          <w:tcPr>
            <w:tcW w:w="2286" w:type="dxa"/>
            <w:tcBorders/>
            <w:vAlign w:val="center"/>
          </w:tcPr>
          <w:p>
            <w:pPr>
              <w:pStyle w:val="TableContents"/>
              <w:spacing w:before="101" w:after="101"/>
              <w:ind w:hanging="0" w:start="0" w:end="0"/>
              <w:jc w:val="start"/>
              <w:rPr/>
            </w:pPr>
            <w:r>
              <w:rPr/>
              <w:t>BUY while FLAT</w:t>
            </w:r>
          </w:p>
        </w:tc>
        <w:tc>
          <w:tcPr>
            <w:tcW w:w="2910" w:type="dxa"/>
            <w:tcBorders/>
            <w:vAlign w:val="center"/>
          </w:tcPr>
          <w:p>
            <w:pPr>
              <w:pStyle w:val="TableContents"/>
              <w:spacing w:before="101" w:after="101"/>
              <w:ind w:hanging="0" w:start="0" w:end="0"/>
              <w:jc w:val="start"/>
              <w:rPr/>
            </w:pPr>
            <w:r>
              <w:rPr/>
              <w:t>BUY</w:t>
            </w:r>
          </w:p>
        </w:tc>
        <w:tc>
          <w:tcPr>
            <w:tcW w:w="1989" w:type="dxa"/>
            <w:tcBorders/>
            <w:vAlign w:val="center"/>
          </w:tcPr>
          <w:p>
            <w:pPr>
              <w:pStyle w:val="TableContents"/>
              <w:spacing w:before="101" w:after="101"/>
              <w:ind w:hanging="0" w:start="0" w:end="0"/>
              <w:jc w:val="start"/>
              <w:rPr/>
            </w:pPr>
            <w:r>
              <w:rPr/>
              <w:t>LONG</w:t>
            </w:r>
          </w:p>
        </w:tc>
      </w:tr>
      <w:tr>
        <w:trPr/>
        <w:tc>
          <w:tcPr>
            <w:tcW w:w="2286" w:type="dxa"/>
            <w:tcBorders/>
            <w:vAlign w:val="center"/>
          </w:tcPr>
          <w:p>
            <w:pPr>
              <w:pStyle w:val="TableContents"/>
              <w:spacing w:before="101" w:after="101"/>
              <w:ind w:hanging="0" w:start="0" w:end="0"/>
              <w:jc w:val="start"/>
              <w:rPr/>
            </w:pPr>
            <w:r>
              <w:rPr/>
              <w:t>SELL while LONG</w:t>
            </w:r>
          </w:p>
        </w:tc>
        <w:tc>
          <w:tcPr>
            <w:tcW w:w="2910" w:type="dxa"/>
            <w:tcBorders/>
            <w:vAlign w:val="center"/>
          </w:tcPr>
          <w:p>
            <w:pPr>
              <w:pStyle w:val="TableContents"/>
              <w:spacing w:before="101" w:after="101"/>
              <w:ind w:hanging="0" w:start="0" w:end="0"/>
              <w:jc w:val="start"/>
              <w:rPr/>
            </w:pPr>
            <w:r>
              <w:rPr/>
              <w:t>SELL</w:t>
            </w:r>
          </w:p>
        </w:tc>
        <w:tc>
          <w:tcPr>
            <w:tcW w:w="1989" w:type="dxa"/>
            <w:tcBorders/>
            <w:vAlign w:val="center"/>
          </w:tcPr>
          <w:p>
            <w:pPr>
              <w:pStyle w:val="TableContents"/>
              <w:spacing w:before="101" w:after="101"/>
              <w:ind w:hanging="0" w:start="0" w:end="0"/>
              <w:jc w:val="start"/>
              <w:rPr/>
            </w:pPr>
            <w:r>
              <w:rPr/>
              <w:t>FLAT</w:t>
            </w:r>
          </w:p>
        </w:tc>
      </w:tr>
      <w:tr>
        <w:trPr/>
        <w:tc>
          <w:tcPr>
            <w:tcW w:w="2286" w:type="dxa"/>
            <w:tcBorders/>
            <w:vAlign w:val="center"/>
          </w:tcPr>
          <w:p>
            <w:pPr>
              <w:pStyle w:val="TableContents"/>
              <w:spacing w:before="101" w:after="101"/>
              <w:ind w:hanging="0" w:start="0" w:end="0"/>
              <w:jc w:val="start"/>
              <w:rPr/>
            </w:pPr>
            <w:r>
              <w:rPr/>
              <w:t>SELL while FLAT</w:t>
            </w:r>
          </w:p>
        </w:tc>
        <w:tc>
          <w:tcPr>
            <w:tcW w:w="2910" w:type="dxa"/>
            <w:tcBorders/>
            <w:vAlign w:val="center"/>
          </w:tcPr>
          <w:p>
            <w:pPr>
              <w:pStyle w:val="TableContents"/>
              <w:spacing w:before="101" w:after="101"/>
              <w:ind w:hanging="0" w:start="0" w:end="0"/>
              <w:jc w:val="start"/>
              <w:rPr/>
            </w:pPr>
            <w:r>
              <w:rPr/>
              <w:t>STAY_OUT</w:t>
            </w:r>
          </w:p>
        </w:tc>
        <w:tc>
          <w:tcPr>
            <w:tcW w:w="1989" w:type="dxa"/>
            <w:tcBorders/>
            <w:vAlign w:val="center"/>
          </w:tcPr>
          <w:p>
            <w:pPr>
              <w:pStyle w:val="TableContents"/>
              <w:spacing w:before="101" w:after="101"/>
              <w:ind w:hanging="0" w:start="0" w:end="0"/>
              <w:jc w:val="start"/>
              <w:rPr/>
            </w:pPr>
            <w:r>
              <w:rPr/>
              <w:t>FLAT</w:t>
            </w:r>
          </w:p>
        </w:tc>
      </w:tr>
      <w:tr>
        <w:trPr/>
        <w:tc>
          <w:tcPr>
            <w:tcW w:w="2286" w:type="dxa"/>
            <w:tcBorders/>
            <w:vAlign w:val="center"/>
          </w:tcPr>
          <w:p>
            <w:pPr>
              <w:pStyle w:val="TableContents"/>
              <w:spacing w:before="101" w:after="101"/>
              <w:ind w:hanging="0" w:start="0" w:end="0"/>
              <w:jc w:val="start"/>
              <w:rPr/>
            </w:pPr>
            <w:r>
              <w:rPr/>
              <w:t>All other combinations</w:t>
            </w:r>
          </w:p>
        </w:tc>
        <w:tc>
          <w:tcPr>
            <w:tcW w:w="2910" w:type="dxa"/>
            <w:tcBorders/>
            <w:vAlign w:val="center"/>
          </w:tcPr>
          <w:p>
            <w:pPr>
              <w:pStyle w:val="TableContents"/>
              <w:spacing w:before="101" w:after="101"/>
              <w:ind w:hanging="0" w:start="0" w:end="0"/>
              <w:jc w:val="start"/>
              <w:rPr/>
            </w:pPr>
            <w:r>
              <w:rPr/>
              <w:t>WAIT</w:t>
            </w:r>
          </w:p>
        </w:tc>
        <w:tc>
          <w:tcPr>
            <w:tcW w:w="1989" w:type="dxa"/>
            <w:tcBorders/>
            <w:vAlign w:val="center"/>
          </w:tcPr>
          <w:p>
            <w:pPr>
              <w:pStyle w:val="TableContents"/>
              <w:spacing w:before="101" w:after="101"/>
              <w:jc w:val="start"/>
              <w:rPr/>
            </w:pPr>
            <w:r>
              <w:rPr/>
              <w:t>Unchanged</w:t>
            </w:r>
          </w:p>
        </w:tc>
      </w:tr>
    </w:tbl>
    <w:p>
      <w:pPr>
        <w:pStyle w:val="BodyText"/>
        <w:jc w:val="start"/>
        <w:rPr/>
      </w:pPr>
      <w:r>
        <w:rPr>
          <w:b/>
        </w:rPr>
        <w:t>State distinction:</w:t>
      </w:r>
      <w:r>
        <w:rPr/>
        <w:t xml:space="preserve"> this analytical FLAT/LONG state belongs to the signal agent. It is separate from the paper-trading BTC balance; simulated holdings change only after a price trigger and successful AP2 validation.</w:t>
      </w:r>
    </w:p>
    <w:p>
      <w:pPr>
        <w:pStyle w:val="BodyText"/>
        <w:jc w:val="start"/>
        <w:rPr/>
      </w:pPr>
      <w:r>
        <w:rPr/>
        <w:t>Indicative risk levels are:</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For BUY: stop loss = live price − 1.5 × ATR; take profit = live price + 3 × ATR</w:t>
        <w:br/>
        <w:t>For SELL/STAY_OUT: stop loss = live price + 1.5 × ATR; take profit = live price − 3 × ATR</w:t>
      </w:r>
    </w:p>
    <w:p>
      <w:pPr>
        <w:pStyle w:val="BodyTextnote"/>
        <w:jc w:val="start"/>
        <w:rPr/>
      </w:pPr>
      <w:r>
        <w:rPr>
          <w:b/>
        </w:rPr>
        <w:t>Important distinction:</w:t>
      </w:r>
      <w:r>
        <w:rPr/>
        <w:t xml:space="preserve"> the published BUY/SELL/HOLD analysis does not itself guarantee a simulated transaction. Automatic execution is controlled by the price-trigger rules in the next section.</w:t>
      </w:r>
    </w:p>
    <w:p>
      <w:pPr>
        <w:pStyle w:val="Heading2"/>
        <w:jc w:val="start"/>
        <w:rPr/>
      </w:pPr>
      <w:r>
        <w:rPr/>
        <w:t>7. Automatic Paper-Trading Algorithm</w:t>
      </w:r>
    </w:p>
    <w:p>
      <w:pPr>
        <w:pStyle w:val="Heading3"/>
        <w:jc w:val="start"/>
        <w:rPr/>
      </w:pPr>
      <w:r>
        <w:rPr/>
        <w:t>7.1 Cycle</w:t>
      </w:r>
    </w:p>
    <w:p>
      <w:pPr>
        <w:pStyle w:val="BodyText"/>
        <w:numPr>
          <w:ilvl w:val="0"/>
          <w:numId w:val="1"/>
        </w:numPr>
        <w:tabs>
          <w:tab w:val="clear" w:pos="1134"/>
          <w:tab w:val="left" w:pos="709" w:leader="none"/>
        </w:tabs>
        <w:spacing w:before="101" w:after="0"/>
        <w:ind w:hanging="283" w:start="709" w:end="0"/>
        <w:jc w:val="start"/>
        <w:rPr/>
      </w:pPr>
      <w:r>
        <w:rPr/>
        <w:t xml:space="preserve">Fetch candles and live price. </w:t>
      </w:r>
    </w:p>
    <w:p>
      <w:pPr>
        <w:pStyle w:val="BodyText"/>
        <w:numPr>
          <w:ilvl w:val="0"/>
          <w:numId w:val="1"/>
        </w:numPr>
        <w:tabs>
          <w:tab w:val="clear" w:pos="1134"/>
          <w:tab w:val="left" w:pos="709" w:leader="none"/>
        </w:tabs>
        <w:spacing w:before="101" w:after="0"/>
        <w:ind w:hanging="283" w:start="709" w:end="0"/>
        <w:jc w:val="start"/>
        <w:rPr/>
      </w:pPr>
      <w:r>
        <w:rPr/>
        <w:t xml:space="preserve">Calculate indicators and scores. </w:t>
      </w:r>
    </w:p>
    <w:p>
      <w:pPr>
        <w:pStyle w:val="BodyText"/>
        <w:numPr>
          <w:ilvl w:val="0"/>
          <w:numId w:val="1"/>
        </w:numPr>
        <w:tabs>
          <w:tab w:val="clear" w:pos="1134"/>
          <w:tab w:val="left" w:pos="709" w:leader="none"/>
        </w:tabs>
        <w:spacing w:before="101" w:after="0"/>
        <w:ind w:hanging="283" w:start="709" w:end="0"/>
        <w:jc w:val="start"/>
        <w:rPr/>
      </w:pPr>
      <w:r>
        <w:rPr/>
        <w:t xml:space="preserve">Refresh the AI/rule signal when required; a cached fresh snapshot may be reused. </w:t>
      </w:r>
    </w:p>
    <w:p>
      <w:pPr>
        <w:pStyle w:val="BodyText"/>
        <w:numPr>
          <w:ilvl w:val="0"/>
          <w:numId w:val="1"/>
        </w:numPr>
        <w:tabs>
          <w:tab w:val="clear" w:pos="1134"/>
          <w:tab w:val="left" w:pos="709" w:leader="none"/>
        </w:tabs>
        <w:spacing w:before="101" w:after="0"/>
        <w:ind w:hanging="283" w:start="709" w:end="0"/>
        <w:jc w:val="start"/>
        <w:rPr/>
      </w:pPr>
      <w:r>
        <w:rPr/>
        <w:t xml:space="preserve">Store the new live price as </w:t>
      </w:r>
      <w:r>
        <w:rPr>
          <w:rStyle w:val="SourceText"/>
        </w:rPr>
        <w:t>lastSeenPrice</w:t>
      </w:r>
      <w:r>
        <w:rPr/>
        <w:t xml:space="preserve">, while retaining the previous value for the BUY comparison. </w:t>
      </w:r>
    </w:p>
    <w:p>
      <w:pPr>
        <w:pStyle w:val="BodyText"/>
        <w:numPr>
          <w:ilvl w:val="0"/>
          <w:numId w:val="1"/>
        </w:numPr>
        <w:tabs>
          <w:tab w:val="clear" w:pos="1134"/>
          <w:tab w:val="left" w:pos="709" w:leader="none"/>
        </w:tabs>
        <w:spacing w:before="101" w:after="0"/>
        <w:ind w:hanging="283" w:start="709" w:end="0"/>
        <w:jc w:val="start"/>
        <w:rPr/>
      </w:pPr>
      <w:r>
        <w:rPr/>
        <w:t xml:space="preserve">Evaluate BUY first, then SELL. </w:t>
      </w:r>
    </w:p>
    <w:p>
      <w:pPr>
        <w:pStyle w:val="BodyText"/>
        <w:numPr>
          <w:ilvl w:val="0"/>
          <w:numId w:val="1"/>
        </w:numPr>
        <w:tabs>
          <w:tab w:val="clear" w:pos="1134"/>
          <w:tab w:val="left" w:pos="709" w:leader="none"/>
        </w:tabs>
        <w:spacing w:before="101" w:after="0"/>
        <w:ind w:hanging="283" w:start="709" w:end="0"/>
        <w:jc w:val="start"/>
        <w:rPr/>
      </w:pPr>
      <w:r>
        <w:rPr/>
        <w:t xml:space="preserve">If a trigger is satisfied, create and validate a Cart Mandate before changing balances. </w:t>
      </w:r>
    </w:p>
    <w:p>
      <w:pPr>
        <w:pStyle w:val="BodyText"/>
        <w:numPr>
          <w:ilvl w:val="0"/>
          <w:numId w:val="1"/>
        </w:numPr>
        <w:tabs>
          <w:tab w:val="clear" w:pos="1134"/>
          <w:tab w:val="left" w:pos="709" w:leader="none"/>
        </w:tabs>
        <w:spacing w:before="101" w:after="0"/>
        <w:ind w:hanging="283" w:start="709" w:end="0"/>
        <w:jc w:val="start"/>
        <w:rPr/>
      </w:pPr>
      <w:r>
        <w:rPr/>
        <w:t xml:space="preserve">Create a Payment Mandate and update simulated state. </w:t>
      </w:r>
    </w:p>
    <w:p>
      <w:pPr>
        <w:pStyle w:val="BodyText"/>
        <w:numPr>
          <w:ilvl w:val="0"/>
          <w:numId w:val="1"/>
        </w:numPr>
        <w:tabs>
          <w:tab w:val="clear" w:pos="1134"/>
          <w:tab w:val="left" w:pos="810" w:leader="none"/>
        </w:tabs>
        <w:ind w:hanging="283" w:start="810" w:end="101"/>
        <w:jc w:val="start"/>
        <w:rPr/>
      </w:pPr>
      <w:r>
        <w:rPr/>
        <w:t xml:space="preserve">Save status and wait for the remainder of the polling interval. </w:t>
      </w:r>
    </w:p>
    <w:p>
      <w:pPr>
        <w:pStyle w:val="Heading3"/>
        <w:jc w:val="start"/>
        <w:rPr/>
      </w:pPr>
      <w:r>
        <w:rPr/>
        <w:t>7.2 BUY trigger</w:t>
      </w:r>
    </w:p>
    <w:p>
      <w:pPr>
        <w:pStyle w:val="BodyText"/>
        <w:jc w:val="start"/>
        <w:rPr/>
      </w:pPr>
      <w:r>
        <w:rPr/>
        <w:t>A BUY is eligible only when the system has no BTC, has cash, has observed at least one earlier price, and the cooldown has expired.</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CurrentPrice ≤ PreviousObservedPrice − DropToBuyUsd</w:t>
      </w:r>
    </w:p>
    <w:p>
      <w:pPr>
        <w:pStyle w:val="BodyText"/>
        <w:jc w:val="start"/>
        <w:rPr/>
      </w:pPr>
      <w:r>
        <w:rPr/>
        <w:t xml:space="preserve">If signal confirmation is enabled, </w:t>
      </w:r>
      <w:r>
        <w:rPr>
          <w:rStyle w:val="SourceText"/>
        </w:rPr>
        <w:t>Signal = BUY</w:t>
      </w:r>
      <w:r>
        <w:rPr/>
        <w:t xml:space="preserve"> is additionally required. The complete cash balance is used for the simulated purchase.</w:t>
      </w:r>
    </w:p>
    <w:p>
      <w:pPr>
        <w:pStyle w:val="Heading3"/>
        <w:jc w:val="start"/>
        <w:rPr/>
      </w:pPr>
      <w:r>
        <w:rPr/>
        <w:t>7.3 SELL trigger</w:t>
      </w:r>
    </w:p>
    <w:p>
      <w:pPr>
        <w:pStyle w:val="BodyText"/>
        <w:jc w:val="start"/>
        <w:rPr/>
      </w:pPr>
      <w:r>
        <w:rPr/>
        <w:t>A SELL is eligible only when BTC is held and an effective entry price exists.</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CurrentPrice ≥ EntryExecutionPrice + RiseToSellUsd</w:t>
      </w:r>
    </w:p>
    <w:p>
      <w:pPr>
        <w:pStyle w:val="BodyText"/>
        <w:jc w:val="start"/>
        <w:rPr/>
      </w:pPr>
      <w:r>
        <w:rPr/>
        <w:t xml:space="preserve">If signal confirmation is enabled, </w:t>
      </w:r>
      <w:r>
        <w:rPr>
          <w:rStyle w:val="SourceText"/>
        </w:rPr>
        <w:t>Signal = SELL</w:t>
      </w:r>
      <w:r>
        <w:rPr/>
        <w:t xml:space="preserve"> is additionally required. After a sale, the next BUY is blocked until the configured cooldown expires.</w:t>
      </w:r>
    </w:p>
    <w:p>
      <w:pPr>
        <w:pStyle w:val="Heading2"/>
        <w:jc w:val="start"/>
        <w:rPr/>
      </w:pPr>
      <w:r>
        <w:rPr/>
        <w:t>8. Execution Cost and Balance Calculations</w:t>
      </w:r>
    </w:p>
    <w:p>
      <w:pPr>
        <w:pStyle w:val="BodyText"/>
        <w:jc w:val="start"/>
        <w:rPr/>
      </w:pPr>
      <w:r>
        <w:rPr/>
        <w:t>Basis points are converted to rates by dividing by 10,000.</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FeeRate = FeeRateBps / 10,000</w:t>
        <w:br/>
        <w:t>SlippageRate = SlippageBps / 10,000</w:t>
      </w:r>
    </w:p>
    <w:p>
      <w:pPr>
        <w:pStyle w:val="Heading3"/>
        <w:jc w:val="start"/>
        <w:rPr/>
      </w:pPr>
      <w:r>
        <w:rPr/>
        <w:t>8.1 Simulated BUY</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BuyExecutionPrice = MarketPrice × (1 + SlippageRate)</w:t>
        <w:br/>
        <w:t>Spent = CashBefore</w:t>
        <w:br/>
        <w:t>BuyFee = Spent × FeeRate</w:t>
        <w:br/>
        <w:t>TradeNotional = Spent − BuyFee</w:t>
        <w:br/>
        <w:t>BTCBought = TradeNotional / BuyExecutionPrice</w:t>
        <w:br/>
        <w:t>BuySlippageCost = BTCBought × max(0, BuyExecutionPrice − MarketPrice)</w:t>
        <w:br/>
        <w:t>CashAfter = 0</w:t>
        <w:br/>
        <w:t>EntryCashValue = Spent</w:t>
        <w:br/>
        <w:t>EntryPrice = BuyExecutionPrice</w:t>
      </w:r>
    </w:p>
    <w:p>
      <w:pPr>
        <w:pStyle w:val="Heading3"/>
        <w:jc w:val="start"/>
        <w:rPr/>
      </w:pPr>
      <w:r>
        <w:rPr/>
        <w:t>8.2 Simulated SELL</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SellExecutionPrice = MarketPrice × (1 − SlippageRate)</w:t>
        <w:br/>
        <w:t>GrossReceived = BTCBefore × SellExecutionPrice</w:t>
        <w:br/>
        <w:t>SellFee = GrossReceived × FeeRate</w:t>
        <w:br/>
        <w:t>NetReceived = GrossReceived − SellFee</w:t>
        <w:br/>
        <w:t>SellSlippageCost = BTCBefore × max(0, MarketPrice − SellExecutionPrice)</w:t>
        <w:br/>
        <w:t>RealizedPnL for round trip = NetReceived − EntryCashValue</w:t>
        <w:br/>
        <w:t>RealizedPnLPercent = RealizedPnL / EntryCashValue × 100</w:t>
        <w:br/>
        <w:t>CashAfter = NetReceived; BTCAfter = 0</w:t>
      </w:r>
    </w:p>
    <w:p>
      <w:pPr>
        <w:pStyle w:val="Heading3"/>
        <w:jc w:val="start"/>
        <w:rPr/>
      </w:pPr>
      <w:r>
        <w:rPr/>
        <w:t>8.3 Portfolio metrics</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Equity = CashBalance + BTCBalance × CurrentMarketPrice</w:t>
        <w:br/>
        <w:t>UnrealizedPnL = BTCBalance × CurrentMarketPrice − EntryCashValue</w:t>
        <w:br/>
        <w:t>TotalFees = sum of all BUY and SELL fees</w:t>
        <w:br/>
        <w:t>TotalSlippageCost = sum of modeled adverse slippage costs</w:t>
        <w:br/>
        <w:t>TradeCount increases once for every BUY and once for every SELL</w:t>
      </w:r>
    </w:p>
    <w:p>
      <w:pPr>
        <w:pStyle w:val="BodyText"/>
        <w:jc w:val="start"/>
        <w:rPr/>
      </w:pPr>
      <w:r>
        <w:rPr/>
        <w:t xml:space="preserve">Because </w:t>
      </w:r>
      <w:r>
        <w:rPr>
          <w:rStyle w:val="SourceText"/>
        </w:rPr>
        <w:t>EntryCashValue</w:t>
      </w:r>
      <w:r>
        <w:rPr/>
        <w:t xml:space="preserve"> equals all cash spent before the BUY fee, round-trip realized P&amp;L includes the effect of both fees and adverse slippage.</w:t>
      </w:r>
    </w:p>
    <w:p>
      <w:pPr>
        <w:pStyle w:val="Heading3"/>
        <w:jc w:val="start"/>
        <w:rPr/>
      </w:pPr>
      <w:r>
        <w:rPr/>
        <w:t>8.4 Numerical example</w:t>
      </w:r>
    </w:p>
    <w:p>
      <w:pPr>
        <w:pStyle w:val="BodyText"/>
        <w:jc w:val="start"/>
        <w:rPr/>
      </w:pPr>
      <w:r>
        <w:rPr/>
        <w:t>Assume $500 cash, market price $80,000, fee 10 bps, and slippage 2 bps.</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BuyExecutionPrice = 80,000 × 1.0002 = $80,016.00</w:t>
        <w:br/>
        <w:t>BuyFee = 500 × 0.001 = $0.50</w:t>
        <w:br/>
        <w:t>BTCBought = 499.50 / 80,016 = 0.00624250 BTC (approximately)</w:t>
      </w:r>
    </w:p>
    <w:p>
      <w:pPr>
        <w:pStyle w:val="BodyText"/>
        <w:jc w:val="start"/>
        <w:rPr/>
      </w:pPr>
      <w:r>
        <w:rPr/>
        <w:t>If the later market price is $80,100:</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SellExecutionPrice = 80,100 × 0.9998 = $80,083.98</w:t>
        <w:br/>
        <w:t>GrossReceived ≈ 0.00624250 × 80,083.98 = $499.92</w:t>
        <w:br/>
        <w:t>SellFee ≈ $0.50</w:t>
        <w:br/>
        <w:t>NetReceived ≈ $499.42</w:t>
        <w:br/>
        <w:t>RealizedPnL ≈ $499.42 − $500.00 = −$0.58</w:t>
      </w:r>
    </w:p>
    <w:p>
      <w:pPr>
        <w:pStyle w:val="BodyText"/>
        <w:jc w:val="start"/>
        <w:rPr/>
      </w:pPr>
      <w:r>
        <w:rPr/>
        <w:t>This illustrates why a positive market move can still result in a loss when it is smaller than the combined modeled costs.</w:t>
      </w:r>
    </w:p>
    <w:p>
      <w:pPr>
        <w:pStyle w:val="Heading2"/>
        <w:jc w:val="start"/>
        <w:rPr/>
      </w:pPr>
      <w:r>
        <w:rPr/>
        <w:t>9. AP2-Inspired Validation and Audit Flow</w:t>
      </w:r>
    </w:p>
    <w:p>
      <w:pPr>
        <w:pStyle w:val="BodyText"/>
        <w:jc w:val="start"/>
        <w:rPr/>
      </w:pPr>
      <w:r>
        <w:rPr/>
        <w:t>The AP2 layer is a local simulation and audit mechanism, not a real payment protocol connection.</w:t>
      </w:r>
    </w:p>
    <w:p>
      <w:pPr>
        <w:pStyle w:val="BodyText"/>
        <w:numPr>
          <w:ilvl w:val="0"/>
          <w:numId w:val="2"/>
        </w:numPr>
        <w:tabs>
          <w:tab w:val="clear" w:pos="1134"/>
          <w:tab w:val="left" w:pos="709" w:leader="none"/>
        </w:tabs>
        <w:spacing w:before="101" w:after="0"/>
        <w:ind w:hanging="283" w:start="709" w:end="0"/>
        <w:jc w:val="start"/>
        <w:rPr/>
      </w:pPr>
      <w:r>
        <w:rPr>
          <w:b/>
        </w:rPr>
        <w:t>Intent Mandate:</w:t>
      </w:r>
      <w:r>
        <w:rPr/>
        <w:t xml:space="preserve"> created when auto simulation starts. It authorizes only simulated BUY/SELL for one symbol, stores thresholds and costs, expires after 24 hours, and explicitly disables real trading, money movement, withdrawals, and leverage. </w:t>
      </w:r>
    </w:p>
    <w:p>
      <w:pPr>
        <w:pStyle w:val="BodyText"/>
        <w:numPr>
          <w:ilvl w:val="0"/>
          <w:numId w:val="2"/>
        </w:numPr>
        <w:tabs>
          <w:tab w:val="clear" w:pos="1134"/>
          <w:tab w:val="left" w:pos="709" w:leader="none"/>
        </w:tabs>
        <w:spacing w:before="101" w:after="0"/>
        <w:ind w:hanging="283" w:start="709" w:end="0"/>
        <w:jc w:val="start"/>
        <w:rPr/>
      </w:pPr>
      <w:r>
        <w:rPr>
          <w:b/>
        </w:rPr>
        <w:t>Cart Mandate:</w:t>
      </w:r>
      <w:r>
        <w:rPr/>
        <w:t xml:space="preserve"> created for a proposed trade and expires after 60 seconds. It records action, price, quantity, notional, signal, confidence, trigger evidence, and its parent Intent Mandate ID. </w:t>
      </w:r>
    </w:p>
    <w:p>
      <w:pPr>
        <w:pStyle w:val="BodyText"/>
        <w:numPr>
          <w:ilvl w:val="0"/>
          <w:numId w:val="2"/>
        </w:numPr>
        <w:tabs>
          <w:tab w:val="clear" w:pos="1134"/>
          <w:tab w:val="left" w:pos="709" w:leader="none"/>
        </w:tabs>
        <w:spacing w:before="101" w:after="0"/>
        <w:ind w:hanging="283" w:start="709" w:end="0"/>
        <w:jc w:val="start"/>
        <w:rPr/>
      </w:pPr>
      <w:r>
        <w:rPr>
          <w:b/>
        </w:rPr>
        <w:t>Validation:</w:t>
      </w:r>
      <w:r>
        <w:rPr/>
        <w:t xml:space="preserve"> checks signature/hash, mandate type, simulation mode, symbol, parent relationship, expiry, positive numeric values, configured threshold, trigger arithmetic, and sufficient simulated cash or BTC. </w:t>
      </w:r>
    </w:p>
    <w:p>
      <w:pPr>
        <w:pStyle w:val="BodyText"/>
        <w:numPr>
          <w:ilvl w:val="0"/>
          <w:numId w:val="2"/>
        </w:numPr>
        <w:tabs>
          <w:tab w:val="clear" w:pos="1134"/>
          <w:tab w:val="left" w:pos="709" w:leader="none"/>
        </w:tabs>
        <w:spacing w:before="101" w:after="0"/>
        <w:ind w:hanging="283" w:start="709" w:end="0"/>
        <w:jc w:val="start"/>
        <w:rPr/>
      </w:pPr>
      <w:r>
        <w:rPr>
          <w:b/>
        </w:rPr>
        <w:t>Payment Mandate:</w:t>
      </w:r>
      <w:r>
        <w:rPr/>
        <w:t xml:space="preserve"> records the simulated execution, balances before/after, fee, slippage, quantity, price, and parent IDs. Its status is </w:t>
      </w:r>
      <w:r>
        <w:rPr>
          <w:rStyle w:val="SourceText"/>
        </w:rPr>
        <w:t>SIMULATED_EXECUTED</w:t>
      </w:r>
      <w:r>
        <w:rPr/>
        <w:t xml:space="preserve"> and </w:t>
      </w:r>
      <w:r>
        <w:rPr>
          <w:rStyle w:val="SourceText"/>
        </w:rPr>
        <w:t>realMoneyMoved</w:t>
      </w:r>
      <w:r>
        <w:rPr/>
        <w:t xml:space="preserve"> remains false. </w:t>
      </w:r>
    </w:p>
    <w:p>
      <w:pPr>
        <w:pStyle w:val="BodyText"/>
        <w:numPr>
          <w:ilvl w:val="0"/>
          <w:numId w:val="2"/>
        </w:numPr>
        <w:tabs>
          <w:tab w:val="clear" w:pos="1134"/>
          <w:tab w:val="left" w:pos="810" w:leader="none"/>
        </w:tabs>
        <w:ind w:hanging="283" w:start="810" w:end="101"/>
        <w:jc w:val="start"/>
        <w:rPr/>
      </w:pPr>
      <w:r>
        <w:rPr>
          <w:b/>
        </w:rPr>
        <w:t>Audit:</w:t>
      </w:r>
      <w:r>
        <w:rPr/>
        <w:t xml:space="preserve"> successful, failed, and blocked actions are appended to JSON/JSONL logs with human-readable reasons. </w:t>
      </w:r>
    </w:p>
    <w:p>
      <w:pPr>
        <w:pStyle w:val="BodyText"/>
        <w:jc w:val="start"/>
        <w:rPr/>
      </w:pPr>
      <w:r>
        <w:rPr/>
        <w:t>Records use canonical JSON and a payload hash. The automated trading mandate chain uses an HMAC-SHA256 simulation secret; checkout participants use ECDSA P-256 with SHA-256. Any altered payload, invalid signature, expired mandate, mismatched parent, or rule violation blocks the action.</w:t>
      </w:r>
    </w:p>
    <w:p>
      <w:pPr>
        <w:pStyle w:val="Heading2"/>
        <w:jc w:val="start"/>
        <w:rPr/>
      </w:pPr>
      <w:r>
        <w:rPr/>
        <w:t>10. Failure and Fallback Behavior</w:t>
      </w:r>
    </w:p>
    <w:p>
      <w:pPr>
        <w:pStyle w:val="BodyText"/>
        <w:numPr>
          <w:ilvl w:val="0"/>
          <w:numId w:val="3"/>
        </w:numPr>
        <w:tabs>
          <w:tab w:val="clear" w:pos="1134"/>
          <w:tab w:val="left" w:pos="709" w:leader="none"/>
        </w:tabs>
        <w:spacing w:before="101" w:after="0"/>
        <w:ind w:hanging="283" w:start="709" w:end="0"/>
        <w:jc w:val="start"/>
        <w:rPr/>
      </w:pPr>
      <w:r>
        <w:rPr/>
        <w:t xml:space="preserve">Binance calls use a timeout and configurable retries. If fresh retrieval fails but a previous result exists, the worker can publish the stale result together with a warning. </w:t>
      </w:r>
    </w:p>
    <w:p>
      <w:pPr>
        <w:pStyle w:val="BodyText"/>
        <w:numPr>
          <w:ilvl w:val="0"/>
          <w:numId w:val="3"/>
        </w:numPr>
        <w:tabs>
          <w:tab w:val="clear" w:pos="1134"/>
          <w:tab w:val="left" w:pos="709" w:leader="none"/>
        </w:tabs>
        <w:spacing w:before="101" w:after="0"/>
        <w:ind w:hanging="283" w:start="709" w:end="0"/>
        <w:jc w:val="start"/>
        <w:rPr/>
      </w:pPr>
      <w:r>
        <w:rPr/>
        <w:t xml:space="preserve">If OpenAI is unavailable or unconfigured, deterministic scoring remains operational. </w:t>
      </w:r>
    </w:p>
    <w:p>
      <w:pPr>
        <w:pStyle w:val="BodyText"/>
        <w:numPr>
          <w:ilvl w:val="0"/>
          <w:numId w:val="3"/>
        </w:numPr>
        <w:tabs>
          <w:tab w:val="clear" w:pos="1134"/>
          <w:tab w:val="left" w:pos="709" w:leader="none"/>
        </w:tabs>
        <w:spacing w:before="101" w:after="0"/>
        <w:ind w:hanging="283" w:start="709" w:end="0"/>
        <w:jc w:val="start"/>
        <w:rPr/>
      </w:pPr>
      <w:r>
        <w:rPr/>
        <w:t xml:space="preserve">Malformed model output is rejected or normalized conservatively to HOLD. </w:t>
      </w:r>
    </w:p>
    <w:p>
      <w:pPr>
        <w:pStyle w:val="BodyText"/>
        <w:numPr>
          <w:ilvl w:val="0"/>
          <w:numId w:val="3"/>
        </w:numPr>
        <w:tabs>
          <w:tab w:val="clear" w:pos="1134"/>
          <w:tab w:val="left" w:pos="709" w:leader="none"/>
        </w:tabs>
        <w:spacing w:before="101" w:after="0"/>
        <w:ind w:hanging="283" w:start="709" w:end="0"/>
        <w:jc w:val="start"/>
        <w:rPr/>
      </w:pPr>
      <w:r>
        <w:rPr/>
        <w:t xml:space="preserve">Exceptions are recorded in auto status; the background loop continues on its next interval. </w:t>
      </w:r>
    </w:p>
    <w:p>
      <w:pPr>
        <w:pStyle w:val="BodyText"/>
        <w:numPr>
          <w:ilvl w:val="0"/>
          <w:numId w:val="3"/>
        </w:numPr>
        <w:tabs>
          <w:tab w:val="clear" w:pos="1134"/>
          <w:tab w:val="left" w:pos="709" w:leader="none"/>
        </w:tabs>
        <w:spacing w:before="101" w:after="0"/>
        <w:ind w:hanging="283" w:start="709" w:end="0"/>
        <w:jc w:val="start"/>
        <w:rPr/>
      </w:pPr>
      <w:r>
        <w:rPr/>
        <w:t xml:space="preserve">State files are written atomically to reduce partial-write corruption. </w:t>
      </w:r>
    </w:p>
    <w:p>
      <w:pPr>
        <w:pStyle w:val="BodyText"/>
        <w:numPr>
          <w:ilvl w:val="0"/>
          <w:numId w:val="3"/>
        </w:numPr>
        <w:tabs>
          <w:tab w:val="clear" w:pos="1134"/>
          <w:tab w:val="left" w:pos="810" w:leader="none"/>
        </w:tabs>
        <w:ind w:hanging="283" w:start="810" w:end="101"/>
        <w:jc w:val="start"/>
        <w:rPr/>
      </w:pPr>
      <w:r>
        <w:rPr/>
        <w:t xml:space="preserve">Mutating API routes require POST, JSON content type, a bounded body, and a bearer token when one is configured. </w:t>
      </w:r>
    </w:p>
    <w:p>
      <w:pPr>
        <w:pStyle w:val="Heading2"/>
        <w:jc w:val="start"/>
        <w:rPr/>
      </w:pPr>
      <w:r>
        <w:rPr/>
        <w:t>11. Frontend Requirements</w:t>
      </w:r>
    </w:p>
    <w:p>
      <w:pPr>
        <w:pStyle w:val="BodyText"/>
        <w:jc w:val="start"/>
        <w:rPr/>
      </w:pPr>
      <w:r>
        <w:rPr/>
        <w:t>The frontend may be a standalone HTML/CSS/JavaScript dashboard or a React/Next.js application. It should be responsive, readable on desktop and mobile, and visually emphasize that the application is simulation-only.</w:t>
      </w:r>
    </w:p>
    <w:tbl>
      <w:tblPr>
        <w:tblW w:w="9600" w:type="dxa"/>
        <w:jc w:val="start"/>
        <w:tblInd w:w="0" w:type="dxa"/>
        <w:tblLayout w:type="fixed"/>
        <w:tblCellMar>
          <w:top w:w="0" w:type="dxa"/>
          <w:start w:w="0" w:type="dxa"/>
          <w:bottom w:w="0" w:type="dxa"/>
          <w:end w:w="0" w:type="dxa"/>
        </w:tblCellMar>
      </w:tblPr>
      <w:tblGrid>
        <w:gridCol w:w="1193"/>
        <w:gridCol w:w="8407"/>
      </w:tblGrid>
      <w:tr>
        <w:trPr/>
        <w:tc>
          <w:tcPr>
            <w:tcW w:w="1193" w:type="dxa"/>
            <w:tcBorders/>
            <w:vAlign w:val="center"/>
          </w:tcPr>
          <w:p>
            <w:pPr>
              <w:pStyle w:val="TableHeading"/>
              <w:spacing w:before="101" w:after="101"/>
              <w:ind w:hanging="0" w:start="0" w:end="0"/>
              <w:jc w:val="start"/>
              <w:rPr/>
            </w:pPr>
            <w:r>
              <w:rPr/>
              <w:t>Area</w:t>
            </w:r>
          </w:p>
        </w:tc>
        <w:tc>
          <w:tcPr>
            <w:tcW w:w="8407" w:type="dxa"/>
            <w:tcBorders/>
            <w:vAlign w:val="center"/>
          </w:tcPr>
          <w:p>
            <w:pPr>
              <w:pStyle w:val="TableHeading"/>
              <w:spacing w:before="101" w:after="101"/>
              <w:ind w:hanging="0" w:start="0" w:end="0"/>
              <w:jc w:val="start"/>
              <w:rPr/>
            </w:pPr>
            <w:r>
              <w:rPr/>
              <w:t>Required information or controls</w:t>
            </w:r>
          </w:p>
        </w:tc>
      </w:tr>
      <w:tr>
        <w:trPr/>
        <w:tc>
          <w:tcPr>
            <w:tcW w:w="1193" w:type="dxa"/>
            <w:tcBorders/>
            <w:vAlign w:val="center"/>
          </w:tcPr>
          <w:p>
            <w:pPr>
              <w:pStyle w:val="TableContents"/>
              <w:spacing w:before="101" w:after="101"/>
              <w:ind w:hanging="0" w:start="0" w:end="0"/>
              <w:jc w:val="start"/>
              <w:rPr/>
            </w:pPr>
            <w:r>
              <w:rPr/>
              <w:t>Signal header</w:t>
            </w:r>
          </w:p>
        </w:tc>
        <w:tc>
          <w:tcPr>
            <w:tcW w:w="8407" w:type="dxa"/>
            <w:tcBorders/>
            <w:vAlign w:val="center"/>
          </w:tcPr>
          <w:p>
            <w:pPr>
              <w:pStyle w:val="TableContents"/>
              <w:spacing w:before="101" w:after="101"/>
              <w:ind w:hanging="0" w:start="0" w:end="0"/>
              <w:jc w:val="start"/>
              <w:rPr/>
            </w:pPr>
            <w:r>
              <w:rPr/>
              <w:t>Large BUY/SELL/HOLD badge, confidence, effective execution action, symbol, interval, timestamp, stale/error state, and simulation-only label.</w:t>
            </w:r>
          </w:p>
        </w:tc>
      </w:tr>
      <w:tr>
        <w:trPr/>
        <w:tc>
          <w:tcPr>
            <w:tcW w:w="1193" w:type="dxa"/>
            <w:tcBorders/>
            <w:vAlign w:val="center"/>
          </w:tcPr>
          <w:p>
            <w:pPr>
              <w:pStyle w:val="TableContents"/>
              <w:spacing w:before="101" w:after="101"/>
              <w:ind w:hanging="0" w:start="0" w:end="0"/>
              <w:jc w:val="start"/>
              <w:rPr/>
            </w:pPr>
            <w:r>
              <w:rPr/>
              <w:t>Market panel</w:t>
            </w:r>
          </w:p>
        </w:tc>
        <w:tc>
          <w:tcPr>
            <w:tcW w:w="8407" w:type="dxa"/>
            <w:tcBorders/>
            <w:vAlign w:val="center"/>
          </w:tcPr>
          <w:p>
            <w:pPr>
              <w:pStyle w:val="TableContents"/>
              <w:spacing w:before="101" w:after="101"/>
              <w:ind w:hanging="0" w:start="0" w:end="0"/>
              <w:jc w:val="start"/>
              <w:rPr/>
            </w:pPr>
            <w:r>
              <w:rPr/>
              <w:t>Live price, latest closed-candle price, RSI, EMA9/21/55, MACD histogram, ATR, bullish/bearish scores, stop loss, take profit, and reasons.</w:t>
            </w:r>
          </w:p>
        </w:tc>
      </w:tr>
      <w:tr>
        <w:trPr/>
        <w:tc>
          <w:tcPr>
            <w:tcW w:w="1193" w:type="dxa"/>
            <w:tcBorders/>
            <w:vAlign w:val="center"/>
          </w:tcPr>
          <w:p>
            <w:pPr>
              <w:pStyle w:val="TableContents"/>
              <w:spacing w:before="101" w:after="101"/>
              <w:ind w:hanging="0" w:start="0" w:end="0"/>
              <w:jc w:val="start"/>
              <w:rPr/>
            </w:pPr>
            <w:r>
              <w:rPr/>
              <w:t>Portfolio panel</w:t>
            </w:r>
          </w:p>
        </w:tc>
        <w:tc>
          <w:tcPr>
            <w:tcW w:w="8407" w:type="dxa"/>
            <w:tcBorders/>
            <w:vAlign w:val="center"/>
          </w:tcPr>
          <w:p>
            <w:pPr>
              <w:pStyle w:val="TableContents"/>
              <w:spacing w:before="101" w:after="101"/>
              <w:ind w:hanging="0" w:start="0" w:end="0"/>
              <w:jc w:val="start"/>
              <w:rPr/>
            </w:pPr>
            <w:r>
              <w:rPr/>
              <w:t>Cash, BTC, equity, entry price/value, realized and unrealized P&amp;L, fees, slippage cost, and trade count.</w:t>
            </w:r>
          </w:p>
        </w:tc>
      </w:tr>
      <w:tr>
        <w:trPr/>
        <w:tc>
          <w:tcPr>
            <w:tcW w:w="1193" w:type="dxa"/>
            <w:tcBorders/>
            <w:vAlign w:val="center"/>
          </w:tcPr>
          <w:p>
            <w:pPr>
              <w:pStyle w:val="TableContents"/>
              <w:spacing w:before="101" w:after="101"/>
              <w:ind w:hanging="0" w:start="0" w:end="0"/>
              <w:jc w:val="start"/>
              <w:rPr/>
            </w:pPr>
            <w:r>
              <w:rPr/>
              <w:t>Controls</w:t>
            </w:r>
          </w:p>
        </w:tc>
        <w:tc>
          <w:tcPr>
            <w:tcW w:w="8407" w:type="dxa"/>
            <w:tcBorders/>
            <w:vAlign w:val="center"/>
          </w:tcPr>
          <w:p>
            <w:pPr>
              <w:pStyle w:val="TableContents"/>
              <w:spacing w:before="101" w:after="101"/>
              <w:ind w:hanging="0" w:start="0" w:end="0"/>
              <w:jc w:val="start"/>
              <w:rPr/>
            </w:pPr>
            <w:r>
              <w:rPr/>
              <w:t>Start, Pause/Stop, Apply settings, polling interval, starting cash, BUY drop, SELL rise, cooldown, fee bps, slippage bps, and signal-confirmation toggle.</w:t>
            </w:r>
          </w:p>
        </w:tc>
      </w:tr>
      <w:tr>
        <w:trPr/>
        <w:tc>
          <w:tcPr>
            <w:tcW w:w="1193" w:type="dxa"/>
            <w:tcBorders/>
            <w:vAlign w:val="center"/>
          </w:tcPr>
          <w:p>
            <w:pPr>
              <w:pStyle w:val="TableContents"/>
              <w:spacing w:before="101" w:after="101"/>
              <w:ind w:hanging="0" w:start="0" w:end="0"/>
              <w:jc w:val="start"/>
              <w:rPr/>
            </w:pPr>
            <w:r>
              <w:rPr/>
              <w:t>Activity panel</w:t>
            </w:r>
          </w:p>
        </w:tc>
        <w:tc>
          <w:tcPr>
            <w:tcW w:w="8407" w:type="dxa"/>
            <w:tcBorders/>
            <w:vAlign w:val="center"/>
          </w:tcPr>
          <w:p>
            <w:pPr>
              <w:pStyle w:val="TableContents"/>
              <w:spacing w:before="101" w:after="101"/>
              <w:ind w:hanging="0" w:start="0" w:end="0"/>
              <w:jc w:val="start"/>
              <w:rPr/>
            </w:pPr>
            <w:r>
              <w:rPr/>
              <w:t>Latest trigger messages, warnings, errors, and a chronological agent event feed.</w:t>
            </w:r>
          </w:p>
        </w:tc>
      </w:tr>
      <w:tr>
        <w:trPr/>
        <w:tc>
          <w:tcPr>
            <w:tcW w:w="1193" w:type="dxa"/>
            <w:tcBorders/>
            <w:vAlign w:val="center"/>
          </w:tcPr>
          <w:p>
            <w:pPr>
              <w:pStyle w:val="TableContents"/>
              <w:spacing w:before="101" w:after="101"/>
              <w:ind w:hanging="0" w:start="0" w:end="0"/>
              <w:jc w:val="start"/>
              <w:rPr/>
            </w:pPr>
            <w:r>
              <w:rPr/>
              <w:t>AP2 panel</w:t>
            </w:r>
          </w:p>
        </w:tc>
        <w:tc>
          <w:tcPr>
            <w:tcW w:w="8407" w:type="dxa"/>
            <w:tcBorders/>
            <w:vAlign w:val="center"/>
          </w:tcPr>
          <w:p>
            <w:pPr>
              <w:pStyle w:val="TableContents"/>
              <w:spacing w:before="101" w:after="101"/>
              <w:ind w:hanging="0" w:start="0" w:end="0"/>
              <w:jc w:val="start"/>
              <w:rPr/>
            </w:pPr>
            <w:r>
              <w:rPr/>
              <w:t>Active Intent Mandate, validation state, latest Cart/Payment Mandate IDs, audit events, status badges, and clear simulated-only wording.</w:t>
            </w:r>
          </w:p>
        </w:tc>
      </w:tr>
      <w:tr>
        <w:trPr/>
        <w:tc>
          <w:tcPr>
            <w:tcW w:w="1193" w:type="dxa"/>
            <w:tcBorders/>
            <w:vAlign w:val="center"/>
          </w:tcPr>
          <w:p>
            <w:pPr>
              <w:pStyle w:val="TableContents"/>
              <w:spacing w:before="101" w:after="101"/>
              <w:ind w:hanging="0" w:start="0" w:end="0"/>
              <w:jc w:val="start"/>
              <w:rPr/>
            </w:pPr>
            <w:r>
              <w:rPr/>
              <w:t>Checkout</w:t>
            </w:r>
          </w:p>
        </w:tc>
        <w:tc>
          <w:tcPr>
            <w:tcW w:w="8407" w:type="dxa"/>
            <w:tcBorders/>
            <w:vAlign w:val="center"/>
          </w:tcPr>
          <w:p>
            <w:pPr>
              <w:pStyle w:val="TableContents"/>
              <w:spacing w:before="101" w:after="101"/>
              <w:jc w:val="start"/>
              <w:rPr/>
            </w:pPr>
            <w:r>
              <w:rPr/>
              <w:t>Optional custom form for the demonstration payment chain; it must never imply a real purchase.</w:t>
            </w:r>
          </w:p>
        </w:tc>
      </w:tr>
    </w:tbl>
    <w:p>
      <w:pPr>
        <w:pStyle w:val="Heading3"/>
        <w:jc w:val="start"/>
        <w:rPr/>
      </w:pPr>
      <w:r>
        <w:rPr/>
        <w:t>Recommended interaction model</w:t>
      </w:r>
    </w:p>
    <w:p>
      <w:pPr>
        <w:pStyle w:val="BodyText"/>
        <w:numPr>
          <w:ilvl w:val="0"/>
          <w:numId w:val="4"/>
        </w:numPr>
        <w:tabs>
          <w:tab w:val="clear" w:pos="1134"/>
          <w:tab w:val="left" w:pos="709" w:leader="none"/>
        </w:tabs>
        <w:spacing w:before="101" w:after="0"/>
        <w:ind w:hanging="283" w:start="709" w:end="0"/>
        <w:jc w:val="start"/>
        <w:rPr/>
      </w:pPr>
      <w:r>
        <w:rPr/>
        <w:t xml:space="preserve">Read status from </w:t>
      </w:r>
      <w:r>
        <w:rPr>
          <w:rStyle w:val="SourceText"/>
        </w:rPr>
        <w:t>GET /auto/status</w:t>
      </w:r>
      <w:r>
        <w:rPr/>
        <w:t xml:space="preserve"> every 1–5 seconds. </w:t>
      </w:r>
    </w:p>
    <w:p>
      <w:pPr>
        <w:pStyle w:val="BodyText"/>
        <w:numPr>
          <w:ilvl w:val="0"/>
          <w:numId w:val="4"/>
        </w:numPr>
        <w:tabs>
          <w:tab w:val="clear" w:pos="1134"/>
          <w:tab w:val="left" w:pos="709" w:leader="none"/>
        </w:tabs>
        <w:spacing w:before="101" w:after="0"/>
        <w:ind w:hanging="283" w:start="709" w:end="0"/>
        <w:jc w:val="start"/>
        <w:rPr/>
      </w:pPr>
      <w:r>
        <w:rPr/>
        <w:t xml:space="preserve">Use </w:t>
      </w:r>
      <w:r>
        <w:rPr>
          <w:rStyle w:val="SourceText"/>
        </w:rPr>
        <w:t>POST /auto/start</w:t>
      </w:r>
      <w:r>
        <w:rPr/>
        <w:t xml:space="preserve">, </w:t>
      </w:r>
      <w:r>
        <w:rPr>
          <w:rStyle w:val="SourceText"/>
        </w:rPr>
        <w:t>POST /auto/stop</w:t>
      </w:r>
      <w:r>
        <w:rPr/>
        <w:t xml:space="preserve">, and </w:t>
      </w:r>
      <w:r>
        <w:rPr>
          <w:rStyle w:val="SourceText"/>
        </w:rPr>
        <w:t>POST /auto/configure</w:t>
      </w:r>
      <w:r>
        <w:rPr/>
        <w:t xml:space="preserve"> for mutations. </w:t>
      </w:r>
    </w:p>
    <w:p>
      <w:pPr>
        <w:pStyle w:val="BodyText"/>
        <w:numPr>
          <w:ilvl w:val="0"/>
          <w:numId w:val="4"/>
        </w:numPr>
        <w:tabs>
          <w:tab w:val="clear" w:pos="1134"/>
          <w:tab w:val="left" w:pos="709" w:leader="none"/>
        </w:tabs>
        <w:spacing w:before="101" w:after="0"/>
        <w:ind w:hanging="283" w:start="709" w:end="0"/>
        <w:jc w:val="start"/>
        <w:rPr/>
      </w:pPr>
      <w:r>
        <w:rPr/>
        <w:t xml:space="preserve">Use </w:t>
      </w:r>
      <w:r>
        <w:rPr>
          <w:rStyle w:val="SourceText"/>
        </w:rPr>
        <w:t>GET /ap2</w:t>
      </w:r>
      <w:r>
        <w:rPr/>
        <w:t xml:space="preserve"> for audit data and </w:t>
      </w:r>
      <w:r>
        <w:rPr>
          <w:rStyle w:val="SourceText"/>
        </w:rPr>
        <w:t>POST /ap2/checkout/run</w:t>
      </w:r>
      <w:r>
        <w:rPr/>
        <w:t xml:space="preserve"> for the demonstration checkout. </w:t>
      </w:r>
    </w:p>
    <w:p>
      <w:pPr>
        <w:pStyle w:val="BodyText"/>
        <w:numPr>
          <w:ilvl w:val="0"/>
          <w:numId w:val="4"/>
        </w:numPr>
        <w:tabs>
          <w:tab w:val="clear" w:pos="1134"/>
          <w:tab w:val="left" w:pos="709" w:leader="none"/>
        </w:tabs>
        <w:spacing w:before="101" w:after="0"/>
        <w:ind w:hanging="283" w:start="709" w:end="0"/>
        <w:jc w:val="start"/>
        <w:rPr/>
      </w:pPr>
      <w:r>
        <w:rPr/>
        <w:t xml:space="preserve">Keep the API token server-side when using Next.js. Never embed </w:t>
      </w:r>
      <w:r>
        <w:rPr>
          <w:rStyle w:val="SourceText"/>
        </w:rPr>
        <w:t>AGENT_API_TOKEN</w:t>
      </w:r>
      <w:r>
        <w:rPr/>
        <w:t xml:space="preserve"> in browser JavaScript. </w:t>
      </w:r>
    </w:p>
    <w:p>
      <w:pPr>
        <w:pStyle w:val="BodyText"/>
        <w:numPr>
          <w:ilvl w:val="0"/>
          <w:numId w:val="4"/>
        </w:numPr>
        <w:tabs>
          <w:tab w:val="clear" w:pos="1134"/>
          <w:tab w:val="left" w:pos="709" w:leader="none"/>
        </w:tabs>
        <w:spacing w:before="101" w:after="0"/>
        <w:ind w:hanging="283" w:start="709" w:end="0"/>
        <w:jc w:val="start"/>
        <w:rPr/>
      </w:pPr>
      <w:r>
        <w:rPr/>
        <w:t xml:space="preserve">Disable controls while a request is pending, validate numeric ranges before submission, and show API errors without hiding the last valid state. </w:t>
      </w:r>
    </w:p>
    <w:p>
      <w:pPr>
        <w:pStyle w:val="BodyText"/>
        <w:numPr>
          <w:ilvl w:val="0"/>
          <w:numId w:val="4"/>
        </w:numPr>
        <w:tabs>
          <w:tab w:val="clear" w:pos="1134"/>
          <w:tab w:val="left" w:pos="810" w:leader="none"/>
        </w:tabs>
        <w:ind w:hanging="283" w:start="810" w:end="101"/>
        <w:jc w:val="start"/>
        <w:rPr/>
      </w:pPr>
      <w:r>
        <w:rPr/>
        <w:t xml:space="preserve">Use color as a secondary cue: green for BUY, red for SELL, neutral gray/amber for HOLD, and always include text labels for accessibility. </w:t>
      </w:r>
    </w:p>
    <w:p>
      <w:pPr>
        <w:pStyle w:val="Heading2"/>
        <w:jc w:val="start"/>
        <w:rPr/>
      </w:pPr>
      <w:r>
        <w:rPr/>
        <w:t>12. Compact Pseudocode</w:t>
      </w:r>
    </w:p>
    <w:p>
      <w:pPr>
        <w:pStyle w:val="BodyText"/>
        <w:spacing w:before="144" w:after="144"/>
        <w:ind w:hanging="0" w:start="245" w:end="245"/>
        <w:jc w:val="start"/>
        <w:rPr>
          <w:rFonts w:ascii="Liberation Mono;monospace" w:hAnsi="Liberation Mono;monospace"/>
        </w:rPr>
      </w:pPr>
      <w:r>
        <w:rPr>
          <w:rFonts w:ascii="Liberation Mono;monospace" w:hAnsi="Liberation Mono;monospace"/>
        </w:rPr>
        <w:t>initialize cash, zero BTC, and signed simulation Intent Mandate</w:t>
        <w:br/>
        <w:br/>
        <w:t>while running:</w:t>
        <w:br/>
        <w:t>  fetch candles and live price (or use last valid result with warning)</w:t>
        <w:br/>
        <w:t>  calculate EMA, RSI, MACD, ATR, volume, bullish score, bearish score</w:t>
        <w:br/>
        <w:t>  obtain AI signal or deterministic BUY/SELL/HOLD fallback</w:t>
        <w:br/>
        <w:t>  if simulated BTC balance is zero, cash is available, price dropped enough, and cooldown expired:</w:t>
        <w:br/>
        <w:t>    if confirmation disabled or signal == BUY:</w:t>
        <w:br/>
        <w:t>      create + validate Cart Mandate</w:t>
        <w:br/>
        <w:t>      apply adverse BUY slippage and fee; convert all cash to simulated BTC</w:t>
        <w:br/>
        <w:t>      create Payment Mandate and audit event</w:t>
        <w:br/>
        <w:t>  else if simulated BTC balance is positive and price rose enough from entry:</w:t>
        <w:br/>
        <w:t>    if confirmation disabled or signal == SELL:</w:t>
        <w:br/>
        <w:t>      create + validate Cart Mandate</w:t>
        <w:br/>
        <w:t>      apply adverse SELL slippage and fee; convert all BTC to simulated cash</w:t>
        <w:br/>
        <w:t>      calculate realized P&amp;L; create Payment Mandate and cooldown</w:t>
        <w:br/>
        <w:t>  publish signal, balances, costs, messages, and audit state through the local API</w:t>
        <w:br/>
        <w:t>  wait until the next polling interval</w:t>
      </w:r>
    </w:p>
    <w:p>
      <w:pPr>
        <w:pStyle w:val="BodyTextsmall"/>
        <w:spacing w:before="101" w:after="101"/>
        <w:jc w:val="start"/>
        <w:rPr/>
      </w:pPr>
      <w:r>
        <w:rPr>
          <w:b/>
        </w:rPr>
        <w:t>End of specification.</w:t>
      </w:r>
      <w:r>
        <w:rPr/>
        <w:t xml:space="preserve"> This document describes the implemented algorithm; it is not financial advice and does not claim profitability.</w:t>
      </w:r>
    </w:p>
    <w:sectPr>
      <w:type w:val="nextPage"/>
      <w:pgSz w:w="11906" w:h="16838"/>
      <w:pgMar w:left="1022" w:right="1022" w:gutter="0" w:header="0" w:top="1138" w:footer="0" w:bottom="113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oto Serif CJK SC" w:cs="Noto Sans Devanagari"/>
      <w:color w:val="172033"/>
      <w:kern w:val="0"/>
      <w:sz w:val="24"/>
      <w:szCs w:val="24"/>
      <w:lang w:val="en-US" w:eastAsia="zh-CN" w:bidi="hi-IN"/>
    </w:rPr>
  </w:style>
  <w:style w:type="paragraph" w:styleId="Heading1">
    <w:name w:val="heading 1"/>
    <w:basedOn w:val="Heading"/>
    <w:next w:val="BodyText"/>
    <w:qFormat/>
    <w:pPr>
      <w:keepNext w:val="true"/>
      <w:widowControl w:val="false"/>
      <w:bidi w:val="0"/>
      <w:spacing w:lineRule="auto" w:line="341" w:before="240" w:after="115"/>
      <w:jc w:val="start"/>
    </w:pPr>
    <w:rPr>
      <w:rFonts w:ascii="Liberation Sans;serif" w:hAnsi="Liberation Sans;serif" w:eastAsia="Liberation Sans;Arial;sans-serif" w:cs="Liberation Sans;Arial;sans-serif"/>
      <w:b/>
      <w:bCs/>
      <w:color w:val="10234A"/>
      <w:sz w:val="50"/>
      <w:szCs w:val="50"/>
      <w:lang w:val="en-US" w:eastAsia="zh-CN" w:bidi="hi-IN"/>
    </w:rPr>
  </w:style>
  <w:style w:type="paragraph" w:styleId="Heading2">
    <w:name w:val="heading 2"/>
    <w:basedOn w:val="Heading"/>
    <w:next w:val="BodyText"/>
    <w:qFormat/>
    <w:pPr>
      <w:keepNext w:val="true"/>
      <w:widowControl w:val="false"/>
      <w:bidi w:val="0"/>
      <w:spacing w:lineRule="auto" w:line="341" w:before="403" w:after="115"/>
      <w:jc w:val="start"/>
      <w:outlineLvl w:val="1"/>
    </w:pPr>
    <w:rPr>
      <w:rFonts w:ascii="Liberation Serif;serif" w:hAnsi="Liberation Serif;serif" w:eastAsia="Noto Serif CJK SC" w:cs="Noto Sans Devanagari"/>
      <w:b/>
      <w:bCs/>
      <w:color w:val="153B70"/>
      <w:sz w:val="32"/>
      <w:szCs w:val="32"/>
      <w:lang w:val="en-US" w:eastAsia="zh-CN" w:bidi="hi-IN"/>
    </w:rPr>
  </w:style>
  <w:style w:type="paragraph" w:styleId="Heading3">
    <w:name w:val="heading 3"/>
    <w:basedOn w:val="Heading"/>
    <w:next w:val="BodyText"/>
    <w:qFormat/>
    <w:pPr>
      <w:keepNext w:val="true"/>
      <w:widowControl w:val="false"/>
      <w:bidi w:val="0"/>
      <w:spacing w:lineRule="auto" w:line="341" w:before="274" w:after="115"/>
      <w:jc w:val="start"/>
      <w:outlineLvl w:val="2"/>
    </w:pPr>
    <w:rPr>
      <w:rFonts w:ascii="Liberation Serif;serif" w:hAnsi="Liberation Serif;serif" w:eastAsia="Noto Serif CJK SC" w:cs="Noto Sans Devanagari"/>
      <w:b/>
      <w:bCs/>
      <w:color w:val="24568D"/>
      <w:sz w:val="24"/>
      <w:szCs w:val="24"/>
      <w:lang w:val="en-US" w:eastAsia="zh-CN" w:bidi="hi-IN"/>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user">
    <w:name w:val="Endnote Characters (user)"/>
    <w:qFormat/>
    <w:rPr/>
  </w:style>
  <w:style w:type="character" w:styleId="FootnoteCharactersuser">
    <w:name w:val="Footnote Characters (user)"/>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rPr>
  </w:style>
  <w:style w:type="character" w:styleId="FollowedHyperlink">
    <w:name w:val="FollowedHyperlink"/>
    <w:rPr>
      <w:color w:val="800000"/>
      <w:u w:val="single"/>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widowControl w:val="false"/>
      <w:bidi w:val="0"/>
      <w:spacing w:lineRule="auto" w:line="341" w:before="101" w:after="101"/>
      <w:ind w:start="101" w:end="101"/>
      <w:jc w:val="start"/>
    </w:pPr>
    <w:rPr>
      <w:rFonts w:ascii="Liberation Sans;Arial;sans-serif" w:hAnsi="Liberation Sans;Arial;sans-serif" w:eastAsia="Liberation Sans;Arial;sans-serif" w:cs="Liberation Sans;Arial;sans-serif"/>
      <w:color w:val="172033"/>
      <w:sz w:val="20"/>
      <w:szCs w:val="20"/>
      <w:lang w:val="en-US" w:eastAsia="zh-CN" w:bidi="hi-IN"/>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widowControl w:val="false"/>
      <w:bidi w:val="0"/>
      <w:spacing w:lineRule="auto" w:line="341" w:before="101" w:after="101"/>
      <w:ind w:start="101" w:end="101"/>
      <w:jc w:val="start"/>
    </w:pPr>
    <w:rPr>
      <w:rFonts w:ascii="Liberation Sans;Arial;sans-serif" w:hAnsi="Liberation Sans;Arial;sans-serif" w:eastAsia="Liberation Sans;Arial;sans-serif" w:cs="Liberation Sans;Arial;sans-serif"/>
      <w:color w:val="172033"/>
      <w:sz w:val="20"/>
      <w:szCs w:val="20"/>
      <w:lang w:val="en-US" w:eastAsia="zh-CN" w:bidi="hi-IN"/>
    </w:rPr>
  </w:style>
  <w:style w:type="paragraph" w:styleId="BodyTextsmall">
    <w:name w:val="Body Text.small"/>
    <w:basedOn w:val="BodyText"/>
    <w:qFormat/>
    <w:pPr/>
    <w:rPr>
      <w:color w:val="526174"/>
      <w:sz w:val="18"/>
      <w:szCs w:val="18"/>
    </w:rPr>
  </w:style>
  <w:style w:type="paragraph" w:styleId="BodyTextnote">
    <w:name w:val="Body Text.note"/>
    <w:basedOn w:val="BodyText"/>
    <w:qFormat/>
    <w:pPr/>
    <w:rPr/>
  </w:style>
  <w:style w:type="paragraph" w:styleId="TableHeading">
    <w:name w:val="Table Heading"/>
    <w:basedOn w:val="TableContents"/>
    <w:qFormat/>
    <w:pPr>
      <w:widowControl w:val="false"/>
      <w:suppressLineNumbers/>
      <w:bidi w:val="0"/>
      <w:spacing w:lineRule="auto" w:line="341" w:before="101" w:after="101"/>
      <w:ind w:start="101" w:end="101"/>
      <w:jc w:val="start"/>
    </w:pPr>
    <w:rPr>
      <w:rFonts w:ascii="Liberation Sans;Arial;sans-serif" w:hAnsi="Liberation Sans;Arial;sans-serif" w:eastAsia="Liberation Sans;Arial;sans-serif" w:cs="Liberation Sans;Arial;sans-serif"/>
      <w:b/>
      <w:bCs/>
      <w:color w:val="172033"/>
      <w:sz w:val="20"/>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2171</Words>
  <Characters>11997</Characters>
  <CharactersWithSpaces>14022</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TABSS System Algorithm and Calculation Specification</dc:title>
</cp:coreProperties>
</file>

<file path=docProps/custom.xml><?xml version="1.0" encoding="utf-8"?>
<Properties xmlns="http://schemas.openxmlformats.org/officeDocument/2006/custom-properties" xmlns:vt="http://schemas.openxmlformats.org/officeDocument/2006/docPropsVTypes"/>
</file>