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100" w:before="200"/>
        <w:jc w:val="center"/>
      </w:pPr>
      <w:r>
        <w:t xml:space="preserve">PRIVACY IMPACT ASSESSMENT</w:t>
      </w:r>
    </w:p>
    <w:p>
      <w:pPr>
        <w:spacing w:after="400" w:before="100"/>
        <w:jc w:val="center"/>
      </w:pPr>
      <w:r>
        <w:t xml:space="preserve">Évaluation des facteurs relatifs à la vie privée (EFVP)</w:t>
      </w:r>
    </w:p>
    <w:p>
      <w:pPr>
        <w:spacing w:after="100" w:before="200"/>
        <w:jc w:val="center"/>
      </w:pPr>
      <w:r>
        <w:t xml:space="preserve">TruePick Web Application</w:t>
      </w:r>
    </w:p>
    <w:p>
      <w:pPr>
        <w:spacing w:after="400" w:before="100"/>
        <w:jc w:val="center"/>
      </w:pPr>
      <w:r>
        <w:t xml:space="preserve">Resila Technologies Inc.</w:t>
      </w:r>
    </w:p>
    <w:p>
      <w:pPr>
        <w:spacing w:after="400" w:before="400"/>
      </w:pPr>
    </w:p>
    <w:p>
      <w:pPr>
        <w:spacing w:after="50" w:before="100"/>
        <w:jc w:val="center"/>
      </w:pPr>
      <w:r>
        <w:t xml:space="preserve">Date: February 24, 2026</w:t>
      </w:r>
    </w:p>
    <w:p>
      <w:pPr>
        <w:spacing w:after="50" w:before="50"/>
        <w:jc w:val="center"/>
      </w:pPr>
      <w:r>
        <w:t xml:space="preserve">Version: 1.0 — DRAFT</w:t>
      </w:r>
    </w:p>
    <w:p>
      <w:pPr>
        <w:spacing w:after="200" w:before="50"/>
        <w:jc w:val="center"/>
      </w:pPr>
      <w:r>
        <w:t xml:space="preserve">Classification: CONFIDENTIAL — INTERNAL USE ONLY</w:t>
      </w:r>
    </w:p>
    <w:r>
      <w:br w:type="page"/>
    </w:r>
    <w:p>
      <w:pPr>
        <w:pStyle w:val="Heading1"/>
        <w:pStyle w:val="Heading1"/>
        <w:spacing w:after="100" w:before="200"/>
      </w:pPr>
      <w:r>
        <w:t xml:space="preserve">1. PROJECT OVERVIEW</w:t>
      </w:r>
    </w:p>
    <w:p>
      <w:pPr>
        <w:pStyle w:val="Heading2"/>
        <w:pStyle w:val="Heading2"/>
        <w:spacing w:after="100" w:before="200"/>
      </w:pPr>
      <w:r>
        <w:t xml:space="preserve">1.1 Project Description</w:t>
      </w:r>
    </w:p>
    <w:p>
      <w:pPr>
        <w:spacing w:after="200" w:before="0"/>
        <w:ind/>
      </w:pPr>
      <w:r>
        <w:t xml:space="preserve">TruePick is a web application that helps users track and understand their spending behaviour, emotional patterns, and psychological well-being. The application integrates email accounts (via OAuth) to automatically identify purchase receipts, collects self-reported psychological data (anxiety, depression, neuroticism), and uses AI-powered analysis (OpenAI) to generate personalized insights and recommendations.</w:t>
      </w:r>
    </w:p>
    <w:p>
      <w:pPr>
        <w:pStyle w:val="Heading2"/>
        <w:pStyle w:val="Heading2"/>
        <w:spacing w:after="100" w:before="200"/>
      </w:pPr>
      <w:r>
        <w:t xml:space="preserve">1.2 Responsible Person</w:t>
      </w:r>
    </w:p>
    <w:p>
      <w:pPr>
        <w:spacing w:after="200" w:before="0"/>
        <w:ind/>
      </w:pPr>
      <w:r>
        <w:t xml:space="preserve">Person responsible for the protection of personal information (s. 3.1, Act respecting the protection of personal information in the private sector): Zihao Geng, Director, Resila Technologies Inc. Contact: privacy@resila.com</w:t>
      </w:r>
    </w:p>
    <w:p>
      <w:pPr>
        <w:pStyle w:val="Heading2"/>
        <w:pStyle w:val="Heading2"/>
        <w:spacing w:after="100" w:before="200"/>
      </w:pPr>
      <w:r>
        <w:t xml:space="preserve">1.3 Purpose of This Assessment</w:t>
      </w:r>
    </w:p>
    <w:p>
      <w:pPr>
        <w:spacing w:after="200" w:before="0"/>
        <w:ind/>
      </w:pPr>
      <w:r>
        <w:t xml:space="preserve">This PIA is conducted pursuant to Section 3.3 of Quebec's Act respecting the protection of personal information in the private sector (CQLR, c. P-39.1), as amended by An Act to modernize legislative provisions as regards the protection of personal information (2021, c. 25) ("Law 25"). A PIA is mandatory before any project involving the collection, use, or communication of personal information.</w:t>
      </w:r>
    </w:p>
    <w:p>
      <w:pPr>
        <w:pStyle w:val="Heading2"/>
        <w:pStyle w:val="Heading2"/>
        <w:spacing w:after="100" w:before="200"/>
      </w:pPr>
      <w:r>
        <w:t xml:space="preserve">1.4 Scope</w:t>
      </w:r>
    </w:p>
    <w:p>
      <w:pPr>
        <w:spacing w:after="200" w:before="0"/>
        <w:ind/>
      </w:pPr>
      <w:r>
        <w:t xml:space="preserve">This assessment covers all personal information processing activities within the TruePick application, including data collection, AI processing, storage, sharing with sub-processors, and cross-border transfers.</w:t>
      </w:r>
    </w:p>
    <w:r>
      <w:br w:type="page"/>
    </w:r>
    <w:p>
      <w:pPr>
        <w:pStyle w:val="Heading1"/>
        <w:pStyle w:val="Heading1"/>
        <w:spacing w:after="100" w:before="200"/>
      </w:pPr>
      <w:r>
        <w:t xml:space="preserve">2. DESCRIPTION OF PERSONAL INFORMATION FLOWS</w:t>
      </w:r>
    </w:p>
    <w:p>
      <w:pPr>
        <w:pStyle w:val="Heading2"/>
        <w:pStyle w:val="Heading2"/>
        <w:spacing w:after="100" w:before="200"/>
      </w:pPr>
      <w:r>
        <w:t xml:space="preserve">2.1 Categories of Personal Information Collected</w:t>
      </w:r>
    </w:p>
    <w:p>
      <w:pPr>
        <w:spacing w:after="100" w:before="0"/>
        <w:ind/>
      </w:pPr>
      <w:r>
        <w:t xml:space="preserve">The following table summarizes all categories of personal information collected by TruePick: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val="clear"/>
            <w:tcMar>
              <w:top w:type="dxa" w:w="80"/>
              <w:left w:type="dxa" w:w="120"/>
              <w:bottom w:type="dxa" w:w="80"/>
              <w:right w:type="dxa" w:w="120"/>
            </w:tcMar>
          </w:tcPr>
          <w:p>
            <w:r>
              <w:t xml:space="preserve">Category</w:t>
            </w:r>
          </w:p>
        </w:tc>
        <w:tc>
          <w:tcPr>
            <w:tcW w:type="dxa" w:w="3000"/>
            <w:shd w:val="clear"/>
            <w:tcMar>
              <w:top w:type="dxa" w:w="80"/>
              <w:left w:type="dxa" w:w="120"/>
              <w:bottom w:type="dxa" w:w="80"/>
              <w:right w:type="dxa" w:w="120"/>
            </w:tcMar>
          </w:tcPr>
          <w:p>
            <w:r>
              <w:t xml:space="preserve">Data Elements</w:t>
            </w:r>
          </w:p>
        </w:tc>
        <w:tc>
          <w:tcPr>
            <w:tcW w:type="dxa" w:w="2000"/>
            <w:shd w:val="clear"/>
            <w:tcMar>
              <w:top w:type="dxa" w:w="80"/>
              <w:left w:type="dxa" w:w="120"/>
              <w:bottom w:type="dxa" w:w="80"/>
              <w:right w:type="dxa" w:w="120"/>
            </w:tcMar>
          </w:tcPr>
          <w:p>
            <w:r>
              <w:t xml:space="preserve">Source</w:t>
            </w:r>
          </w:p>
        </w:tc>
        <w:tc>
          <w:tcPr>
            <w:tcW w:type="dxa" w:w="1840"/>
            <w:shd w:val="clear"/>
            <w:tcMar>
              <w:top w:type="dxa" w:w="80"/>
              <w:left w:type="dxa" w:w="120"/>
              <w:bottom w:type="dxa" w:w="80"/>
              <w:right w:type="dxa" w:w="120"/>
            </w:tcMar>
          </w:tcPr>
          <w:p>
            <w:r>
              <w:t xml:space="preserve">Sensitivity Level</w:t>
            </w:r>
          </w:p>
        </w:tc>
      </w:tr>
      <w:tr>
        <w:tc>
          <w:tcPr>
            <w:tcW w:type="dxa" w:w="1800"/>
            <w:shd w:val="clear"/>
            <w:tcMar>
              <w:top w:type="dxa" w:w="80"/>
              <w:left w:type="dxa" w:w="120"/>
              <w:bottom w:type="dxa" w:w="80"/>
              <w:right w:type="dxa" w:w="120"/>
            </w:tcMar>
          </w:tcPr>
          <w:p>
            <w:r>
              <w:t xml:space="preserve">Account Information</w:t>
            </w:r>
          </w:p>
        </w:tc>
        <w:tc>
          <w:tcPr>
            <w:tcW w:type="dxa" w:w="3000"/>
            <w:shd w:val="clear"/>
            <w:tcMar>
              <w:top w:type="dxa" w:w="80"/>
              <w:left w:type="dxa" w:w="120"/>
              <w:bottom w:type="dxa" w:w="80"/>
              <w:right w:type="dxa" w:w="120"/>
            </w:tcMar>
          </w:tcPr>
          <w:p>
            <w:r>
              <w:t xml:space="preserve">Name, email, credentials, subscription tier</w:t>
            </w:r>
          </w:p>
        </w:tc>
        <w:tc>
          <w:tcPr>
            <w:tcW w:type="dxa" w:w="2000"/>
            <w:shd w:val="clear"/>
            <w:tcMar>
              <w:top w:type="dxa" w:w="80"/>
              <w:left w:type="dxa" w:w="120"/>
              <w:bottom w:type="dxa" w:w="80"/>
              <w:right w:type="dxa" w:w="120"/>
            </w:tcMar>
          </w:tcPr>
          <w:p>
            <w:r>
              <w:t xml:space="preserve">User-provided</w:t>
            </w:r>
          </w:p>
        </w:tc>
        <w:tc>
          <w:tcPr>
            <w:tcW w:type="dxa" w:w="1840"/>
            <w:shd w:val="clear"/>
            <w:tcMar>
              <w:top w:type="dxa" w:w="80"/>
              <w:left w:type="dxa" w:w="120"/>
              <w:bottom w:type="dxa" w:w="80"/>
              <w:right w:type="dxa" w:w="120"/>
            </w:tcMar>
          </w:tcPr>
          <w:p>
            <w:r>
              <w:t xml:space="preserve">Standard</w:t>
            </w:r>
          </w:p>
        </w:tc>
      </w:tr>
      <w:tr>
        <w:tc>
          <w:tcPr>
            <w:tcW w:type="dxa" w:w="1800"/>
            <w:shd w:val="clear"/>
            <w:tcMar>
              <w:top w:type="dxa" w:w="80"/>
              <w:left w:type="dxa" w:w="120"/>
              <w:bottom w:type="dxa" w:w="80"/>
              <w:right w:type="dxa" w:w="120"/>
            </w:tcMar>
          </w:tcPr>
          <w:p>
            <w:r>
              <w:t xml:space="preserve">Billing Information</w:t>
            </w:r>
          </w:p>
        </w:tc>
        <w:tc>
          <w:tcPr>
            <w:tcW w:type="dxa" w:w="3000"/>
            <w:shd w:val="clear"/>
            <w:tcMar>
              <w:top w:type="dxa" w:w="80"/>
              <w:left w:type="dxa" w:w="120"/>
              <w:bottom w:type="dxa" w:w="80"/>
              <w:right w:type="dxa" w:w="120"/>
            </w:tcMar>
          </w:tcPr>
          <w:p>
            <w:r>
              <w:t xml:space="preserve">Payment card details (tokenized via Stripe)</w:t>
            </w:r>
          </w:p>
        </w:tc>
        <w:tc>
          <w:tcPr>
            <w:tcW w:type="dxa" w:w="2000"/>
            <w:shd w:val="clear"/>
            <w:tcMar>
              <w:top w:type="dxa" w:w="80"/>
              <w:left w:type="dxa" w:w="120"/>
              <w:bottom w:type="dxa" w:w="80"/>
              <w:right w:type="dxa" w:w="120"/>
            </w:tcMar>
          </w:tcPr>
          <w:p>
            <w:r>
              <w:t xml:space="preserve">User-provided</w:t>
            </w:r>
          </w:p>
        </w:tc>
        <w:tc>
          <w:tcPr>
            <w:tcW w:type="dxa" w:w="1840"/>
            <w:shd w:val="clear"/>
            <w:tcMar>
              <w:top w:type="dxa" w:w="80"/>
              <w:left w:type="dxa" w:w="120"/>
              <w:bottom w:type="dxa" w:w="80"/>
              <w:right w:type="dxa" w:w="120"/>
            </w:tcMar>
          </w:tcPr>
          <w:p>
            <w:r>
              <w:t xml:space="preserve">Standard</w:t>
            </w:r>
          </w:p>
        </w:tc>
      </w:tr>
      <w:tr>
        <w:tc>
          <w:tcPr>
            <w:tcW w:type="dxa" w:w="1800"/>
            <w:shd w:val="clear"/>
            <w:tcMar>
              <w:top w:type="dxa" w:w="80"/>
              <w:left w:type="dxa" w:w="120"/>
              <w:bottom w:type="dxa" w:w="80"/>
              <w:right w:type="dxa" w:w="120"/>
            </w:tcMar>
          </w:tcPr>
          <w:p>
            <w:r>
              <w:t xml:space="preserve">Email and Purchase Data</w:t>
            </w:r>
          </w:p>
        </w:tc>
        <w:tc>
          <w:tcPr>
            <w:tcW w:type="dxa" w:w="3000"/>
            <w:shd w:val="clear"/>
            <w:tcMar>
              <w:top w:type="dxa" w:w="80"/>
              <w:left w:type="dxa" w:w="120"/>
              <w:bottom w:type="dxa" w:w="80"/>
              <w:right w:type="dxa" w:w="120"/>
            </w:tcMar>
          </w:tcPr>
          <w:p>
            <w:r>
              <w:t xml:space="preserve">Email subject lines, sender info, receipt contents, transaction amounts</w:t>
            </w:r>
          </w:p>
        </w:tc>
        <w:tc>
          <w:tcPr>
            <w:tcW w:type="dxa" w:w="2000"/>
            <w:shd w:val="clear"/>
            <w:tcMar>
              <w:top w:type="dxa" w:w="80"/>
              <w:left w:type="dxa" w:w="120"/>
              <w:bottom w:type="dxa" w:w="80"/>
              <w:right w:type="dxa" w:w="120"/>
            </w:tcMar>
          </w:tcPr>
          <w:p>
            <w:r>
              <w:t xml:space="preserve">OAuth email integration</w:t>
            </w:r>
          </w:p>
        </w:tc>
        <w:tc>
          <w:tcPr>
            <w:tcW w:type="dxa" w:w="1840"/>
            <w:shd w:val="clear"/>
            <w:tcMar>
              <w:top w:type="dxa" w:w="80"/>
              <w:left w:type="dxa" w:w="120"/>
              <w:bottom w:type="dxa" w:w="80"/>
              <w:right w:type="dxa" w:w="120"/>
            </w:tcMar>
          </w:tcPr>
          <w:p>
            <w:r>
              <w:t xml:space="preserve">Elevated</w:t>
            </w:r>
          </w:p>
        </w:tc>
      </w:tr>
      <w:tr>
        <w:tc>
          <w:tcPr>
            <w:tcW w:type="dxa" w:w="1800"/>
            <w:shd w:val="clear"/>
            <w:tcMar>
              <w:top w:type="dxa" w:w="80"/>
              <w:left w:type="dxa" w:w="120"/>
              <w:bottom w:type="dxa" w:w="80"/>
              <w:right w:type="dxa" w:w="120"/>
            </w:tcMar>
          </w:tcPr>
          <w:p>
            <w:r>
              <w:t xml:space="preserve">Self-Reported Psychological Data</w:t>
            </w:r>
          </w:p>
        </w:tc>
        <w:tc>
          <w:tcPr>
            <w:tcW w:type="dxa" w:w="3000"/>
            <w:shd w:val="clear"/>
            <w:tcMar>
              <w:top w:type="dxa" w:w="80"/>
              <w:left w:type="dxa" w:w="120"/>
              <w:bottom w:type="dxa" w:w="80"/>
              <w:right w:type="dxa" w:w="120"/>
            </w:tcMar>
          </w:tcPr>
          <w:p>
            <w:r>
              <w:t xml:space="preserve">Anxiety levels, depression indicators, neuroticism scores, mood tracking, habit data</w:t>
            </w:r>
          </w:p>
        </w:tc>
        <w:tc>
          <w:tcPr>
            <w:tcW w:type="dxa" w:w="2000"/>
            <w:shd w:val="clear"/>
            <w:tcMar>
              <w:top w:type="dxa" w:w="80"/>
              <w:left w:type="dxa" w:w="120"/>
              <w:bottom w:type="dxa" w:w="80"/>
              <w:right w:type="dxa" w:w="120"/>
            </w:tcMar>
          </w:tcPr>
          <w:p>
            <w:r>
              <w:t xml:space="preserve">User-provided (self-report)</w:t>
            </w:r>
          </w:p>
        </w:tc>
        <w:tc>
          <w:tcPr>
            <w:tcW w:type="dxa" w:w="1840"/>
            <w:shd w:val="clear"/>
            <w:tcMar>
              <w:top w:type="dxa" w:w="80"/>
              <w:left w:type="dxa" w:w="120"/>
              <w:bottom w:type="dxa" w:w="80"/>
              <w:right w:type="dxa" w:w="120"/>
            </w:tcMar>
          </w:tcPr>
          <w:p>
            <w:r>
              <w:t xml:space="preserve">Sensitive (s. 12, Law 25)</w:t>
            </w:r>
          </w:p>
        </w:tc>
      </w:tr>
      <w:tr>
        <w:tc>
          <w:tcPr>
            <w:tcW w:type="dxa" w:w="1800"/>
            <w:shd w:val="clear"/>
            <w:tcMar>
              <w:top w:type="dxa" w:w="80"/>
              <w:left w:type="dxa" w:w="120"/>
              <w:bottom w:type="dxa" w:w="80"/>
              <w:right w:type="dxa" w:w="120"/>
            </w:tcMar>
          </w:tcPr>
          <w:p>
            <w:r>
              <w:t xml:space="preserve">AI-Generated Insights</w:t>
            </w:r>
          </w:p>
        </w:tc>
        <w:tc>
          <w:tcPr>
            <w:tcW w:type="dxa" w:w="3000"/>
            <w:shd w:val="clear"/>
            <w:tcMar>
              <w:top w:type="dxa" w:w="80"/>
              <w:left w:type="dxa" w:w="120"/>
              <w:bottom w:type="dxa" w:w="80"/>
              <w:right w:type="dxa" w:w="120"/>
            </w:tcMar>
          </w:tcPr>
          <w:p>
            <w:r>
              <w:t xml:space="preserve">Behavioural categorizations, spending pattern analysis, psychological trend data</w:t>
            </w:r>
          </w:p>
        </w:tc>
        <w:tc>
          <w:tcPr>
            <w:tcW w:type="dxa" w:w="2000"/>
            <w:shd w:val="clear"/>
            <w:tcMar>
              <w:top w:type="dxa" w:w="80"/>
              <w:left w:type="dxa" w:w="120"/>
              <w:bottom w:type="dxa" w:w="80"/>
              <w:right w:type="dxa" w:w="120"/>
            </w:tcMar>
          </w:tcPr>
          <w:p>
            <w:r>
              <w:t xml:space="preserve">Derived by OpenAI models</w:t>
            </w:r>
          </w:p>
        </w:tc>
        <w:tc>
          <w:tcPr>
            <w:tcW w:type="dxa" w:w="1840"/>
            <w:shd w:val="clear"/>
            <w:tcMar>
              <w:top w:type="dxa" w:w="80"/>
              <w:left w:type="dxa" w:w="120"/>
              <w:bottom w:type="dxa" w:w="80"/>
              <w:right w:type="dxa" w:w="120"/>
            </w:tcMar>
          </w:tcPr>
          <w:p>
            <w:r>
              <w:t xml:space="preserve">Sensitive (derived from sensitive inputs)</w:t>
            </w:r>
          </w:p>
        </w:tc>
      </w:tr>
      <w:tr>
        <w:tc>
          <w:tcPr>
            <w:tcW w:type="dxa" w:w="1800"/>
            <w:shd w:val="clear"/>
            <w:tcMar>
              <w:top w:type="dxa" w:w="80"/>
              <w:left w:type="dxa" w:w="120"/>
              <w:bottom w:type="dxa" w:w="80"/>
              <w:right w:type="dxa" w:w="120"/>
            </w:tcMar>
          </w:tcPr>
          <w:p>
            <w:r>
              <w:t xml:space="preserve">Usage and Analytics</w:t>
            </w:r>
          </w:p>
        </w:tc>
        <w:tc>
          <w:tcPr>
            <w:tcW w:type="dxa" w:w="3000"/>
            <w:shd w:val="clear"/>
            <w:tcMar>
              <w:top w:type="dxa" w:w="80"/>
              <w:left w:type="dxa" w:w="120"/>
              <w:bottom w:type="dxa" w:w="80"/>
              <w:right w:type="dxa" w:w="120"/>
            </w:tcMar>
          </w:tcPr>
          <w:p>
            <w:r>
              <w:t xml:space="preserve">In-app actions, feature usage, session data, device info, IP address</w:t>
            </w:r>
          </w:p>
        </w:tc>
        <w:tc>
          <w:tcPr>
            <w:tcW w:type="dxa" w:w="2000"/>
            <w:shd w:val="clear"/>
            <w:tcMar>
              <w:top w:type="dxa" w:w="80"/>
              <w:left w:type="dxa" w:w="120"/>
              <w:bottom w:type="dxa" w:w="80"/>
              <w:right w:type="dxa" w:w="120"/>
            </w:tcMar>
          </w:tcPr>
          <w:p>
            <w:r>
              <w:t xml:space="preserve">Automated collection</w:t>
            </w:r>
          </w:p>
        </w:tc>
        <w:tc>
          <w:tcPr>
            <w:tcW w:type="dxa" w:w="1840"/>
            <w:shd w:val="clear"/>
            <w:tcMar>
              <w:top w:type="dxa" w:w="80"/>
              <w:left w:type="dxa" w:w="120"/>
              <w:bottom w:type="dxa" w:w="80"/>
              <w:right w:type="dxa" w:w="120"/>
            </w:tcMar>
          </w:tcPr>
          <w:p>
            <w:r>
              <w:t xml:space="preserve">Standard</w:t>
            </w:r>
          </w:p>
        </w:tc>
      </w:tr>
    </w:tbl>
    <w:p>
      <w:pPr>
        <w:spacing w:after="200" w:before="100"/>
      </w:pPr>
    </w:p>
    <w:p>
      <w:pPr>
        <w:pStyle w:val="Heading2"/>
        <w:pStyle w:val="Heading2"/>
        <w:spacing w:after="100" w:before="200"/>
      </w:pPr>
      <w:r>
        <w:t xml:space="preserve">2.2 Data Flow Diagram (Narrative)</w:t>
      </w:r>
    </w:p>
    <w:p>
      <w:pPr>
        <w:spacing w:after="100" w:before="0"/>
        <w:ind/>
      </w:pPr>
      <w:r>
        <w:t xml:space="preserve">Personal information flows through TruePick via the following process:</w:t>
      </w:r>
    </w:p>
    <w:p>
      <w:pPr>
        <w:pStyle w:val="ListParagraph"/>
        <w:numPr>
          <w:ilvl w:val="0"/>
          <w:numId w:val="1"/>
        </w:numPr>
        <w:spacing w:after="50" w:before="0"/>
      </w:pPr>
      <w:r>
        <w:t xml:space="preserve">User creates account via Supabase authentication</w:t>
      </w:r>
    </w:p>
    <w:p>
      <w:pPr>
        <w:pStyle w:val="ListParagraph"/>
        <w:numPr>
          <w:ilvl w:val="0"/>
          <w:numId w:val="1"/>
        </w:numPr>
        <w:spacing w:after="50" w:before="0"/>
      </w:pPr>
      <w:r>
        <w:t xml:space="preserve">User optionally connects email via OAuth — TruePick scans emails for purchase receipts only</w:t>
      </w:r>
    </w:p>
    <w:p>
      <w:pPr>
        <w:pStyle w:val="ListParagraph"/>
        <w:numPr>
          <w:ilvl w:val="0"/>
          <w:numId w:val="1"/>
        </w:numPr>
        <w:spacing w:after="50" w:before="0"/>
      </w:pPr>
      <w:r>
        <w:t xml:space="preserve">User optionally self-reports psychological data (anxiety, depression, neuroticism)</w:t>
      </w:r>
    </w:p>
    <w:p>
      <w:pPr>
        <w:pStyle w:val="ListParagraph"/>
        <w:numPr>
          <w:ilvl w:val="0"/>
          <w:numId w:val="1"/>
        </w:numPr>
        <w:spacing w:after="50" w:before="0"/>
      </w:pPr>
      <w:r>
        <w:t xml:space="preserve">Purchase data + self-reported data sent to OpenAI API for AI analysis</w:t>
      </w:r>
    </w:p>
    <w:p>
      <w:pPr>
        <w:pStyle w:val="ListParagraph"/>
        <w:numPr>
          <w:ilvl w:val="0"/>
          <w:numId w:val="1"/>
        </w:numPr>
        <w:spacing w:after="50" w:before="0"/>
      </w:pPr>
      <w:r>
        <w:t xml:space="preserve">AI-generated insights stored in Supabase database</w:t>
      </w:r>
    </w:p>
    <w:p>
      <w:pPr>
        <w:pStyle w:val="ListParagraph"/>
        <w:numPr>
          <w:ilvl w:val="0"/>
          <w:numId w:val="1"/>
        </w:numPr>
        <w:spacing w:after="50" w:before="0"/>
      </w:pPr>
      <w:r>
        <w:t xml:space="preserve">User views insights via TruePick dashboard (hosted on Vercel/Render)</w:t>
      </w:r>
    </w:p>
    <w:p>
      <w:pPr>
        <w:pStyle w:val="ListParagraph"/>
        <w:numPr>
          <w:ilvl w:val="0"/>
          <w:numId w:val="1"/>
        </w:numPr>
        <w:spacing w:after="50" w:before="0"/>
      </w:pPr>
      <w:r>
        <w:t xml:space="preserve">Billing handled by Stripe (no full card data stored by Resila)</w:t>
      </w:r>
    </w:p>
    <w:p>
      <w:pPr>
        <w:pStyle w:val="ListParagraph"/>
        <w:numPr>
          <w:ilvl w:val="0"/>
          <w:numId w:val="1"/>
        </w:numPr>
        <w:spacing w:after="200" w:before="0"/>
      </w:pPr>
      <w:r>
        <w:t xml:space="preserve">Email communications via Resend</w:t>
      </w:r>
    </w:p>
    <w:p>
      <w:pPr>
        <w:pStyle w:val="Heading2"/>
        <w:pStyle w:val="Heading2"/>
        <w:spacing w:after="100" w:before="200"/>
      </w:pPr>
      <w:r>
        <w:t xml:space="preserve">2.3 Sub-Processors and Data Transfers</w:t>
      </w:r>
    </w:p>
    <w:p>
      <w:pPr>
        <w:spacing w:after="100" w:before="0"/>
        <w:ind/>
      </w:pPr>
      <w:r>
        <w:t xml:space="preserve">TruePick engages the following sub-processors for specific data processing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shd w:val="clear"/>
            <w:tcMar>
              <w:top w:type="dxa" w:w="80"/>
              <w:left w:type="dxa" w:w="120"/>
              <w:bottom w:type="dxa" w:w="80"/>
              <w:right w:type="dxa" w:w="120"/>
            </w:tcMar>
          </w:tcPr>
          <w:p>
            <w:r>
              <w:t xml:space="preserve">Sub-Processor</w:t>
            </w:r>
          </w:p>
        </w:tc>
        <w:tc>
          <w:tcPr>
            <w:tcW w:type="dxa" w:w="1400"/>
            <w:shd w:val="clear"/>
            <w:tcMar>
              <w:top w:type="dxa" w:w="80"/>
              <w:left w:type="dxa" w:w="120"/>
              <w:bottom w:type="dxa" w:w="80"/>
              <w:right w:type="dxa" w:w="120"/>
            </w:tcMar>
          </w:tcPr>
          <w:p>
            <w:r>
              <w:t xml:space="preserve">Purpose</w:t>
            </w:r>
          </w:p>
        </w:tc>
        <w:tc>
          <w:tcPr>
            <w:tcW w:type="dxa" w:w="1600"/>
            <w:shd w:val="clear"/>
            <w:tcMar>
              <w:top w:type="dxa" w:w="80"/>
              <w:left w:type="dxa" w:w="120"/>
              <w:bottom w:type="dxa" w:w="80"/>
              <w:right w:type="dxa" w:w="120"/>
            </w:tcMar>
          </w:tcPr>
          <w:p>
            <w:r>
              <w:t xml:space="preserve">Data Accessed</w:t>
            </w:r>
          </w:p>
        </w:tc>
        <w:tc>
          <w:tcPr>
            <w:tcW w:type="dxa" w:w="1200"/>
            <w:shd w:val="clear"/>
            <w:tcMar>
              <w:top w:type="dxa" w:w="80"/>
              <w:left w:type="dxa" w:w="120"/>
              <w:bottom w:type="dxa" w:w="80"/>
              <w:right w:type="dxa" w:w="120"/>
            </w:tcMar>
          </w:tcPr>
          <w:p>
            <w:r>
              <w:t xml:space="preserve">Location</w:t>
            </w:r>
          </w:p>
        </w:tc>
        <w:tc>
          <w:tcPr>
            <w:tcW w:type="dxa" w:w="1640"/>
            <w:shd w:val="clear"/>
            <w:tcMar>
              <w:top w:type="dxa" w:w="80"/>
              <w:left w:type="dxa" w:w="120"/>
              <w:bottom w:type="dxa" w:w="80"/>
              <w:right w:type="dxa" w:w="120"/>
            </w:tcMar>
          </w:tcPr>
          <w:p>
            <w:r>
              <w:t xml:space="preserve">Transfer Mechanism</w:t>
            </w:r>
          </w:p>
        </w:tc>
      </w:tr>
      <w:tr>
        <w:tc>
          <w:tcPr>
            <w:tcW w:type="dxa" w:w="1200"/>
            <w:shd w:val="clear"/>
            <w:tcMar>
              <w:top w:type="dxa" w:w="80"/>
              <w:left w:type="dxa" w:w="120"/>
              <w:bottom w:type="dxa" w:w="80"/>
              <w:right w:type="dxa" w:w="120"/>
            </w:tcMar>
          </w:tcPr>
          <w:p>
            <w:r>
              <w:t xml:space="preserve">Supabase</w:t>
            </w:r>
          </w:p>
        </w:tc>
        <w:tc>
          <w:tcPr>
            <w:tcW w:type="dxa" w:w="1400"/>
            <w:shd w:val="clear"/>
            <w:tcMar>
              <w:top w:type="dxa" w:w="80"/>
              <w:left w:type="dxa" w:w="120"/>
              <w:bottom w:type="dxa" w:w="80"/>
              <w:right w:type="dxa" w:w="120"/>
            </w:tcMar>
          </w:tcPr>
          <w:p>
            <w:r>
              <w:t xml:space="preserve">Authentication, database</w:t>
            </w:r>
          </w:p>
        </w:tc>
        <w:tc>
          <w:tcPr>
            <w:tcW w:type="dxa" w:w="1600"/>
            <w:shd w:val="clear"/>
            <w:tcMar>
              <w:top w:type="dxa" w:w="80"/>
              <w:left w:type="dxa" w:w="120"/>
              <w:bottom w:type="dxa" w:w="80"/>
              <w:right w:type="dxa" w:w="120"/>
            </w:tcMar>
          </w:tcPr>
          <w:p>
            <w:r>
              <w:t xml:space="preserve">Account data, app data</w:t>
            </w:r>
          </w:p>
        </w:tc>
        <w:tc>
          <w:tcPr>
            <w:tcW w:type="dxa" w:w="1200"/>
            <w:shd w:val="clear"/>
            <w:tcMar>
              <w:top w:type="dxa" w:w="80"/>
              <w:left w:type="dxa" w:w="120"/>
              <w:bottom w:type="dxa" w:w="80"/>
              <w:right w:type="dxa" w:w="120"/>
            </w:tcMar>
          </w:tcPr>
          <w:p>
            <w:r>
              <w:t xml:space="preserve">US/Canada</w:t>
            </w:r>
          </w:p>
        </w:tc>
        <w:tc>
          <w:tcPr>
            <w:tcW w:type="dxa" w:w="1640"/>
            <w:shd w:val="clear"/>
            <w:tcMar>
              <w:top w:type="dxa" w:w="80"/>
              <w:left w:type="dxa" w:w="120"/>
              <w:bottom w:type="dxa" w:w="80"/>
              <w:right w:type="dxa" w:w="120"/>
            </w:tcMar>
          </w:tcPr>
          <w:p>
            <w:r>
              <w:t xml:space="preserve">DPA + SCCs</w:t>
            </w:r>
          </w:p>
        </w:tc>
      </w:tr>
      <w:tr>
        <w:tc>
          <w:tcPr>
            <w:tcW w:type="dxa" w:w="1200"/>
            <w:shd w:val="clear"/>
            <w:tcMar>
              <w:top w:type="dxa" w:w="80"/>
              <w:left w:type="dxa" w:w="120"/>
              <w:bottom w:type="dxa" w:w="80"/>
              <w:right w:type="dxa" w:w="120"/>
            </w:tcMar>
          </w:tcPr>
          <w:p>
            <w:r>
              <w:t xml:space="preserve">OpenAI</w:t>
            </w:r>
          </w:p>
        </w:tc>
        <w:tc>
          <w:tcPr>
            <w:tcW w:type="dxa" w:w="1400"/>
            <w:shd w:val="clear"/>
            <w:tcMar>
              <w:top w:type="dxa" w:w="80"/>
              <w:left w:type="dxa" w:w="120"/>
              <w:bottom w:type="dxa" w:w="80"/>
              <w:right w:type="dxa" w:w="120"/>
            </w:tcMar>
          </w:tcPr>
          <w:p>
            <w:r>
              <w:t xml:space="preserve">AI analysis</w:t>
            </w:r>
          </w:p>
        </w:tc>
        <w:tc>
          <w:tcPr>
            <w:tcW w:type="dxa" w:w="1600"/>
            <w:shd w:val="clear"/>
            <w:tcMar>
              <w:top w:type="dxa" w:w="80"/>
              <w:left w:type="dxa" w:w="120"/>
              <w:bottom w:type="dxa" w:w="80"/>
              <w:right w:type="dxa" w:w="120"/>
            </w:tcMar>
          </w:tcPr>
          <w:p>
            <w:r>
              <w:t xml:space="preserve">Purchase data, psychological data, behavioural data</w:t>
            </w:r>
          </w:p>
        </w:tc>
        <w:tc>
          <w:tcPr>
            <w:tcW w:type="dxa" w:w="1200"/>
            <w:shd w:val="clear"/>
            <w:tcMar>
              <w:top w:type="dxa" w:w="80"/>
              <w:left w:type="dxa" w:w="120"/>
              <w:bottom w:type="dxa" w:w="80"/>
              <w:right w:type="dxa" w:w="120"/>
            </w:tcMar>
          </w:tcPr>
          <w:p>
            <w:r>
              <w:t xml:space="preserve">United States</w:t>
            </w:r>
          </w:p>
        </w:tc>
        <w:tc>
          <w:tcPr>
            <w:tcW w:type="dxa" w:w="1640"/>
            <w:shd w:val="clear"/>
            <w:tcMar>
              <w:top w:type="dxa" w:w="80"/>
              <w:left w:type="dxa" w:w="120"/>
              <w:bottom w:type="dxa" w:w="80"/>
              <w:right w:type="dxa" w:w="120"/>
            </w:tcMar>
          </w:tcPr>
          <w:p>
            <w:r>
              <w:t xml:space="preserve">DPA + API terms</w:t>
            </w:r>
          </w:p>
        </w:tc>
      </w:tr>
      <w:tr>
        <w:tc>
          <w:tcPr>
            <w:tcW w:type="dxa" w:w="1200"/>
            <w:shd w:val="clear"/>
            <w:tcMar>
              <w:top w:type="dxa" w:w="80"/>
              <w:left w:type="dxa" w:w="120"/>
              <w:bottom w:type="dxa" w:w="80"/>
              <w:right w:type="dxa" w:w="120"/>
            </w:tcMar>
          </w:tcPr>
          <w:p>
            <w:r>
              <w:t xml:space="preserve">Stripe</w:t>
            </w:r>
          </w:p>
        </w:tc>
        <w:tc>
          <w:tcPr>
            <w:tcW w:type="dxa" w:w="1400"/>
            <w:shd w:val="clear"/>
            <w:tcMar>
              <w:top w:type="dxa" w:w="80"/>
              <w:left w:type="dxa" w:w="120"/>
              <w:bottom w:type="dxa" w:w="80"/>
              <w:right w:type="dxa" w:w="120"/>
            </w:tcMar>
          </w:tcPr>
          <w:p>
            <w:r>
              <w:t xml:space="preserve">Payment processing</w:t>
            </w:r>
          </w:p>
        </w:tc>
        <w:tc>
          <w:tcPr>
            <w:tcW w:type="dxa" w:w="1600"/>
            <w:shd w:val="clear"/>
            <w:tcMar>
              <w:top w:type="dxa" w:w="80"/>
              <w:left w:type="dxa" w:w="120"/>
              <w:bottom w:type="dxa" w:w="80"/>
              <w:right w:type="dxa" w:w="120"/>
            </w:tcMar>
          </w:tcPr>
          <w:p>
            <w:r>
              <w:t xml:space="preserve">Billing info</w:t>
            </w:r>
          </w:p>
        </w:tc>
        <w:tc>
          <w:tcPr>
            <w:tcW w:type="dxa" w:w="1200"/>
            <w:shd w:val="clear"/>
            <w:tcMar>
              <w:top w:type="dxa" w:w="80"/>
              <w:left w:type="dxa" w:w="120"/>
              <w:bottom w:type="dxa" w:w="80"/>
              <w:right w:type="dxa" w:w="120"/>
            </w:tcMar>
          </w:tcPr>
          <w:p>
            <w:r>
              <w:t xml:space="preserve">United States</w:t>
            </w:r>
          </w:p>
        </w:tc>
        <w:tc>
          <w:tcPr>
            <w:tcW w:type="dxa" w:w="1640"/>
            <w:shd w:val="clear"/>
            <w:tcMar>
              <w:top w:type="dxa" w:w="80"/>
              <w:left w:type="dxa" w:w="120"/>
              <w:bottom w:type="dxa" w:w="80"/>
              <w:right w:type="dxa" w:w="120"/>
            </w:tcMar>
          </w:tcPr>
          <w:p>
            <w:r>
              <w:t xml:space="preserve">DPA + PCI DSS</w:t>
            </w:r>
          </w:p>
        </w:tc>
      </w:tr>
      <w:tr>
        <w:tc>
          <w:tcPr>
            <w:tcW w:type="dxa" w:w="1200"/>
            <w:shd w:val="clear"/>
            <w:tcMar>
              <w:top w:type="dxa" w:w="80"/>
              <w:left w:type="dxa" w:w="120"/>
              <w:bottom w:type="dxa" w:w="80"/>
              <w:right w:type="dxa" w:w="120"/>
            </w:tcMar>
          </w:tcPr>
          <w:p>
            <w:r>
              <w:t xml:space="preserve">Vercel</w:t>
            </w:r>
          </w:p>
        </w:tc>
        <w:tc>
          <w:tcPr>
            <w:tcW w:type="dxa" w:w="1400"/>
            <w:shd w:val="clear"/>
            <w:tcMar>
              <w:top w:type="dxa" w:w="80"/>
              <w:left w:type="dxa" w:w="120"/>
              <w:bottom w:type="dxa" w:w="80"/>
              <w:right w:type="dxa" w:w="120"/>
            </w:tcMar>
          </w:tcPr>
          <w:p>
            <w:r>
              <w:t xml:space="preserve">App hosting</w:t>
            </w:r>
          </w:p>
        </w:tc>
        <w:tc>
          <w:tcPr>
            <w:tcW w:type="dxa" w:w="1600"/>
            <w:shd w:val="clear"/>
            <w:tcMar>
              <w:top w:type="dxa" w:w="80"/>
              <w:left w:type="dxa" w:w="120"/>
              <w:bottom w:type="dxa" w:w="80"/>
              <w:right w:type="dxa" w:w="120"/>
            </w:tcMar>
          </w:tcPr>
          <w:p>
            <w:r>
              <w:t xml:space="preserve">Technical/usage data</w:t>
            </w:r>
          </w:p>
        </w:tc>
        <w:tc>
          <w:tcPr>
            <w:tcW w:type="dxa" w:w="1200"/>
            <w:shd w:val="clear"/>
            <w:tcMar>
              <w:top w:type="dxa" w:w="80"/>
              <w:left w:type="dxa" w:w="120"/>
              <w:bottom w:type="dxa" w:w="80"/>
              <w:right w:type="dxa" w:w="120"/>
            </w:tcMar>
          </w:tcPr>
          <w:p>
            <w:r>
              <w:t xml:space="preserve">United States</w:t>
            </w:r>
          </w:p>
        </w:tc>
        <w:tc>
          <w:tcPr>
            <w:tcW w:type="dxa" w:w="1640"/>
            <w:shd w:val="clear"/>
            <w:tcMar>
              <w:top w:type="dxa" w:w="80"/>
              <w:left w:type="dxa" w:w="120"/>
              <w:bottom w:type="dxa" w:w="80"/>
              <w:right w:type="dxa" w:w="120"/>
            </w:tcMar>
          </w:tcPr>
          <w:p>
            <w:r>
              <w:t xml:space="preserve">DPA</w:t>
            </w:r>
          </w:p>
        </w:tc>
      </w:tr>
      <w:tr>
        <w:tc>
          <w:tcPr>
            <w:tcW w:type="dxa" w:w="1200"/>
            <w:shd w:val="clear"/>
            <w:tcMar>
              <w:top w:type="dxa" w:w="80"/>
              <w:left w:type="dxa" w:w="120"/>
              <w:bottom w:type="dxa" w:w="80"/>
              <w:right w:type="dxa" w:w="120"/>
            </w:tcMar>
          </w:tcPr>
          <w:p>
            <w:r>
              <w:t xml:space="preserve">Render</w:t>
            </w:r>
          </w:p>
        </w:tc>
        <w:tc>
          <w:tcPr>
            <w:tcW w:type="dxa" w:w="1400"/>
            <w:shd w:val="clear"/>
            <w:tcMar>
              <w:top w:type="dxa" w:w="80"/>
              <w:left w:type="dxa" w:w="120"/>
              <w:bottom w:type="dxa" w:w="80"/>
              <w:right w:type="dxa" w:w="120"/>
            </w:tcMar>
          </w:tcPr>
          <w:p>
            <w:r>
              <w:t xml:space="preserve">App hosting</w:t>
            </w:r>
          </w:p>
        </w:tc>
        <w:tc>
          <w:tcPr>
            <w:tcW w:type="dxa" w:w="1600"/>
            <w:shd w:val="clear"/>
            <w:tcMar>
              <w:top w:type="dxa" w:w="80"/>
              <w:left w:type="dxa" w:w="120"/>
              <w:bottom w:type="dxa" w:w="80"/>
              <w:right w:type="dxa" w:w="120"/>
            </w:tcMar>
          </w:tcPr>
          <w:p>
            <w:r>
              <w:t xml:space="preserve">Technical/usage data</w:t>
            </w:r>
          </w:p>
        </w:tc>
        <w:tc>
          <w:tcPr>
            <w:tcW w:type="dxa" w:w="1200"/>
            <w:shd w:val="clear"/>
            <w:tcMar>
              <w:top w:type="dxa" w:w="80"/>
              <w:left w:type="dxa" w:w="120"/>
              <w:bottom w:type="dxa" w:w="80"/>
              <w:right w:type="dxa" w:w="120"/>
            </w:tcMar>
          </w:tcPr>
          <w:p>
            <w:r>
              <w:t xml:space="preserve">United States</w:t>
            </w:r>
          </w:p>
        </w:tc>
        <w:tc>
          <w:tcPr>
            <w:tcW w:type="dxa" w:w="1640"/>
            <w:shd w:val="clear"/>
            <w:tcMar>
              <w:top w:type="dxa" w:w="80"/>
              <w:left w:type="dxa" w:w="120"/>
              <w:bottom w:type="dxa" w:w="80"/>
              <w:right w:type="dxa" w:w="120"/>
            </w:tcMar>
          </w:tcPr>
          <w:p>
            <w:r>
              <w:t xml:space="preserve">DPA</w:t>
            </w:r>
          </w:p>
        </w:tc>
      </w:tr>
      <w:tr>
        <w:tc>
          <w:tcPr>
            <w:tcW w:type="dxa" w:w="1200"/>
            <w:shd w:val="clear"/>
            <w:tcMar>
              <w:top w:type="dxa" w:w="80"/>
              <w:left w:type="dxa" w:w="120"/>
              <w:bottom w:type="dxa" w:w="80"/>
              <w:right w:type="dxa" w:w="120"/>
            </w:tcMar>
          </w:tcPr>
          <w:p>
            <w:r>
              <w:t xml:space="preserve">Resend</w:t>
            </w:r>
          </w:p>
        </w:tc>
        <w:tc>
          <w:tcPr>
            <w:tcW w:type="dxa" w:w="1400"/>
            <w:shd w:val="clear"/>
            <w:tcMar>
              <w:top w:type="dxa" w:w="80"/>
              <w:left w:type="dxa" w:w="120"/>
              <w:bottom w:type="dxa" w:w="80"/>
              <w:right w:type="dxa" w:w="120"/>
            </w:tcMar>
          </w:tcPr>
          <w:p>
            <w:r>
              <w:t xml:space="preserve">Email communications</w:t>
            </w:r>
          </w:p>
        </w:tc>
        <w:tc>
          <w:tcPr>
            <w:tcW w:type="dxa" w:w="1600"/>
            <w:shd w:val="clear"/>
            <w:tcMar>
              <w:top w:type="dxa" w:w="80"/>
              <w:left w:type="dxa" w:w="120"/>
              <w:bottom w:type="dxa" w:w="80"/>
              <w:right w:type="dxa" w:w="120"/>
            </w:tcMar>
          </w:tcPr>
          <w:p>
            <w:r>
              <w:t xml:space="preserve">Email addresses</w:t>
            </w:r>
          </w:p>
        </w:tc>
        <w:tc>
          <w:tcPr>
            <w:tcW w:type="dxa" w:w="1200"/>
            <w:shd w:val="clear"/>
            <w:tcMar>
              <w:top w:type="dxa" w:w="80"/>
              <w:left w:type="dxa" w:w="120"/>
              <w:bottom w:type="dxa" w:w="80"/>
              <w:right w:type="dxa" w:w="120"/>
            </w:tcMar>
          </w:tcPr>
          <w:p>
            <w:r>
              <w:t xml:space="preserve">United States</w:t>
            </w:r>
          </w:p>
        </w:tc>
        <w:tc>
          <w:tcPr>
            <w:tcW w:type="dxa" w:w="1640"/>
            <w:shd w:val="clear"/>
            <w:tcMar>
              <w:top w:type="dxa" w:w="80"/>
              <w:left w:type="dxa" w:w="120"/>
              <w:bottom w:type="dxa" w:w="80"/>
              <w:right w:type="dxa" w:w="120"/>
            </w:tcMar>
          </w:tcPr>
          <w:p>
            <w:r>
              <w:t xml:space="preserve">DPA</w:t>
            </w:r>
          </w:p>
        </w:tc>
      </w:tr>
    </w:tbl>
    <w:p>
      <w:pPr>
        <w:spacing w:after="200" w:before="100"/>
      </w:pPr>
    </w:p>
    <w:r>
      <w:br w:type="page"/>
    </w:r>
    <w:p>
      <w:pPr>
        <w:pStyle w:val="Heading1"/>
        <w:pStyle w:val="Heading1"/>
        <w:spacing w:after="100" w:before="200"/>
      </w:pPr>
      <w:r>
        <w:t xml:space="preserve">3. NECESSITY AND PROPORTIONALITY ANALYSIS</w:t>
      </w:r>
    </w:p>
    <w:p>
      <w:pPr>
        <w:pStyle w:val="Heading2"/>
        <w:pStyle w:val="Heading2"/>
        <w:spacing w:after="100" w:before="200"/>
      </w:pPr>
      <w:r>
        <w:t xml:space="preserve">3.1 Necessity Assessment</w:t>
      </w:r>
    </w:p>
    <w:p>
      <w:pPr>
        <w:spacing w:after="100" w:before="0"/>
        <w:ind/>
      </w:pPr>
      <w:r>
        <w:t xml:space="preserve">The collection and processing of personal information by TruePick is assessed as follows:</w:t>
      </w:r>
    </w:p>
    <w:p>
      <w:pPr>
        <w:pStyle w:val="ListParagraph"/>
        <w:numPr>
          <w:ilvl w:val="0"/>
          <w:numId w:val="1"/>
        </w:numPr>
        <w:spacing w:after="50" w:before="0"/>
      </w:pPr>
      <w:r>
        <w:t xml:space="preserve">Account info: Required to provide the service (contract performance)</w:t>
      </w:r>
    </w:p>
    <w:p>
      <w:pPr>
        <w:pStyle w:val="ListParagraph"/>
        <w:numPr>
          <w:ilvl w:val="0"/>
          <w:numId w:val="1"/>
        </w:numPr>
        <w:spacing w:after="50" w:before="0"/>
      </w:pPr>
      <w:r>
        <w:t xml:space="preserve">Email/purchase data: Core feature — spending behaviour tracking requires transaction data</w:t>
      </w:r>
    </w:p>
    <w:p>
      <w:pPr>
        <w:pStyle w:val="ListParagraph"/>
        <w:numPr>
          <w:ilvl w:val="0"/>
          <w:numId w:val="1"/>
        </w:numPr>
        <w:spacing w:after="50" w:before="0"/>
      </w:pPr>
      <w:r>
        <w:t xml:space="preserve">Self-reported psychological data: Core feature — emotional pattern tracking. Collection is optional; users can use the service without providing this data</w:t>
      </w:r>
    </w:p>
    <w:p>
      <w:pPr>
        <w:pStyle w:val="ListParagraph"/>
        <w:numPr>
          <w:ilvl w:val="0"/>
          <w:numId w:val="1"/>
        </w:numPr>
        <w:spacing w:after="50" w:before="0"/>
      </w:pPr>
      <w:r>
        <w:t xml:space="preserve">AI processing via OpenAI: Required for generating personalized insights — TruePick's core value proposition. The volume and sensitivity of data sent to OpenAI should be minimized</w:t>
      </w:r>
    </w:p>
    <w:p>
      <w:pPr>
        <w:pStyle w:val="ListParagraph"/>
        <w:numPr>
          <w:ilvl w:val="0"/>
          <w:numId w:val="1"/>
        </w:numPr>
        <w:spacing w:after="200" w:before="0"/>
      </w:pPr>
      <w:r>
        <w:t xml:space="preserve">Usage analytics: Required for service improvement and security</w:t>
      </w:r>
    </w:p>
    <w:p>
      <w:pPr>
        <w:pStyle w:val="Heading2"/>
        <w:pStyle w:val="Heading2"/>
        <w:spacing w:after="100" w:before="200"/>
      </w:pPr>
      <w:r>
        <w:t xml:space="preserve">3.2 Proportionality Assessment</w:t>
      </w:r>
    </w:p>
    <w:p>
      <w:pPr>
        <w:spacing w:after="100" w:before="0"/>
        <w:ind/>
      </w:pPr>
      <w:r>
        <w:t xml:space="preserve">The following proportionality considerations have been identified:</w:t>
      </w:r>
    </w:p>
    <w:p>
      <w:pPr>
        <w:pStyle w:val="ListParagraph"/>
        <w:numPr>
          <w:ilvl w:val="0"/>
          <w:numId w:val="1"/>
        </w:numPr>
        <w:spacing w:after="50" w:before="0"/>
      </w:pPr>
      <w:r>
        <w:t xml:space="preserve">Sensitive psychological data is collected on an opt-in basis with explicit consent — proportionate</w:t>
      </w:r>
    </w:p>
    <w:p>
      <w:pPr>
        <w:pStyle w:val="ListParagraph"/>
        <w:numPr>
          <w:ilvl w:val="0"/>
          <w:numId w:val="1"/>
        </w:numPr>
        <w:spacing w:after="50" w:before="0"/>
      </w:pPr>
      <w:r>
        <w:t xml:space="preserve">Email OAuth access is broad (inbox access) but processing is limited to receipt identification — consider whether a narrower scope is technically feasible</w:t>
      </w:r>
    </w:p>
    <w:p>
      <w:pPr>
        <w:pStyle w:val="ListParagraph"/>
        <w:numPr>
          <w:ilvl w:val="0"/>
          <w:numId w:val="1"/>
        </w:numPr>
        <w:spacing w:after="50" w:before="0"/>
      </w:pPr>
      <w:r>
        <w:t xml:space="preserve">AI processing sends sensitive data to a US-based third party — requires careful safeguards</w:t>
      </w:r>
    </w:p>
    <w:p>
      <w:pPr>
        <w:pStyle w:val="ListParagraph"/>
        <w:numPr>
          <w:ilvl w:val="0"/>
          <w:numId w:val="1"/>
        </w:numPr>
        <w:spacing w:after="200" w:before="0"/>
      </w:pPr>
      <w:r>
        <w:t xml:space="preserve">Retention periods are defined and reasonable (deleted on account deletion or consent withdrawal)</w:t>
      </w:r>
    </w:p>
    <w:p>
      <w:pPr>
        <w:pStyle w:val="Heading2"/>
        <w:pStyle w:val="Heading2"/>
        <w:spacing w:after="100" w:before="200"/>
      </w:pPr>
      <w:r>
        <w:t xml:space="preserve">3.3 Data Minimization Measures</w:t>
      </w:r>
    </w:p>
    <w:p>
      <w:pPr>
        <w:spacing w:after="100" w:before="0"/>
        <w:ind/>
      </w:pPr>
      <w:r>
        <w:t xml:space="preserve">The following data minimization measures are implemented:</w:t>
      </w:r>
    </w:p>
    <w:p>
      <w:pPr>
        <w:pStyle w:val="ListParagraph"/>
        <w:numPr>
          <w:ilvl w:val="0"/>
          <w:numId w:val="1"/>
        </w:numPr>
        <w:spacing w:after="50" w:before="0"/>
      </w:pPr>
      <w:r>
        <w:t xml:space="preserve">Non-receipt emails are not stored or analyzed</w:t>
      </w:r>
    </w:p>
    <w:p>
      <w:pPr>
        <w:pStyle w:val="ListParagraph"/>
        <w:numPr>
          <w:ilvl w:val="0"/>
          <w:numId w:val="1"/>
        </w:numPr>
        <w:spacing w:after="50" w:before="0"/>
      </w:pPr>
      <w:r>
        <w:t xml:space="preserve">Stripe handles payment data; Resila does not store full card details</w:t>
      </w:r>
    </w:p>
    <w:p>
      <w:pPr>
        <w:pStyle w:val="ListParagraph"/>
        <w:numPr>
          <w:ilvl w:val="0"/>
          <w:numId w:val="1"/>
        </w:numPr>
        <w:spacing w:after="50" w:before="0"/>
      </w:pPr>
      <w:r>
        <w:t xml:space="preserve">Psychological data collection is optional</w:t>
      </w:r>
    </w:p>
    <w:p>
      <w:pPr>
        <w:pStyle w:val="ListParagraph"/>
        <w:numPr>
          <w:ilvl w:val="0"/>
          <w:numId w:val="1"/>
        </w:numPr>
        <w:spacing w:after="200" w:before="0"/>
      </w:pPr>
      <w:r>
        <w:t xml:space="preserve">AI prompts are designed to minimize the personal information included</w:t>
      </w:r>
    </w:p>
    <w:r>
      <w:br w:type="page"/>
    </w:r>
    <w:p>
      <w:pPr>
        <w:pStyle w:val="Heading1"/>
        <w:pStyle w:val="Heading1"/>
        <w:spacing w:after="100" w:before="200"/>
      </w:pPr>
      <w:r>
        <w:t xml:space="preserve">4. RISK ASSESSMENT</w:t>
      </w:r>
    </w:p>
    <w:p>
      <w:pPr>
        <w:pStyle w:val="Heading2"/>
        <w:pStyle w:val="Heading2"/>
        <w:spacing w:after="100" w:before="200"/>
      </w:pPr>
      <w:r>
        <w:t xml:space="preserve">4.1 Risk Methodology</w:t>
      </w:r>
    </w:p>
    <w:p>
      <w:pPr>
        <w:spacing w:after="100" w:before="0"/>
        <w:ind/>
      </w:pPr>
      <w:r>
        <w:t xml:space="preserve">Risks are assessed using a Severity (1-5) × Likelihood (1-5) matrix:</w:t>
      </w:r>
    </w:p>
    <w:p>
      <w:pPr>
        <w:pStyle w:val="ListParagraph"/>
        <w:numPr>
          <w:ilvl w:val="0"/>
          <w:numId w:val="1"/>
        </w:numPr>
        <w:spacing w:after="50" w:before="0"/>
      </w:pPr>
      <w:r>
        <w:t xml:space="preserve">LOW (1-4): Acceptable with standard controls</w:t>
      </w:r>
    </w:p>
    <w:p>
      <w:pPr>
        <w:pStyle w:val="ListParagraph"/>
        <w:numPr>
          <w:ilvl w:val="0"/>
          <w:numId w:val="1"/>
        </w:numPr>
        <w:spacing w:after="50" w:before="0"/>
      </w:pPr>
      <w:r>
        <w:t xml:space="preserve">MEDIUM (5-9): Requires documented mitigation</w:t>
      </w:r>
    </w:p>
    <w:p>
      <w:pPr>
        <w:pStyle w:val="ListParagraph"/>
        <w:numPr>
          <w:ilvl w:val="0"/>
          <w:numId w:val="1"/>
        </w:numPr>
        <w:spacing w:after="50" w:before="0"/>
      </w:pPr>
      <w:r>
        <w:t xml:space="preserve">HIGH (10-15): Requires additional safeguards before proceeding</w:t>
      </w:r>
    </w:p>
    <w:p>
      <w:pPr>
        <w:pStyle w:val="ListParagraph"/>
        <w:numPr>
          <w:ilvl w:val="0"/>
          <w:numId w:val="1"/>
        </w:numPr>
        <w:spacing w:after="200" w:before="0"/>
      </w:pPr>
      <w:r>
        <w:t xml:space="preserve">CRITICAL (16-25): Must not proceed without executive review and additional controls</w:t>
      </w:r>
    </w:p>
    <w:p>
      <w:pPr>
        <w:pStyle w:val="Heading2"/>
        <w:pStyle w:val="Heading2"/>
        <w:spacing w:after="100" w:before="200"/>
      </w:pPr>
      <w:r>
        <w:t xml:space="preserve">4.2 Identified Risks</w:t>
      </w:r>
    </w:p>
    <w:p>
      <w:pPr>
        <w:spacing w:after="100" w:before="0"/>
        <w:ind/>
      </w:pPr>
      <w:r>
        <w:t xml:space="preserve">The following table summarizes all identified privacy risks and mitigation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600"/>
            <w:shd w:val="clear"/>
            <w:tcMar>
              <w:top w:type="dxa" w:w="80"/>
              <w:left w:type="dxa" w:w="120"/>
              <w:bottom w:type="dxa" w:w="80"/>
              <w:right w:type="dxa" w:w="120"/>
            </w:tcMar>
          </w:tcPr>
          <w:p>
            <w:r>
              <w:t xml:space="preserve">ID</w:t>
            </w:r>
          </w:p>
        </w:tc>
        <w:tc>
          <w:tcPr>
            <w:tcW w:type="dxa" w:w="1700"/>
            <w:shd w:val="clear"/>
            <w:tcMar>
              <w:top w:type="dxa" w:w="80"/>
              <w:left w:type="dxa" w:w="120"/>
              <w:bottom w:type="dxa" w:w="80"/>
              <w:right w:type="dxa" w:w="120"/>
            </w:tcMar>
          </w:tcPr>
          <w:p>
            <w:r>
              <w:t xml:space="preserve">Risk Description</w:t>
            </w:r>
          </w:p>
        </w:tc>
        <w:tc>
          <w:tcPr>
            <w:tcW w:type="dxa" w:w="700"/>
            <w:shd w:val="clear"/>
            <w:tcMar>
              <w:top w:type="dxa" w:w="80"/>
              <w:left w:type="dxa" w:w="120"/>
              <w:bottom w:type="dxa" w:w="80"/>
              <w:right w:type="dxa" w:w="120"/>
            </w:tcMar>
          </w:tcPr>
          <w:p>
            <w:r>
              <w:t xml:space="preserve">Sev.</w:t>
            </w:r>
          </w:p>
        </w:tc>
        <w:tc>
          <w:tcPr>
            <w:tcW w:type="dxa" w:w="700"/>
            <w:shd w:val="clear"/>
            <w:tcMar>
              <w:top w:type="dxa" w:w="80"/>
              <w:left w:type="dxa" w:w="120"/>
              <w:bottom w:type="dxa" w:w="80"/>
              <w:right w:type="dxa" w:w="120"/>
            </w:tcMar>
          </w:tcPr>
          <w:p>
            <w:r>
              <w:t xml:space="preserve">Lkly.</w:t>
            </w:r>
          </w:p>
        </w:tc>
        <w:tc>
          <w:tcPr>
            <w:tcW w:type="dxa" w:w="500"/>
            <w:shd w:val="clear"/>
            <w:tcMar>
              <w:top w:type="dxa" w:w="80"/>
              <w:left w:type="dxa" w:w="120"/>
              <w:bottom w:type="dxa" w:w="80"/>
              <w:right w:type="dxa" w:w="120"/>
            </w:tcMar>
          </w:tcPr>
          <w:p>
            <w:r>
              <w:t xml:space="preserve">Score</w:t>
            </w:r>
          </w:p>
        </w:tc>
        <w:tc>
          <w:tcPr>
            <w:tcW w:type="dxa" w:w="2100"/>
            <w:shd w:val="clear"/>
            <w:tcMar>
              <w:top w:type="dxa" w:w="80"/>
              <w:left w:type="dxa" w:w="120"/>
              <w:bottom w:type="dxa" w:w="80"/>
              <w:right w:type="dxa" w:w="120"/>
            </w:tcMar>
          </w:tcPr>
          <w:p>
            <w:r>
              <w:t xml:space="preserve">Mitigation Measures</w:t>
            </w:r>
          </w:p>
        </w:tc>
        <w:tc>
          <w:tcPr>
            <w:tcW w:type="dxa" w:w="900"/>
            <w:shd w:val="clear"/>
            <w:tcMar>
              <w:top w:type="dxa" w:w="80"/>
              <w:left w:type="dxa" w:w="120"/>
              <w:bottom w:type="dxa" w:w="80"/>
              <w:right w:type="dxa" w:w="120"/>
            </w:tcMar>
          </w:tcPr>
          <w:p>
            <w:r>
              <w:t xml:space="preserve">Residual Risk</w:t>
            </w:r>
          </w:p>
        </w:tc>
      </w:tr>
      <w:tr>
        <w:tc>
          <w:tcPr>
            <w:tcW w:type="dxa" w:w="600"/>
            <w:shd w:val="clear"/>
            <w:tcMar>
              <w:top w:type="dxa" w:w="80"/>
              <w:left w:type="dxa" w:w="120"/>
              <w:bottom w:type="dxa" w:w="80"/>
              <w:right w:type="dxa" w:w="120"/>
            </w:tcMar>
          </w:tcPr>
          <w:p>
            <w:r>
              <w:t xml:space="preserve">R-01</w:t>
            </w:r>
          </w:p>
        </w:tc>
        <w:tc>
          <w:tcPr>
            <w:tcW w:type="dxa" w:w="1700"/>
            <w:shd w:val="clear"/>
            <w:tcMar>
              <w:top w:type="dxa" w:w="80"/>
              <w:left w:type="dxa" w:w="120"/>
              <w:bottom w:type="dxa" w:w="80"/>
              <w:right w:type="dxa" w:w="120"/>
            </w:tcMar>
          </w:tcPr>
          <w:p>
            <w:r>
              <w:t xml:space="preserve">Unauthorized access to sensitive psychological data due to breach</w:t>
            </w:r>
          </w:p>
        </w:tc>
        <w:tc>
          <w:tcPr>
            <w:tcW w:type="dxa" w:w="700"/>
            <w:shd w:val="clear"/>
            <w:tcMar>
              <w:top w:type="dxa" w:w="80"/>
              <w:left w:type="dxa" w:w="120"/>
              <w:bottom w:type="dxa" w:w="80"/>
              <w:right w:type="dxa" w:w="120"/>
            </w:tcMar>
          </w:tcPr>
          <w:p>
            <w:r>
              <w:t xml:space="preserve">5</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10</w:t>
            </w:r>
          </w:p>
        </w:tc>
        <w:tc>
          <w:tcPr>
            <w:tcW w:type="dxa" w:w="2100"/>
            <w:shd w:val="clear"/>
            <w:tcMar>
              <w:top w:type="dxa" w:w="80"/>
              <w:left w:type="dxa" w:w="120"/>
              <w:bottom w:type="dxa" w:w="80"/>
              <w:right w:type="dxa" w:w="120"/>
            </w:tcMar>
          </w:tcPr>
          <w:p>
            <w:r>
              <w:t xml:space="preserve">Encryption at rest and in transit; access controls; Supabase security features; incident response plan</w:t>
            </w:r>
          </w:p>
        </w:tc>
        <w:tc>
          <w:tcPr>
            <w:tcW w:type="dxa" w:w="900"/>
            <w:shd w:val="clear"/>
            <w:tcMar>
              <w:top w:type="dxa" w:w="80"/>
              <w:left w:type="dxa" w:w="120"/>
              <w:bottom w:type="dxa" w:w="80"/>
              <w:right w:type="dxa" w:w="120"/>
            </w:tcMar>
          </w:tcPr>
          <w:p>
            <w:r>
              <w:t xml:space="preserve">Medium (6)</w:t>
            </w:r>
          </w:p>
        </w:tc>
      </w:tr>
      <w:tr>
        <w:tc>
          <w:tcPr>
            <w:tcW w:type="dxa" w:w="600"/>
            <w:shd w:val="clear"/>
            <w:tcMar>
              <w:top w:type="dxa" w:w="80"/>
              <w:left w:type="dxa" w:w="120"/>
              <w:bottom w:type="dxa" w:w="80"/>
              <w:right w:type="dxa" w:w="120"/>
            </w:tcMar>
          </w:tcPr>
          <w:p>
            <w:r>
              <w:t xml:space="preserve">R-02</w:t>
            </w:r>
          </w:p>
        </w:tc>
        <w:tc>
          <w:tcPr>
            <w:tcW w:type="dxa" w:w="1700"/>
            <w:shd w:val="clear"/>
            <w:tcMar>
              <w:top w:type="dxa" w:w="80"/>
              <w:left w:type="dxa" w:w="120"/>
              <w:bottom w:type="dxa" w:w="80"/>
              <w:right w:type="dxa" w:w="120"/>
            </w:tcMar>
          </w:tcPr>
          <w:p>
            <w:r>
              <w:t xml:space="preserve">OpenAI model update changes quality/accuracy of psychological insights, causing user harm</w:t>
            </w:r>
          </w:p>
        </w:tc>
        <w:tc>
          <w:tcPr>
            <w:tcW w:type="dxa" w:w="700"/>
            <w:shd w:val="clear"/>
            <w:tcMar>
              <w:top w:type="dxa" w:w="80"/>
              <w:left w:type="dxa" w:w="120"/>
              <w:bottom w:type="dxa" w:w="80"/>
              <w:right w:type="dxa" w:w="120"/>
            </w:tcMar>
          </w:tcPr>
          <w:p>
            <w:r>
              <w:t xml:space="preserve">4</w:t>
            </w:r>
          </w:p>
        </w:tc>
        <w:tc>
          <w:tcPr>
            <w:tcW w:type="dxa" w:w="700"/>
            <w:shd w:val="clear"/>
            <w:tcMar>
              <w:top w:type="dxa" w:w="80"/>
              <w:left w:type="dxa" w:w="120"/>
              <w:bottom w:type="dxa" w:w="80"/>
              <w:right w:type="dxa" w:w="120"/>
            </w:tcMar>
          </w:tcPr>
          <w:p>
            <w:r>
              <w:t xml:space="preserve">3</w:t>
            </w:r>
          </w:p>
        </w:tc>
        <w:tc>
          <w:tcPr>
            <w:tcW w:type="dxa" w:w="500"/>
            <w:shd w:val="clear"/>
            <w:tcMar>
              <w:top w:type="dxa" w:w="80"/>
              <w:left w:type="dxa" w:w="120"/>
              <w:bottom w:type="dxa" w:w="80"/>
              <w:right w:type="dxa" w:w="120"/>
            </w:tcMar>
          </w:tcPr>
          <w:p>
            <w:r>
              <w:t xml:space="preserve">12</w:t>
            </w:r>
          </w:p>
        </w:tc>
        <w:tc>
          <w:tcPr>
            <w:tcW w:type="dxa" w:w="2100"/>
            <w:shd w:val="clear"/>
            <w:tcMar>
              <w:top w:type="dxa" w:w="80"/>
              <w:left w:type="dxa" w:w="120"/>
              <w:bottom w:type="dxa" w:w="80"/>
              <w:right w:type="dxa" w:w="120"/>
            </w:tcMar>
          </w:tcPr>
          <w:p>
            <w:r>
              <w:t xml:space="preserve">AI output disclaimers; no medical/psychological advice claims; version monitoring; human review option</w:t>
            </w:r>
          </w:p>
        </w:tc>
        <w:tc>
          <w:tcPr>
            <w:tcW w:type="dxa" w:w="900"/>
            <w:shd w:val="clear"/>
            <w:tcMar>
              <w:top w:type="dxa" w:w="80"/>
              <w:left w:type="dxa" w:w="120"/>
              <w:bottom w:type="dxa" w:w="80"/>
              <w:right w:type="dxa" w:w="120"/>
            </w:tcMar>
          </w:tcPr>
          <w:p>
            <w:r>
              <w:t xml:space="preserve">Medium (8)</w:t>
            </w:r>
          </w:p>
        </w:tc>
      </w:tr>
      <w:tr>
        <w:tc>
          <w:tcPr>
            <w:tcW w:type="dxa" w:w="600"/>
            <w:shd w:val="clear"/>
            <w:tcMar>
              <w:top w:type="dxa" w:w="80"/>
              <w:left w:type="dxa" w:w="120"/>
              <w:bottom w:type="dxa" w:w="80"/>
              <w:right w:type="dxa" w:w="120"/>
            </w:tcMar>
          </w:tcPr>
          <w:p>
            <w:r>
              <w:t xml:space="preserve">R-03</w:t>
            </w:r>
          </w:p>
        </w:tc>
        <w:tc>
          <w:tcPr>
            <w:tcW w:type="dxa" w:w="1700"/>
            <w:shd w:val="clear"/>
            <w:tcMar>
              <w:top w:type="dxa" w:w="80"/>
              <w:left w:type="dxa" w:w="120"/>
              <w:bottom w:type="dxa" w:w="80"/>
              <w:right w:type="dxa" w:w="120"/>
            </w:tcMar>
          </w:tcPr>
          <w:p>
            <w:r>
              <w:t xml:space="preserve">Re-identification of de-identified or aggregated psychological data</w:t>
            </w:r>
          </w:p>
        </w:tc>
        <w:tc>
          <w:tcPr>
            <w:tcW w:type="dxa" w:w="700"/>
            <w:shd w:val="clear"/>
            <w:tcMar>
              <w:top w:type="dxa" w:w="80"/>
              <w:left w:type="dxa" w:w="120"/>
              <w:bottom w:type="dxa" w:w="80"/>
              <w:right w:type="dxa" w:w="120"/>
            </w:tcMar>
          </w:tcPr>
          <w:p>
            <w:r>
              <w:t xml:space="preserve">4</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8</w:t>
            </w:r>
          </w:p>
        </w:tc>
        <w:tc>
          <w:tcPr>
            <w:tcW w:type="dxa" w:w="2100"/>
            <w:shd w:val="clear"/>
            <w:tcMar>
              <w:top w:type="dxa" w:w="80"/>
              <w:left w:type="dxa" w:w="120"/>
              <w:bottom w:type="dxa" w:w="80"/>
              <w:right w:type="dxa" w:w="120"/>
            </w:tcMar>
          </w:tcPr>
          <w:p>
            <w:r>
              <w:t xml:space="preserve">Data minimization in AI prompts; no sharing of aggregated data externally; access controls</w:t>
            </w:r>
          </w:p>
        </w:tc>
        <w:tc>
          <w:tcPr>
            <w:tcW w:type="dxa" w:w="900"/>
            <w:shd w:val="clear"/>
            <w:tcMar>
              <w:top w:type="dxa" w:w="80"/>
              <w:left w:type="dxa" w:w="120"/>
              <w:bottom w:type="dxa" w:w="80"/>
              <w:right w:type="dxa" w:w="120"/>
            </w:tcMar>
          </w:tcPr>
          <w:p>
            <w:r>
              <w:t xml:space="preserve">Low (4)</w:t>
            </w:r>
          </w:p>
        </w:tc>
      </w:tr>
      <w:tr>
        <w:tc>
          <w:tcPr>
            <w:tcW w:type="dxa" w:w="600"/>
            <w:shd w:val="clear"/>
            <w:tcMar>
              <w:top w:type="dxa" w:w="80"/>
              <w:left w:type="dxa" w:w="120"/>
              <w:bottom w:type="dxa" w:w="80"/>
              <w:right w:type="dxa" w:w="120"/>
            </w:tcMar>
          </w:tcPr>
          <w:p>
            <w:r>
              <w:t xml:space="preserve">R-04</w:t>
            </w:r>
          </w:p>
        </w:tc>
        <w:tc>
          <w:tcPr>
            <w:tcW w:type="dxa" w:w="1700"/>
            <w:shd w:val="clear"/>
            <w:tcMar>
              <w:top w:type="dxa" w:w="80"/>
              <w:left w:type="dxa" w:w="120"/>
              <w:bottom w:type="dxa" w:w="80"/>
              <w:right w:type="dxa" w:w="120"/>
            </w:tcMar>
          </w:tcPr>
          <w:p>
            <w:r>
              <w:t xml:space="preserve">OAuth email access exceeds stated scope (accessing non-receipt emails)</w:t>
            </w:r>
          </w:p>
        </w:tc>
        <w:tc>
          <w:tcPr>
            <w:tcW w:type="dxa" w:w="700"/>
            <w:shd w:val="clear"/>
            <w:tcMar>
              <w:top w:type="dxa" w:w="80"/>
              <w:left w:type="dxa" w:w="120"/>
              <w:bottom w:type="dxa" w:w="80"/>
              <w:right w:type="dxa" w:w="120"/>
            </w:tcMar>
          </w:tcPr>
          <w:p>
            <w:r>
              <w:t xml:space="preserve">3</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6</w:t>
            </w:r>
          </w:p>
        </w:tc>
        <w:tc>
          <w:tcPr>
            <w:tcW w:type="dxa" w:w="2100"/>
            <w:shd w:val="clear"/>
            <w:tcMar>
              <w:top w:type="dxa" w:w="80"/>
              <w:left w:type="dxa" w:w="120"/>
              <w:bottom w:type="dxa" w:w="80"/>
              <w:right w:type="dxa" w:w="120"/>
            </w:tcMar>
          </w:tcPr>
          <w:p>
            <w:r>
              <w:t xml:space="preserve">Scope-limited OAuth permissions; automated filtering; regular audit of email access patterns; user transparency</w:t>
            </w:r>
          </w:p>
        </w:tc>
        <w:tc>
          <w:tcPr>
            <w:tcW w:type="dxa" w:w="900"/>
            <w:shd w:val="clear"/>
            <w:tcMar>
              <w:top w:type="dxa" w:w="80"/>
              <w:left w:type="dxa" w:w="120"/>
              <w:bottom w:type="dxa" w:w="80"/>
              <w:right w:type="dxa" w:w="120"/>
            </w:tcMar>
          </w:tcPr>
          <w:p>
            <w:r>
              <w:t xml:space="preserve">Low (3)</w:t>
            </w:r>
          </w:p>
        </w:tc>
      </w:tr>
      <w:tr>
        <w:tc>
          <w:tcPr>
            <w:tcW w:type="dxa" w:w="600"/>
            <w:shd w:val="clear"/>
            <w:tcMar>
              <w:top w:type="dxa" w:w="80"/>
              <w:left w:type="dxa" w:w="120"/>
              <w:bottom w:type="dxa" w:w="80"/>
              <w:right w:type="dxa" w:w="120"/>
            </w:tcMar>
          </w:tcPr>
          <w:p>
            <w:r>
              <w:t xml:space="preserve">R-05</w:t>
            </w:r>
          </w:p>
        </w:tc>
        <w:tc>
          <w:tcPr>
            <w:tcW w:type="dxa" w:w="1700"/>
            <w:shd w:val="clear"/>
            <w:tcMar>
              <w:top w:type="dxa" w:w="80"/>
              <w:left w:type="dxa" w:w="120"/>
              <w:bottom w:type="dxa" w:w="80"/>
              <w:right w:type="dxa" w:w="120"/>
            </w:tcMar>
          </w:tcPr>
          <w:p>
            <w:r>
              <w:t xml:space="preserve">Cross-border transfer to US sub-processors without adequate safeguards</w:t>
            </w:r>
          </w:p>
        </w:tc>
        <w:tc>
          <w:tcPr>
            <w:tcW w:type="dxa" w:w="700"/>
            <w:shd w:val="clear"/>
            <w:tcMar>
              <w:top w:type="dxa" w:w="80"/>
              <w:left w:type="dxa" w:w="120"/>
              <w:bottom w:type="dxa" w:w="80"/>
              <w:right w:type="dxa" w:w="120"/>
            </w:tcMar>
          </w:tcPr>
          <w:p>
            <w:r>
              <w:t xml:space="preserve">4</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8</w:t>
            </w:r>
          </w:p>
        </w:tc>
        <w:tc>
          <w:tcPr>
            <w:tcW w:type="dxa" w:w="2100"/>
            <w:shd w:val="clear"/>
            <w:tcMar>
              <w:top w:type="dxa" w:w="80"/>
              <w:left w:type="dxa" w:w="120"/>
              <w:bottom w:type="dxa" w:w="80"/>
              <w:right w:type="dxa" w:w="120"/>
            </w:tcMar>
          </w:tcPr>
          <w:p>
            <w:r>
              <w:t xml:space="preserve">DPAs with all sub-processors; SCCs where applicable; Transfer Impact Assessments; monitor US legal landscape</w:t>
            </w:r>
          </w:p>
        </w:tc>
        <w:tc>
          <w:tcPr>
            <w:tcW w:type="dxa" w:w="900"/>
            <w:shd w:val="clear"/>
            <w:tcMar>
              <w:top w:type="dxa" w:w="80"/>
              <w:left w:type="dxa" w:w="120"/>
              <w:bottom w:type="dxa" w:w="80"/>
              <w:right w:type="dxa" w:w="120"/>
            </w:tcMar>
          </w:tcPr>
          <w:p>
            <w:r>
              <w:t xml:space="preserve">Medium (6)</w:t>
            </w:r>
          </w:p>
        </w:tc>
      </w:tr>
      <w:tr>
        <w:tc>
          <w:tcPr>
            <w:tcW w:type="dxa" w:w="600"/>
            <w:shd w:val="clear"/>
            <w:tcMar>
              <w:top w:type="dxa" w:w="80"/>
              <w:left w:type="dxa" w:w="120"/>
              <w:bottom w:type="dxa" w:w="80"/>
              <w:right w:type="dxa" w:w="120"/>
            </w:tcMar>
          </w:tcPr>
          <w:p>
            <w:r>
              <w:t xml:space="preserve">R-06</w:t>
            </w:r>
          </w:p>
        </w:tc>
        <w:tc>
          <w:tcPr>
            <w:tcW w:type="dxa" w:w="1700"/>
            <w:shd w:val="clear"/>
            <w:tcMar>
              <w:top w:type="dxa" w:w="80"/>
              <w:left w:type="dxa" w:w="120"/>
              <w:bottom w:type="dxa" w:w="80"/>
              <w:right w:type="dxa" w:w="120"/>
            </w:tcMar>
          </w:tcPr>
          <w:p>
            <w:r>
              <w:t xml:space="preserve">User relies on AI-generated psychological insights as medical advice, leading to adverse health outcomes</w:t>
            </w:r>
          </w:p>
        </w:tc>
        <w:tc>
          <w:tcPr>
            <w:tcW w:type="dxa" w:w="700"/>
            <w:shd w:val="clear"/>
            <w:tcMar>
              <w:top w:type="dxa" w:w="80"/>
              <w:left w:type="dxa" w:w="120"/>
              <w:bottom w:type="dxa" w:w="80"/>
              <w:right w:type="dxa" w:w="120"/>
            </w:tcMar>
          </w:tcPr>
          <w:p>
            <w:r>
              <w:t xml:space="preserve">5</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10</w:t>
            </w:r>
          </w:p>
        </w:tc>
        <w:tc>
          <w:tcPr>
            <w:tcW w:type="dxa" w:w="2100"/>
            <w:shd w:val="clear"/>
            <w:tcMar>
              <w:top w:type="dxa" w:w="80"/>
              <w:left w:type="dxa" w:w="120"/>
              <w:bottom w:type="dxa" w:w="80"/>
              <w:right w:type="dxa" w:w="120"/>
            </w:tcMar>
          </w:tcPr>
          <w:p>
            <w:r>
              <w:t xml:space="preserve">Prominent Health &amp; Wellness Disclaimer; in-app warnings; crisis helpline references; no diagnostic language in AI outputs</w:t>
            </w:r>
          </w:p>
        </w:tc>
        <w:tc>
          <w:tcPr>
            <w:tcW w:type="dxa" w:w="900"/>
            <w:shd w:val="clear"/>
            <w:tcMar>
              <w:top w:type="dxa" w:w="80"/>
              <w:left w:type="dxa" w:w="120"/>
              <w:bottom w:type="dxa" w:w="80"/>
              <w:right w:type="dxa" w:w="120"/>
            </w:tcMar>
          </w:tcPr>
          <w:p>
            <w:r>
              <w:t xml:space="preserve">Medium (6)</w:t>
            </w:r>
          </w:p>
        </w:tc>
      </w:tr>
      <w:tr>
        <w:tc>
          <w:tcPr>
            <w:tcW w:type="dxa" w:w="600"/>
            <w:shd w:val="clear"/>
            <w:tcMar>
              <w:top w:type="dxa" w:w="80"/>
              <w:left w:type="dxa" w:w="120"/>
              <w:bottom w:type="dxa" w:w="80"/>
              <w:right w:type="dxa" w:w="120"/>
            </w:tcMar>
          </w:tcPr>
          <w:p>
            <w:r>
              <w:t xml:space="preserve">R-07</w:t>
            </w:r>
          </w:p>
        </w:tc>
        <w:tc>
          <w:tcPr>
            <w:tcW w:type="dxa" w:w="1700"/>
            <w:shd w:val="clear"/>
            <w:tcMar>
              <w:top w:type="dxa" w:w="80"/>
              <w:left w:type="dxa" w:w="120"/>
              <w:bottom w:type="dxa" w:w="80"/>
              <w:right w:type="dxa" w:w="120"/>
            </w:tcMar>
          </w:tcPr>
          <w:p>
            <w:r>
              <w:t xml:space="preserve">Inadequate consent mechanism for sensitive data (bundled with general terms acceptance)</w:t>
            </w:r>
          </w:p>
        </w:tc>
        <w:tc>
          <w:tcPr>
            <w:tcW w:type="dxa" w:w="700"/>
            <w:shd w:val="clear"/>
            <w:tcMar>
              <w:top w:type="dxa" w:w="80"/>
              <w:left w:type="dxa" w:w="120"/>
              <w:bottom w:type="dxa" w:w="80"/>
              <w:right w:type="dxa" w:w="120"/>
            </w:tcMar>
          </w:tcPr>
          <w:p>
            <w:r>
              <w:t xml:space="preserve">3</w:t>
            </w:r>
          </w:p>
        </w:tc>
        <w:tc>
          <w:tcPr>
            <w:tcW w:type="dxa" w:w="700"/>
            <w:shd w:val="clear"/>
            <w:tcMar>
              <w:top w:type="dxa" w:w="80"/>
              <w:left w:type="dxa" w:w="120"/>
              <w:bottom w:type="dxa" w:w="80"/>
              <w:right w:type="dxa" w:w="120"/>
            </w:tcMar>
          </w:tcPr>
          <w:p>
            <w:r>
              <w:t xml:space="preserve">3</w:t>
            </w:r>
          </w:p>
        </w:tc>
        <w:tc>
          <w:tcPr>
            <w:tcW w:type="dxa" w:w="500"/>
            <w:shd w:val="clear"/>
            <w:tcMar>
              <w:top w:type="dxa" w:w="80"/>
              <w:left w:type="dxa" w:w="120"/>
              <w:bottom w:type="dxa" w:w="80"/>
              <w:right w:type="dxa" w:w="120"/>
            </w:tcMar>
          </w:tcPr>
          <w:p>
            <w:r>
              <w:t xml:space="preserve">9</w:t>
            </w:r>
          </w:p>
        </w:tc>
        <w:tc>
          <w:tcPr>
            <w:tcW w:type="dxa" w:w="2100"/>
            <w:shd w:val="clear"/>
            <w:tcMar>
              <w:top w:type="dxa" w:w="80"/>
              <w:left w:type="dxa" w:w="120"/>
              <w:bottom w:type="dxa" w:w="80"/>
              <w:right w:type="dxa" w:w="120"/>
            </w:tcMar>
          </w:tcPr>
          <w:p>
            <w:r>
              <w:t xml:space="preserve">Implement granular, standalone consent flow for psychological data; separate from general ToS acceptance</w:t>
            </w:r>
          </w:p>
        </w:tc>
        <w:tc>
          <w:tcPr>
            <w:tcW w:type="dxa" w:w="900"/>
            <w:shd w:val="clear"/>
            <w:tcMar>
              <w:top w:type="dxa" w:w="80"/>
              <w:left w:type="dxa" w:w="120"/>
              <w:bottom w:type="dxa" w:w="80"/>
              <w:right w:type="dxa" w:w="120"/>
            </w:tcMar>
          </w:tcPr>
          <w:p>
            <w:r>
              <w:t xml:space="preserve">Low (3)</w:t>
            </w:r>
          </w:p>
        </w:tc>
      </w:tr>
      <w:tr>
        <w:tc>
          <w:tcPr>
            <w:tcW w:type="dxa" w:w="600"/>
            <w:shd w:val="clear"/>
            <w:tcMar>
              <w:top w:type="dxa" w:w="80"/>
              <w:left w:type="dxa" w:w="120"/>
              <w:bottom w:type="dxa" w:w="80"/>
              <w:right w:type="dxa" w:w="120"/>
            </w:tcMar>
          </w:tcPr>
          <w:p>
            <w:r>
              <w:t xml:space="preserve">R-08</w:t>
            </w:r>
          </w:p>
        </w:tc>
        <w:tc>
          <w:tcPr>
            <w:tcW w:type="dxa" w:w="1700"/>
            <w:shd w:val="clear"/>
            <w:tcMar>
              <w:top w:type="dxa" w:w="80"/>
              <w:left w:type="dxa" w:w="120"/>
              <w:bottom w:type="dxa" w:w="80"/>
              <w:right w:type="dxa" w:w="120"/>
            </w:tcMar>
          </w:tcPr>
          <w:p>
            <w:r>
              <w:t xml:space="preserve">Data retained beyond stated retention periods</w:t>
            </w:r>
          </w:p>
        </w:tc>
        <w:tc>
          <w:tcPr>
            <w:tcW w:type="dxa" w:w="700"/>
            <w:shd w:val="clear"/>
            <w:tcMar>
              <w:top w:type="dxa" w:w="80"/>
              <w:left w:type="dxa" w:w="120"/>
              <w:bottom w:type="dxa" w:w="80"/>
              <w:right w:type="dxa" w:w="120"/>
            </w:tcMar>
          </w:tcPr>
          <w:p>
            <w:r>
              <w:t xml:space="preserve">3</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6</w:t>
            </w:r>
          </w:p>
        </w:tc>
        <w:tc>
          <w:tcPr>
            <w:tcW w:type="dxa" w:w="2100"/>
            <w:shd w:val="clear"/>
            <w:tcMar>
              <w:top w:type="dxa" w:w="80"/>
              <w:left w:type="dxa" w:w="120"/>
              <w:bottom w:type="dxa" w:w="80"/>
              <w:right w:type="dxa" w:w="120"/>
            </w:tcMar>
          </w:tcPr>
          <w:p>
            <w:r>
              <w:t xml:space="preserve">Automated deletion workflows; regular retention audits; deletion verification logs</w:t>
            </w:r>
          </w:p>
        </w:tc>
        <w:tc>
          <w:tcPr>
            <w:tcW w:type="dxa" w:w="900"/>
            <w:shd w:val="clear"/>
            <w:tcMar>
              <w:top w:type="dxa" w:w="80"/>
              <w:left w:type="dxa" w:w="120"/>
              <w:bottom w:type="dxa" w:w="80"/>
              <w:right w:type="dxa" w:w="120"/>
            </w:tcMar>
          </w:tcPr>
          <w:p>
            <w:r>
              <w:t xml:space="preserve">Low (2)</w:t>
            </w:r>
          </w:p>
        </w:tc>
      </w:tr>
      <w:tr>
        <w:tc>
          <w:tcPr>
            <w:tcW w:type="dxa" w:w="600"/>
            <w:shd w:val="clear"/>
            <w:tcMar>
              <w:top w:type="dxa" w:w="80"/>
              <w:left w:type="dxa" w:w="120"/>
              <w:bottom w:type="dxa" w:w="80"/>
              <w:right w:type="dxa" w:w="120"/>
            </w:tcMar>
          </w:tcPr>
          <w:p>
            <w:r>
              <w:t xml:space="preserve">R-09</w:t>
            </w:r>
          </w:p>
        </w:tc>
        <w:tc>
          <w:tcPr>
            <w:tcW w:type="dxa" w:w="1700"/>
            <w:shd w:val="clear"/>
            <w:tcMar>
              <w:top w:type="dxa" w:w="80"/>
              <w:left w:type="dxa" w:w="120"/>
              <w:bottom w:type="dxa" w:w="80"/>
              <w:right w:type="dxa" w:w="120"/>
            </w:tcMar>
          </w:tcPr>
          <w:p>
            <w:r>
              <w:t xml:space="preserve">Third-party sub-processor (OpenAI) changes data processing terms</w:t>
            </w:r>
          </w:p>
        </w:tc>
        <w:tc>
          <w:tcPr>
            <w:tcW w:type="dxa" w:w="700"/>
            <w:shd w:val="clear"/>
            <w:tcMar>
              <w:top w:type="dxa" w:w="80"/>
              <w:left w:type="dxa" w:w="120"/>
              <w:bottom w:type="dxa" w:w="80"/>
              <w:right w:type="dxa" w:w="120"/>
            </w:tcMar>
          </w:tcPr>
          <w:p>
            <w:r>
              <w:t xml:space="preserve">3</w:t>
            </w:r>
          </w:p>
        </w:tc>
        <w:tc>
          <w:tcPr>
            <w:tcW w:type="dxa" w:w="700"/>
            <w:shd w:val="clear"/>
            <w:tcMar>
              <w:top w:type="dxa" w:w="80"/>
              <w:left w:type="dxa" w:w="120"/>
              <w:bottom w:type="dxa" w:w="80"/>
              <w:right w:type="dxa" w:w="120"/>
            </w:tcMar>
          </w:tcPr>
          <w:p>
            <w:r>
              <w:t xml:space="preserve">3</w:t>
            </w:r>
          </w:p>
        </w:tc>
        <w:tc>
          <w:tcPr>
            <w:tcW w:type="dxa" w:w="500"/>
            <w:shd w:val="clear"/>
            <w:tcMar>
              <w:top w:type="dxa" w:w="80"/>
              <w:left w:type="dxa" w:w="120"/>
              <w:bottom w:type="dxa" w:w="80"/>
              <w:right w:type="dxa" w:w="120"/>
            </w:tcMar>
          </w:tcPr>
          <w:p>
            <w:r>
              <w:t xml:space="preserve">9</w:t>
            </w:r>
          </w:p>
        </w:tc>
        <w:tc>
          <w:tcPr>
            <w:tcW w:type="dxa" w:w="2100"/>
            <w:shd w:val="clear"/>
            <w:tcMar>
              <w:top w:type="dxa" w:w="80"/>
              <w:left w:type="dxa" w:w="120"/>
              <w:bottom w:type="dxa" w:w="80"/>
              <w:right w:type="dxa" w:w="120"/>
            </w:tcMar>
          </w:tcPr>
          <w:p>
            <w:r>
              <w:t xml:space="preserve">Monitor OpenAI policy changes; contractual notification requirements; contingency plan for alternative AI provider</w:t>
            </w:r>
          </w:p>
        </w:tc>
        <w:tc>
          <w:tcPr>
            <w:tcW w:type="dxa" w:w="900"/>
            <w:shd w:val="clear"/>
            <w:tcMar>
              <w:top w:type="dxa" w:w="80"/>
              <w:left w:type="dxa" w:w="120"/>
              <w:bottom w:type="dxa" w:w="80"/>
              <w:right w:type="dxa" w:w="120"/>
            </w:tcMar>
          </w:tcPr>
          <w:p>
            <w:r>
              <w:t xml:space="preserve">Medium (6)</w:t>
            </w:r>
          </w:p>
        </w:tc>
      </w:tr>
      <w:tr>
        <w:tc>
          <w:tcPr>
            <w:tcW w:type="dxa" w:w="600"/>
            <w:shd w:val="clear"/>
            <w:tcMar>
              <w:top w:type="dxa" w:w="80"/>
              <w:left w:type="dxa" w:w="120"/>
              <w:bottom w:type="dxa" w:w="80"/>
              <w:right w:type="dxa" w:w="120"/>
            </w:tcMar>
          </w:tcPr>
          <w:p>
            <w:r>
              <w:t xml:space="preserve">R-10</w:t>
            </w:r>
          </w:p>
        </w:tc>
        <w:tc>
          <w:tcPr>
            <w:tcW w:type="dxa" w:w="1700"/>
            <w:shd w:val="clear"/>
            <w:tcMar>
              <w:top w:type="dxa" w:w="80"/>
              <w:left w:type="dxa" w:w="120"/>
              <w:bottom w:type="dxa" w:w="80"/>
              <w:right w:type="dxa" w:w="120"/>
            </w:tcMar>
          </w:tcPr>
          <w:p>
            <w:r>
              <w:t xml:space="preserve">Failure to respond to data subject access/deletion requests within statutory timeframes</w:t>
            </w:r>
          </w:p>
        </w:tc>
        <w:tc>
          <w:tcPr>
            <w:tcW w:type="dxa" w:w="700"/>
            <w:shd w:val="clear"/>
            <w:tcMar>
              <w:top w:type="dxa" w:w="80"/>
              <w:left w:type="dxa" w:w="120"/>
              <w:bottom w:type="dxa" w:w="80"/>
              <w:right w:type="dxa" w:w="120"/>
            </w:tcMar>
          </w:tcPr>
          <w:p>
            <w:r>
              <w:t xml:space="preserve">3</w:t>
            </w:r>
          </w:p>
        </w:tc>
        <w:tc>
          <w:tcPr>
            <w:tcW w:type="dxa" w:w="700"/>
            <w:shd w:val="clear"/>
            <w:tcMar>
              <w:top w:type="dxa" w:w="80"/>
              <w:left w:type="dxa" w:w="120"/>
              <w:bottom w:type="dxa" w:w="80"/>
              <w:right w:type="dxa" w:w="120"/>
            </w:tcMar>
          </w:tcPr>
          <w:p>
            <w:r>
              <w:t xml:space="preserve">2</w:t>
            </w:r>
          </w:p>
        </w:tc>
        <w:tc>
          <w:tcPr>
            <w:tcW w:type="dxa" w:w="500"/>
            <w:shd w:val="clear"/>
            <w:tcMar>
              <w:top w:type="dxa" w:w="80"/>
              <w:left w:type="dxa" w:w="120"/>
              <w:bottom w:type="dxa" w:w="80"/>
              <w:right w:type="dxa" w:w="120"/>
            </w:tcMar>
          </w:tcPr>
          <w:p>
            <w:r>
              <w:t xml:space="preserve">6</w:t>
            </w:r>
          </w:p>
        </w:tc>
        <w:tc>
          <w:tcPr>
            <w:tcW w:type="dxa" w:w="2100"/>
            <w:shd w:val="clear"/>
            <w:tcMar>
              <w:top w:type="dxa" w:w="80"/>
              <w:left w:type="dxa" w:w="120"/>
              <w:bottom w:type="dxa" w:w="80"/>
              <w:right w:type="dxa" w:w="120"/>
            </w:tcMar>
          </w:tcPr>
          <w:p>
            <w:r>
              <w:t xml:space="preserve">Documented DSAR workflow; automated request tracking; staff training; 30-day response target</w:t>
            </w:r>
          </w:p>
        </w:tc>
        <w:tc>
          <w:tcPr>
            <w:tcW w:type="dxa" w:w="900"/>
            <w:shd w:val="clear"/>
            <w:tcMar>
              <w:top w:type="dxa" w:w="80"/>
              <w:left w:type="dxa" w:w="120"/>
              <w:bottom w:type="dxa" w:w="80"/>
              <w:right w:type="dxa" w:w="120"/>
            </w:tcMar>
          </w:tcPr>
          <w:p>
            <w:r>
              <w:t xml:space="preserve">Low (2)</w:t>
            </w:r>
          </w:p>
        </w:tc>
      </w:tr>
    </w:tbl>
    <w:p>
      <w:pPr>
        <w:spacing w:after="200" w:before="100"/>
      </w:pPr>
    </w:p>
    <w:r>
      <w:br w:type="page"/>
    </w:r>
    <w:p>
      <w:pPr>
        <w:pStyle w:val="Heading1"/>
        <w:pStyle w:val="Heading1"/>
        <w:spacing w:after="100" w:before="200"/>
      </w:pPr>
      <w:r>
        <w:t xml:space="preserve">5. SAFEGUARDS AND MITIGATION MEASURES</w:t>
      </w:r>
    </w:p>
    <w:p>
      <w:pPr>
        <w:pStyle w:val="Heading2"/>
        <w:pStyle w:val="Heading2"/>
        <w:spacing w:after="100" w:before="200"/>
      </w:pPr>
      <w:r>
        <w:t xml:space="preserve">5.1 Technical Measures</w:t>
      </w:r>
    </w:p>
    <w:p>
      <w:pPr>
        <w:spacing w:after="100" w:before="0"/>
        <w:ind/>
      </w:pPr>
      <w:r>
        <w:t xml:space="preserve">The following technical safeguards are implemented to protect personal information:</w:t>
      </w:r>
    </w:p>
    <w:p>
      <w:pPr>
        <w:pStyle w:val="ListParagraph"/>
        <w:numPr>
          <w:ilvl w:val="0"/>
          <w:numId w:val="1"/>
        </w:numPr>
        <w:spacing w:after="50" w:before="0"/>
      </w:pPr>
      <w:r>
        <w:t xml:space="preserve">Encryption: TLS/SSL for data in transit; AES-256 encryption at rest via Supabase</w:t>
      </w:r>
    </w:p>
    <w:p>
      <w:pPr>
        <w:pStyle w:val="ListParagraph"/>
        <w:numPr>
          <w:ilvl w:val="0"/>
          <w:numId w:val="1"/>
        </w:numPr>
        <w:spacing w:after="50" w:before="0"/>
      </w:pPr>
      <w:r>
        <w:t xml:space="preserve">Authentication: Multi-factor authentication available; Supabase Auth with secure session management</w:t>
      </w:r>
    </w:p>
    <w:p>
      <w:pPr>
        <w:pStyle w:val="ListParagraph"/>
        <w:numPr>
          <w:ilvl w:val="0"/>
          <w:numId w:val="1"/>
        </w:numPr>
        <w:spacing w:after="50" w:before="0"/>
      </w:pPr>
      <w:r>
        <w:t xml:space="preserve">Access Controls: Role-based access; principle of least privilege for staff access to user data</w:t>
      </w:r>
    </w:p>
    <w:p>
      <w:pPr>
        <w:pStyle w:val="ListParagraph"/>
        <w:numPr>
          <w:ilvl w:val="0"/>
          <w:numId w:val="1"/>
        </w:numPr>
        <w:spacing w:after="50" w:before="0"/>
      </w:pPr>
      <w:r>
        <w:t xml:space="preserve">Logging: Audit logs for data access and modifications</w:t>
      </w:r>
    </w:p>
    <w:p>
      <w:pPr>
        <w:pStyle w:val="ListParagraph"/>
        <w:numPr>
          <w:ilvl w:val="0"/>
          <w:numId w:val="1"/>
        </w:numPr>
        <w:spacing w:after="200" w:before="0"/>
      </w:pPr>
      <w:r>
        <w:t xml:space="preserve">API Security: Rate limiting, authentication tokens for OpenAI API calls</w:t>
      </w:r>
    </w:p>
    <w:p>
      <w:pPr>
        <w:pStyle w:val="Heading2"/>
        <w:pStyle w:val="Heading2"/>
        <w:spacing w:after="100" w:before="200"/>
      </w:pPr>
      <w:r>
        <w:t xml:space="preserve">5.2 Organizational Measures</w:t>
      </w:r>
    </w:p>
    <w:p>
      <w:pPr>
        <w:spacing w:after="100" w:before="0"/>
        <w:ind/>
      </w:pPr>
      <w:r>
        <w:t xml:space="preserve">The following organizational measures establish governance and accountability:</w:t>
      </w:r>
    </w:p>
    <w:p>
      <w:pPr>
        <w:pStyle w:val="ListParagraph"/>
        <w:numPr>
          <w:ilvl w:val="0"/>
          <w:numId w:val="1"/>
        </w:numPr>
        <w:spacing w:after="50" w:before="0"/>
      </w:pPr>
      <w:r>
        <w:t xml:space="preserve">Privacy Officer: Zihao Geng, Director — publicly identified per s. 3.1 Law 25</w:t>
      </w:r>
    </w:p>
    <w:p>
      <w:pPr>
        <w:pStyle w:val="ListParagraph"/>
        <w:numPr>
          <w:ilvl w:val="0"/>
          <w:numId w:val="1"/>
        </w:numPr>
        <w:spacing w:after="50" w:before="0"/>
      </w:pPr>
      <w:r>
        <w:t xml:space="preserve">Privacy policies: Published and regularly reviewed</w:t>
      </w:r>
    </w:p>
    <w:p>
      <w:pPr>
        <w:pStyle w:val="ListParagraph"/>
        <w:numPr>
          <w:ilvl w:val="0"/>
          <w:numId w:val="1"/>
        </w:numPr>
        <w:spacing w:after="50" w:before="0"/>
      </w:pPr>
      <w:r>
        <w:t xml:space="preserve">Staff training: Privacy awareness training for all personnel with access to personal information</w:t>
      </w:r>
    </w:p>
    <w:p>
      <w:pPr>
        <w:pStyle w:val="ListParagraph"/>
        <w:numPr>
          <w:ilvl w:val="0"/>
          <w:numId w:val="1"/>
        </w:numPr>
        <w:spacing w:after="50" w:before="0"/>
      </w:pPr>
      <w:r>
        <w:t xml:space="preserve">Sub-processor management: DPAs in place with all sub-processors; regular compliance reviews</w:t>
      </w:r>
    </w:p>
    <w:p>
      <w:pPr>
        <w:pStyle w:val="ListParagraph"/>
        <w:numPr>
          <w:ilvl w:val="0"/>
          <w:numId w:val="1"/>
        </w:numPr>
        <w:spacing w:after="200" w:before="0"/>
      </w:pPr>
      <w:r>
        <w:t xml:space="preserve">Incident response: Documented breach notification procedure (72-hour notification to CAI per s. 3.5 Law 25)</w:t>
      </w:r>
    </w:p>
    <w:p>
      <w:pPr>
        <w:pStyle w:val="Heading2"/>
        <w:pStyle w:val="Heading2"/>
        <w:spacing w:after="100" w:before="200"/>
      </w:pPr>
      <w:r>
        <w:t xml:space="preserve">5.3 Consent Mechanisms</w:t>
      </w:r>
    </w:p>
    <w:p>
      <w:pPr>
        <w:spacing w:after="100" w:before="0"/>
        <w:ind/>
      </w:pPr>
      <w:r>
        <w:t xml:space="preserve">Personal information processing is based on the following consent mechanisms:</w:t>
      </w:r>
    </w:p>
    <w:p>
      <w:pPr>
        <w:pStyle w:val="ListParagraph"/>
        <w:numPr>
          <w:ilvl w:val="0"/>
          <w:numId w:val="1"/>
        </w:numPr>
        <w:spacing w:after="50" w:before="0"/>
      </w:pPr>
      <w:r>
        <w:t xml:space="preserve">General service consent: Account creation and Terms acceptance</w:t>
      </w:r>
    </w:p>
    <w:p>
      <w:pPr>
        <w:pStyle w:val="ListParagraph"/>
        <w:numPr>
          <w:ilvl w:val="0"/>
          <w:numId w:val="1"/>
        </w:numPr>
        <w:spacing w:after="50" w:before="0"/>
      </w:pPr>
      <w:r>
        <w:t xml:space="preserve">Sensitive data consent: Separate, explicit, informed consent for self-reported psychological data (standalone in-app consent flow)</w:t>
      </w:r>
    </w:p>
    <w:p>
      <w:pPr>
        <w:pStyle w:val="ListParagraph"/>
        <w:numPr>
          <w:ilvl w:val="0"/>
          <w:numId w:val="1"/>
        </w:numPr>
        <w:spacing w:after="50" w:before="0"/>
      </w:pPr>
      <w:r>
        <w:t xml:space="preserve">Email integration consent: Separate OAuth authorization flow with clear scope description</w:t>
      </w:r>
    </w:p>
    <w:p>
      <w:pPr>
        <w:pStyle w:val="ListParagraph"/>
        <w:numPr>
          <w:ilvl w:val="0"/>
          <w:numId w:val="1"/>
        </w:numPr>
        <w:spacing w:after="200" w:before="0"/>
      </w:pPr>
      <w:r>
        <w:t xml:space="preserve">Withdrawal: Users can withdraw consent for sensitive data processing and disconnect email integration at any time via account settings; email-based withdrawal also available</w:t>
      </w:r>
    </w:p>
    <w:p>
      <w:pPr>
        <w:pStyle w:val="Heading2"/>
        <w:pStyle w:val="Heading2"/>
        <w:spacing w:after="100" w:before="200"/>
      </w:pPr>
      <w:r>
        <w:t xml:space="preserve">5.4 Transparency Measures</w:t>
      </w:r>
    </w:p>
    <w:p>
      <w:pPr>
        <w:spacing w:after="100" w:before="0"/>
        <w:ind/>
      </w:pPr>
      <w:r>
        <w:t xml:space="preserve">The following transparency measures ensure users understand data processing:</w:t>
      </w:r>
    </w:p>
    <w:p>
      <w:pPr>
        <w:pStyle w:val="ListParagraph"/>
        <w:numPr>
          <w:ilvl w:val="0"/>
          <w:numId w:val="1"/>
        </w:numPr>
        <w:spacing w:after="50" w:before="0"/>
      </w:pPr>
      <w:r>
        <w:t xml:space="preserve">Privacy Policy: Comprehensive, publicly available, multi-jurisdictional</w:t>
      </w:r>
    </w:p>
    <w:p>
      <w:pPr>
        <w:pStyle w:val="ListParagraph"/>
        <w:numPr>
          <w:ilvl w:val="0"/>
          <w:numId w:val="1"/>
        </w:numPr>
        <w:spacing w:after="50" w:before="0"/>
      </w:pPr>
      <w:r>
        <w:t xml:space="preserve">Health &amp; Wellness Disclaimer: Prominent disclaimers against medical reliance</w:t>
      </w:r>
    </w:p>
    <w:p>
      <w:pPr>
        <w:pStyle w:val="ListParagraph"/>
        <w:numPr>
          <w:ilvl w:val="0"/>
          <w:numId w:val="1"/>
        </w:numPr>
        <w:spacing w:after="50" w:before="0"/>
      </w:pPr>
      <w:r>
        <w:t xml:space="preserve">AI Transparency: Users informed that data is processed by OpenAI; informed of AI limitations</w:t>
      </w:r>
    </w:p>
    <w:p>
      <w:pPr>
        <w:pStyle w:val="ListParagraph"/>
        <w:numPr>
          <w:ilvl w:val="0"/>
          <w:numId w:val="1"/>
        </w:numPr>
        <w:spacing w:after="200" w:before="0"/>
      </w:pPr>
      <w:r>
        <w:t xml:space="preserve">Cookie Policy: Cookie consent banner with equal accept/reject options</w:t>
      </w:r>
    </w:p>
    <w:r>
      <w:br w:type="page"/>
    </w:r>
    <w:p>
      <w:pPr>
        <w:pStyle w:val="Heading1"/>
        <w:pStyle w:val="Heading1"/>
        <w:spacing w:after="100" w:before="200"/>
      </w:pPr>
      <w:r>
        <w:t xml:space="preserve">6. RECOMMENDATIONS</w:t>
      </w:r>
    </w:p>
    <w:p>
      <w:pPr>
        <w:pStyle w:val="Heading2"/>
        <w:pStyle w:val="Heading2"/>
        <w:spacing w:after="100" w:before="200"/>
      </w:pPr>
      <w:r>
        <w:t xml:space="preserve">6.1 Immediate Actions (Before Launch / Within 30 Days)</w:t>
      </w:r>
    </w:p>
    <w:p>
      <w:pPr>
        <w:pStyle w:val="ListParagraph"/>
        <w:numPr>
          <w:ilvl w:val="0"/>
          <w:numId w:val="1"/>
        </w:numPr>
        <w:spacing w:after="50" w:before="0"/>
      </w:pPr>
      <w:r>
        <w:t xml:space="preserve">Implement standalone granular consent UI for sensitive psychological data collection, separate from general terms acceptance</w:t>
      </w:r>
    </w:p>
    <w:p>
      <w:pPr>
        <w:pStyle w:val="ListParagraph"/>
        <w:numPr>
          <w:ilvl w:val="0"/>
          <w:numId w:val="1"/>
        </w:numPr>
        <w:spacing w:after="50" w:before="0"/>
      </w:pPr>
      <w:r>
        <w:t xml:space="preserve">Audit actual OAuth scopes against policy disclosures; implement minimum necessary permissions</w:t>
      </w:r>
    </w:p>
    <w:p>
      <w:pPr>
        <w:pStyle w:val="ListParagraph"/>
        <w:numPr>
          <w:ilvl w:val="0"/>
          <w:numId w:val="1"/>
        </w:numPr>
        <w:spacing w:after="50" w:before="0"/>
      </w:pPr>
      <w:r>
        <w:t xml:space="preserve">Confirm and document DPAs with all sub-processors (particularly OpenAI)</w:t>
      </w:r>
    </w:p>
    <w:p>
      <w:pPr>
        <w:pStyle w:val="ListParagraph"/>
        <w:numPr>
          <w:ilvl w:val="0"/>
          <w:numId w:val="1"/>
        </w:numPr>
        <w:spacing w:after="50" w:before="0"/>
      </w:pPr>
      <w:r>
        <w:t xml:space="preserve">Establish automated data deletion workflows aligned with retention schedule</w:t>
      </w:r>
    </w:p>
    <w:p>
      <w:pPr>
        <w:pStyle w:val="ListParagraph"/>
        <w:numPr>
          <w:ilvl w:val="0"/>
          <w:numId w:val="1"/>
        </w:numPr>
        <w:spacing w:after="200" w:before="0"/>
      </w:pPr>
      <w:r>
        <w:t xml:space="preserve">Document incident response procedure with 72-hour CAI notification timeline</w:t>
      </w:r>
    </w:p>
    <w:p>
      <w:pPr>
        <w:pStyle w:val="Heading2"/>
        <w:pStyle w:val="Heading2"/>
        <w:spacing w:after="100" w:before="200"/>
      </w:pPr>
      <w:r>
        <w:t xml:space="preserve">6.2 Short-Term Actions (30-90 Days)</w:t>
      </w:r>
    </w:p>
    <w:p>
      <w:pPr>
        <w:pStyle w:val="ListParagraph"/>
        <w:numPr>
          <w:ilvl w:val="0"/>
          <w:numId w:val="1"/>
        </w:numPr>
        <w:spacing w:after="50" w:before="0"/>
      </w:pPr>
      <w:r>
        <w:t xml:space="preserve">Conduct Transfer Impact Assessment for each US-based sub-processor</w:t>
      </w:r>
    </w:p>
    <w:p>
      <w:pPr>
        <w:pStyle w:val="ListParagraph"/>
        <w:numPr>
          <w:ilvl w:val="0"/>
          <w:numId w:val="1"/>
        </w:numPr>
        <w:spacing w:after="50" w:before="0"/>
      </w:pPr>
      <w:r>
        <w:t xml:space="preserve">Implement AI output monitoring for accuracy and potential harm</w:t>
      </w:r>
    </w:p>
    <w:p>
      <w:pPr>
        <w:pStyle w:val="ListParagraph"/>
        <w:numPr>
          <w:ilvl w:val="0"/>
          <w:numId w:val="1"/>
        </w:numPr>
        <w:spacing w:after="50" w:before="0"/>
      </w:pPr>
      <w:r>
        <w:t xml:space="preserve">Develop and document data subject access request (DSAR) workflow with tracking</w:t>
      </w:r>
    </w:p>
    <w:p>
      <w:pPr>
        <w:pStyle w:val="ListParagraph"/>
        <w:numPr>
          <w:ilvl w:val="0"/>
          <w:numId w:val="1"/>
        </w:numPr>
        <w:spacing w:after="200" w:before="0"/>
      </w:pPr>
      <w:r>
        <w:t xml:space="preserve">Train all staff with data access on privacy obligations under Law 25</w:t>
      </w:r>
    </w:p>
    <w:p>
      <w:pPr>
        <w:pStyle w:val="Heading2"/>
        <w:pStyle w:val="Heading2"/>
        <w:spacing w:after="100" w:before="200"/>
      </w:pPr>
      <w:r>
        <w:t xml:space="preserve">6.3 Ongoing Actions</w:t>
      </w:r>
    </w:p>
    <w:p>
      <w:pPr>
        <w:pStyle w:val="ListParagraph"/>
        <w:numPr>
          <w:ilvl w:val="0"/>
          <w:numId w:val="1"/>
        </w:numPr>
        <w:spacing w:after="50" w:before="0"/>
      </w:pPr>
      <w:r>
        <w:t xml:space="preserve">Annual review of this PIA (or upon material changes to data processing)</w:t>
      </w:r>
    </w:p>
    <w:p>
      <w:pPr>
        <w:pStyle w:val="ListParagraph"/>
        <w:numPr>
          <w:ilvl w:val="0"/>
          <w:numId w:val="1"/>
        </w:numPr>
        <w:spacing w:after="50" w:before="0"/>
      </w:pPr>
      <w:r>
        <w:t xml:space="preserve">Regular audit of sub-processor compliance</w:t>
      </w:r>
    </w:p>
    <w:p>
      <w:pPr>
        <w:pStyle w:val="ListParagraph"/>
        <w:numPr>
          <w:ilvl w:val="0"/>
          <w:numId w:val="1"/>
        </w:numPr>
        <w:spacing w:after="200" w:before="0"/>
      </w:pPr>
      <w:r>
        <w:t xml:space="preserve">Monitor regulatory developments (CAI guidance, CCPA/CPRA amendments, EU adequacy decisions)</w:t>
      </w:r>
    </w:p>
    <w:r>
      <w:br w:type="page"/>
    </w:r>
    <w:p>
      <w:pPr>
        <w:pStyle w:val="Heading1"/>
        <w:pStyle w:val="Heading1"/>
        <w:spacing w:after="100" w:before="200"/>
      </w:pPr>
      <w:r>
        <w:t xml:space="preserve">7. CONCLUSION AND APPROVAL</w:t>
      </w:r>
    </w:p>
    <w:p>
      <w:pPr>
        <w:pStyle w:val="Heading2"/>
        <w:pStyle w:val="Heading2"/>
        <w:spacing w:after="100" w:before="200"/>
      </w:pPr>
      <w:r>
        <w:t xml:space="preserve">7.1 Assessment Summary</w:t>
      </w:r>
    </w:p>
    <w:p>
      <w:pPr>
        <w:spacing w:after="100" w:before="0"/>
        <w:ind/>
      </w:pPr>
      <w:r>
        <w:t xml:space="preserve">This PIA identifies 10 privacy risks associated with TruePick's personal information processing activities. Three risks are rated HIGH (data breach of sensitive data, AI model quality risk, user reliance on AI insights as medical advice), all of which have documented mitigation measures that reduce residual risk to MEDIUM. Seven risks are rated MEDIUM, all with mitigation measures reducing residual risk to LOW or MEDIUM.</w:t>
      </w:r>
    </w:p>
    <w:p>
      <w:pPr>
        <w:spacing w:after="200" w:before="0"/>
        <w:ind/>
      </w:pPr>
      <w:r>
        <w:t xml:space="preserve">The project may proceed subject to implementation of the recommended safeguards, particularly the granular consent mechanism for sensitive data and the completion of sub-processor DPAs.</w:t>
      </w:r>
    </w:p>
    <w:p>
      <w:pPr>
        <w:pStyle w:val="Heading2"/>
        <w:pStyle w:val="Heading2"/>
        <w:spacing w:after="100" w:before="200"/>
      </w:pPr>
      <w:r>
        <w:t xml:space="preserve">7.2 Approval Signatures</w:t>
      </w:r>
    </w:p>
    <w:p>
      <w:pPr>
        <w:spacing w:after="100" w:before="0"/>
        <w:ind/>
      </w:pPr>
      <w:r>
        <w:t xml:space="preserve">The following parties certify their review and approval of this Privacy Impact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val="clear"/>
            <w:tcMar>
              <w:top w:type="dxa" w:w="80"/>
              <w:left w:type="dxa" w:w="120"/>
              <w:bottom w:type="dxa" w:w="80"/>
              <w:right w:type="dxa" w:w="120"/>
            </w:tcMar>
          </w:tcPr>
          <w:p>
            <w:r>
              <w:t xml:space="preserve">Role</w:t>
            </w:r>
          </w:p>
        </w:tc>
        <w:tc>
          <w:tcPr>
            <w:tcW w:type="dxa" w:w="3000"/>
            <w:shd w:val="clear"/>
            <w:tcMar>
              <w:top w:type="dxa" w:w="80"/>
              <w:left w:type="dxa" w:w="120"/>
              <w:bottom w:type="dxa" w:w="80"/>
              <w:right w:type="dxa" w:w="120"/>
            </w:tcMar>
          </w:tcPr>
          <w:p>
            <w:r>
              <w:t xml:space="preserve">Name</w:t>
            </w:r>
          </w:p>
        </w:tc>
        <w:tc>
          <w:tcPr>
            <w:tcW w:type="dxa" w:w="2500"/>
            <w:shd w:val="clear"/>
            <w:tcMar>
              <w:top w:type="dxa" w:w="80"/>
              <w:left w:type="dxa" w:w="120"/>
              <w:bottom w:type="dxa" w:w="80"/>
              <w:right w:type="dxa" w:w="120"/>
            </w:tcMar>
          </w:tcPr>
          <w:p>
            <w:r>
              <w:t xml:space="preserve">Signature</w:t>
            </w:r>
          </w:p>
        </w:tc>
        <w:tc>
          <w:tcPr>
            <w:tcW w:type="dxa" w:w="1640"/>
            <w:shd w:val="clear"/>
            <w:tcMar>
              <w:top w:type="dxa" w:w="80"/>
              <w:left w:type="dxa" w:w="120"/>
              <w:bottom w:type="dxa" w:w="80"/>
              <w:right w:type="dxa" w:w="120"/>
            </w:tcMar>
          </w:tcPr>
          <w:p>
            <w:r>
              <w:t xml:space="preserve">Date</w:t>
            </w:r>
          </w:p>
        </w:tc>
      </w:tr>
      <w:tr>
        <w:tc>
          <w:tcPr>
            <w:tcW w:type="dxa" w:w="2500"/>
            <w:shd w:val="clear"/>
            <w:tcMar>
              <w:top w:type="dxa" w:w="80"/>
              <w:left w:type="dxa" w:w="120"/>
              <w:bottom w:type="dxa" w:w="80"/>
              <w:right w:type="dxa" w:w="120"/>
            </w:tcMar>
          </w:tcPr>
          <w:p>
            <w:r>
              <w:t xml:space="preserve">Person Responsible for Privacy</w:t>
            </w:r>
          </w:p>
        </w:tc>
        <w:tc>
          <w:tcPr>
            <w:tcW w:type="dxa" w:w="3000"/>
            <w:shd w:val="clear"/>
            <w:tcMar>
              <w:top w:type="dxa" w:w="80"/>
              <w:left w:type="dxa" w:w="120"/>
              <w:bottom w:type="dxa" w:w="80"/>
              <w:right w:type="dxa" w:w="120"/>
            </w:tcMar>
          </w:tcPr>
          <w:p>
            <w:r>
              <w:t xml:space="preserve">Zihao Geng, Director</w:t>
            </w:r>
          </w:p>
        </w:tc>
        <w:tc>
          <w:tcPr>
            <w:tcW w:type="dxa" w:w="2500"/>
            <w:shd w:val="clear"/>
            <w:tcMar>
              <w:top w:type="dxa" w:w="80"/>
              <w:left w:type="dxa" w:w="120"/>
              <w:bottom w:type="dxa" w:w="80"/>
              <w:right w:type="dxa" w:w="120"/>
            </w:tcMar>
          </w:tcPr>
          <w:p>
            <w:r>
              <w:t xml:space="preserve">[Signature]</w:t>
            </w:r>
          </w:p>
        </w:tc>
        <w:tc>
          <w:tcPr>
            <w:tcW w:type="dxa" w:w="1640"/>
            <w:shd w:val="clear"/>
            <w:tcMar>
              <w:top w:type="dxa" w:w="80"/>
              <w:left w:type="dxa" w:w="120"/>
              <w:bottom w:type="dxa" w:w="80"/>
              <w:right w:type="dxa" w:w="120"/>
            </w:tcMar>
          </w:tcPr>
          <w:p>
            <w:r>
              <w:t xml:space="preserve">[Date]</w:t>
            </w:r>
          </w:p>
        </w:tc>
      </w:tr>
      <w:tr>
        <w:tc>
          <w:tcPr>
            <w:tcW w:type="dxa" w:w="2500"/>
            <w:shd w:val="clear"/>
            <w:tcMar>
              <w:top w:type="dxa" w:w="80"/>
              <w:left w:type="dxa" w:w="120"/>
              <w:bottom w:type="dxa" w:w="80"/>
              <w:right w:type="dxa" w:w="120"/>
            </w:tcMar>
          </w:tcPr>
          <w:p>
            <w:r>
              <w:t xml:space="preserve">Project Lead</w:t>
            </w:r>
          </w:p>
        </w:tc>
        <w:tc>
          <w:tcPr>
            <w:tcW w:type="dxa" w:w="3000"/>
            <w:shd w:val="clear"/>
            <w:tcMar>
              <w:top w:type="dxa" w:w="80"/>
              <w:left w:type="dxa" w:w="120"/>
              <w:bottom w:type="dxa" w:w="80"/>
              <w:right w:type="dxa" w:w="120"/>
            </w:tcMar>
          </w:tcPr>
          <w:p>
            <w:r>
              <w:t xml:space="preserve">[Name]</w:t>
            </w:r>
          </w:p>
        </w:tc>
        <w:tc>
          <w:tcPr>
            <w:tcW w:type="dxa" w:w="2500"/>
            <w:shd w:val="clear"/>
            <w:tcMar>
              <w:top w:type="dxa" w:w="80"/>
              <w:left w:type="dxa" w:w="120"/>
              <w:bottom w:type="dxa" w:w="80"/>
              <w:right w:type="dxa" w:w="120"/>
            </w:tcMar>
          </w:tcPr>
          <w:p>
            <w:r>
              <w:t xml:space="preserve">[Signature]</w:t>
            </w:r>
          </w:p>
        </w:tc>
        <w:tc>
          <w:tcPr>
            <w:tcW w:type="dxa" w:w="1640"/>
            <w:shd w:val="clear"/>
            <w:tcMar>
              <w:top w:type="dxa" w:w="80"/>
              <w:left w:type="dxa" w:w="120"/>
              <w:bottom w:type="dxa" w:w="80"/>
              <w:right w:type="dxa" w:w="120"/>
            </w:tcMar>
          </w:tcPr>
          <w:p>
            <w:r>
              <w:t xml:space="preserve">[Date]</w:t>
            </w:r>
          </w:p>
        </w:tc>
      </w:tr>
      <w:tr>
        <w:tc>
          <w:tcPr>
            <w:tcW w:type="dxa" w:w="2500"/>
            <w:shd w:val="clear"/>
            <w:tcMar>
              <w:top w:type="dxa" w:w="80"/>
              <w:left w:type="dxa" w:w="120"/>
              <w:bottom w:type="dxa" w:w="80"/>
              <w:right w:type="dxa" w:w="120"/>
            </w:tcMar>
          </w:tcPr>
          <w:p>
            <w:r>
              <w:t xml:space="preserve">Technical Lead</w:t>
            </w:r>
          </w:p>
        </w:tc>
        <w:tc>
          <w:tcPr>
            <w:tcW w:type="dxa" w:w="3000"/>
            <w:shd w:val="clear"/>
            <w:tcMar>
              <w:top w:type="dxa" w:w="80"/>
              <w:left w:type="dxa" w:w="120"/>
              <w:bottom w:type="dxa" w:w="80"/>
              <w:right w:type="dxa" w:w="120"/>
            </w:tcMar>
          </w:tcPr>
          <w:p>
            <w:r>
              <w:t xml:space="preserve">[Name]</w:t>
            </w:r>
          </w:p>
        </w:tc>
        <w:tc>
          <w:tcPr>
            <w:tcW w:type="dxa" w:w="2500"/>
            <w:shd w:val="clear"/>
            <w:tcMar>
              <w:top w:type="dxa" w:w="80"/>
              <w:left w:type="dxa" w:w="120"/>
              <w:bottom w:type="dxa" w:w="80"/>
              <w:right w:type="dxa" w:w="120"/>
            </w:tcMar>
          </w:tcPr>
          <w:p>
            <w:r>
              <w:t xml:space="preserve">[Signature]</w:t>
            </w:r>
          </w:p>
        </w:tc>
        <w:tc>
          <w:tcPr>
            <w:tcW w:type="dxa" w:w="1640"/>
            <w:shd w:val="clear"/>
            <w:tcMar>
              <w:top w:type="dxa" w:w="80"/>
              <w:left w:type="dxa" w:w="120"/>
              <w:bottom w:type="dxa" w:w="80"/>
              <w:right w:type="dxa" w:w="120"/>
            </w:tcMar>
          </w:tcPr>
          <w:p>
            <w:r>
              <w:t xml:space="preserve">[Date]</w:t>
            </w:r>
          </w:p>
        </w:tc>
      </w:tr>
    </w:tbl>
    <w:p>
      <w:pPr>
        <w:spacing w:after="200" w:before="100"/>
      </w:pPr>
    </w:p>
    <w:p>
      <w:pPr>
        <w:pStyle w:val="Heading2"/>
        <w:pStyle w:val="Heading2"/>
        <w:spacing w:after="100" w:before="200"/>
      </w:pPr>
      <w:r>
        <w:t xml:space="preserve">7.3 Review Schedule</w:t>
      </w:r>
    </w:p>
    <w:p>
      <w:pPr>
        <w:spacing w:after="100" w:before="0"/>
        <w:ind/>
      </w:pPr>
      <w:r>
        <w:t xml:space="preserve">This PIA shall be reviewed:</w:t>
      </w:r>
    </w:p>
    <w:p>
      <w:pPr>
        <w:pStyle w:val="ListParagraph"/>
        <w:numPr>
          <w:ilvl w:val="0"/>
          <w:numId w:val="1"/>
        </w:numPr>
        <w:spacing w:after="50" w:before="0"/>
      </w:pPr>
      <w:r>
        <w:t xml:space="preserve">Annually</w:t>
      </w:r>
    </w:p>
    <w:p>
      <w:pPr>
        <w:pStyle w:val="ListParagraph"/>
        <w:numPr>
          <w:ilvl w:val="0"/>
          <w:numId w:val="1"/>
        </w:numPr>
        <w:spacing w:after="50" w:before="0"/>
      </w:pPr>
      <w:r>
        <w:t xml:space="preserve">Upon any material change to TruePick's data processing activities</w:t>
      </w:r>
    </w:p>
    <w:p>
      <w:pPr>
        <w:pStyle w:val="ListParagraph"/>
        <w:numPr>
          <w:ilvl w:val="0"/>
          <w:numId w:val="1"/>
        </w:numPr>
        <w:spacing w:after="50" w:before="0"/>
      </w:pPr>
      <w:r>
        <w:t xml:space="preserve">Upon change of sub-processor or introduction of new data category</w:t>
      </w:r>
    </w:p>
    <w:p>
      <w:pPr>
        <w:pStyle w:val="ListParagraph"/>
        <w:numPr>
          <w:ilvl w:val="0"/>
          <w:numId w:val="1"/>
        </w:numPr>
        <w:spacing w:after="200" w:before="0"/>
      </w:pPr>
      <w:r>
        <w:t xml:space="preserve">Upon request by the Commission d'accès à l'information du Québec (CAI)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2026-02-24T05:17:55.025Z</dcterms:created>
  <dcterms:modified xsi:type="dcterms:W3CDTF">2026-02-24T05:17:55.025Z</dcterms:modified>
</cp:coreProperties>
</file>

<file path=docProps/custom.xml><?xml version="1.0" encoding="utf-8"?>
<Properties xmlns="http://schemas.openxmlformats.org/officeDocument/2006/custom-properties" xmlns:vt="http://schemas.openxmlformats.org/officeDocument/2006/docPropsVTypes"/>
</file>