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26446" w14:textId="77777777" w:rsidR="00024354" w:rsidRPr="00355F69" w:rsidRDefault="00024354" w:rsidP="00024354">
      <w:pPr>
        <w:jc w:val="center"/>
        <w:rPr>
          <w:rFonts w:ascii="Calibri" w:hAnsi="Calibri" w:cs="Calibri"/>
        </w:rPr>
      </w:pPr>
      <w:bookmarkStart w:id="0" w:name="_GoBack"/>
      <w:bookmarkEnd w:id="0"/>
      <w:r w:rsidRPr="00355F69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744D8700" wp14:editId="5D410655">
            <wp:extent cx="1333500" cy="72390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F69">
        <w:rPr>
          <w:rFonts w:ascii="Calibri" w:hAnsi="Calibri" w:cs="Calibri"/>
        </w:rPr>
        <w:t xml:space="preserve">         </w:t>
      </w:r>
      <w:r w:rsidRPr="00355F69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229CC41F" wp14:editId="731C998C">
            <wp:extent cx="1019175" cy="69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78" cy="69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55F69">
        <w:rPr>
          <w:rFonts w:ascii="Calibri" w:hAnsi="Calibri" w:cs="Calibri"/>
          <w:noProof/>
          <w:lang w:eastAsia="es-CL"/>
        </w:rPr>
        <w:t xml:space="preserve">       </w:t>
      </w:r>
      <w:r w:rsidRPr="00355F69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2B3B8A38" wp14:editId="263251A6">
            <wp:extent cx="1295400" cy="956604"/>
            <wp:effectExtent l="0" t="0" r="0" b="0"/>
            <wp:docPr id="3" name="Imagen 3" descr="Resultado de imagen para logotipo d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tipo duo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15" cy="9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F69">
        <w:rPr>
          <w:rFonts w:ascii="Calibri" w:hAnsi="Calibri" w:cs="Calibri"/>
          <w:noProof/>
          <w:lang w:eastAsia="es-CL"/>
        </w:rPr>
        <w:t xml:space="preserve">       </w:t>
      </w:r>
      <w:r w:rsidRPr="00355F69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737315D5" wp14:editId="211985FD">
            <wp:extent cx="1209675" cy="639806"/>
            <wp:effectExtent l="0" t="0" r="0" b="0"/>
            <wp:docPr id="2" name="Imagen 2" descr="Resultado de imagen para logo ina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ogo inaca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33" cy="65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D2F0" w14:textId="30B689DD" w:rsidR="00CC4C0F" w:rsidRPr="00355F69" w:rsidRDefault="00CC4C0F">
      <w:pPr>
        <w:pStyle w:val="Encabezado"/>
        <w:rPr>
          <w:rFonts w:ascii="Calibri" w:hAnsi="Calibri" w:cs="Calibri"/>
        </w:rPr>
      </w:pPr>
    </w:p>
    <w:p w14:paraId="40AB3BF5" w14:textId="77777777" w:rsidR="00024354" w:rsidRPr="00355F69" w:rsidRDefault="00024354">
      <w:pPr>
        <w:pStyle w:val="Encabezado"/>
        <w:rPr>
          <w:rFonts w:ascii="Calibri" w:hAnsi="Calibri" w:cs="Calibri"/>
        </w:rPr>
      </w:pPr>
    </w:p>
    <w:p w14:paraId="04280A43" w14:textId="77777777" w:rsidR="00024354" w:rsidRPr="00355F69" w:rsidRDefault="00024354">
      <w:pPr>
        <w:pStyle w:val="Encabezado"/>
        <w:rPr>
          <w:rFonts w:ascii="Calibri" w:hAnsi="Calibri" w:cs="Calibri"/>
        </w:rPr>
      </w:pPr>
    </w:p>
    <w:p w14:paraId="63CA260A" w14:textId="465A7DB3" w:rsidR="00CC4C0F" w:rsidRPr="00355F69" w:rsidRDefault="00CC4C0F">
      <w:pPr>
        <w:pStyle w:val="Encabezado"/>
        <w:rPr>
          <w:rFonts w:ascii="Calibri" w:hAnsi="Calibri" w:cs="Calibri"/>
        </w:rPr>
      </w:pPr>
    </w:p>
    <w:p w14:paraId="5D223A34" w14:textId="07FADB03" w:rsidR="00CC4C0F" w:rsidRPr="00A737BE" w:rsidRDefault="00355F69" w:rsidP="00355F69">
      <w:pPr>
        <w:pStyle w:val="Encabezado"/>
        <w:jc w:val="center"/>
        <w:rPr>
          <w:rFonts w:ascii="Calibri" w:hAnsi="Calibri" w:cs="Calibri"/>
          <w:color w:val="244061" w:themeColor="accent1" w:themeShade="80"/>
          <w:sz w:val="32"/>
          <w:szCs w:val="32"/>
        </w:rPr>
      </w:pPr>
      <w:r w:rsidRPr="00A737BE">
        <w:rPr>
          <w:rFonts w:ascii="Calibri" w:hAnsi="Calibri" w:cs="Calibri"/>
          <w:color w:val="244061" w:themeColor="accent1" w:themeShade="80"/>
          <w:sz w:val="32"/>
          <w:szCs w:val="32"/>
        </w:rPr>
        <w:t>COMUNICADO DE PRENSA</w:t>
      </w:r>
    </w:p>
    <w:p w14:paraId="43EFDBA8" w14:textId="77777777" w:rsidR="00CC4C0F" w:rsidRPr="00355F69" w:rsidRDefault="00CC4C0F">
      <w:pPr>
        <w:pStyle w:val="Fechaok"/>
        <w:tabs>
          <w:tab w:val="left" w:pos="6379"/>
        </w:tabs>
        <w:spacing w:before="0"/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63CA89BB" w14:textId="7D45ECEB" w:rsidR="00CC4C0F" w:rsidRPr="00355F69" w:rsidRDefault="0062739A" w:rsidP="00A737BE">
      <w:pPr>
        <w:pStyle w:val="Fechaok"/>
        <w:tabs>
          <w:tab w:val="left" w:pos="6379"/>
        </w:tabs>
        <w:spacing w:before="0"/>
        <w:jc w:val="center"/>
        <w:rPr>
          <w:rStyle w:val="Ninguno"/>
          <w:rFonts w:ascii="Calibri" w:eastAsia="Calibri" w:hAnsi="Calibri" w:cs="Calibri"/>
          <w:b w:val="0"/>
          <w:bCs w:val="0"/>
          <w:color w:val="244061" w:themeColor="accent1" w:themeShade="80"/>
          <w:sz w:val="40"/>
          <w:szCs w:val="40"/>
        </w:rPr>
      </w:pPr>
      <w:r w:rsidRPr="00355F69">
        <w:rPr>
          <w:rStyle w:val="Ninguno"/>
          <w:rFonts w:ascii="Calibri" w:hAnsi="Calibri" w:cs="Calibri"/>
          <w:color w:val="244061" w:themeColor="accent1" w:themeShade="80"/>
          <w:sz w:val="18"/>
          <w:szCs w:val="18"/>
          <w:lang w:val="es-ES_tradnl"/>
        </w:rPr>
        <w:t xml:space="preserve">Santiago, </w:t>
      </w:r>
      <w:r w:rsidR="00F256EF" w:rsidRPr="00355F69">
        <w:rPr>
          <w:rStyle w:val="Ninguno"/>
          <w:rFonts w:ascii="Calibri" w:hAnsi="Calibri" w:cs="Calibri"/>
          <w:color w:val="244061" w:themeColor="accent1" w:themeShade="80"/>
          <w:sz w:val="18"/>
          <w:szCs w:val="18"/>
          <w:lang w:val="es-ES_tradnl"/>
        </w:rPr>
        <w:t>28</w:t>
      </w:r>
      <w:r w:rsidRPr="00355F69">
        <w:rPr>
          <w:rStyle w:val="Ninguno"/>
          <w:rFonts w:ascii="Calibri" w:hAnsi="Calibri" w:cs="Calibri"/>
          <w:color w:val="244061" w:themeColor="accent1" w:themeShade="80"/>
          <w:sz w:val="18"/>
          <w:szCs w:val="18"/>
          <w:lang w:val="es-ES_tradnl"/>
        </w:rPr>
        <w:t xml:space="preserve"> de </w:t>
      </w:r>
      <w:r w:rsidR="00F256EF" w:rsidRPr="00355F69">
        <w:rPr>
          <w:rStyle w:val="Ninguno"/>
          <w:rFonts w:ascii="Calibri" w:hAnsi="Calibri" w:cs="Calibri"/>
          <w:color w:val="244061" w:themeColor="accent1" w:themeShade="80"/>
          <w:sz w:val="18"/>
          <w:szCs w:val="18"/>
          <w:lang w:val="es-ES_tradnl"/>
        </w:rPr>
        <w:t>marzo</w:t>
      </w:r>
      <w:r w:rsidR="00C56902" w:rsidRPr="00355F69">
        <w:rPr>
          <w:rStyle w:val="Ninguno"/>
          <w:rFonts w:ascii="Calibri" w:hAnsi="Calibri" w:cs="Calibri"/>
          <w:color w:val="244061" w:themeColor="accent1" w:themeShade="80"/>
          <w:sz w:val="18"/>
          <w:szCs w:val="18"/>
          <w:lang w:val="es-ES_tradnl"/>
        </w:rPr>
        <w:t xml:space="preserve"> de 2017</w:t>
      </w:r>
    </w:p>
    <w:p w14:paraId="6C12B2A2" w14:textId="77777777" w:rsidR="00CC4C0F" w:rsidRPr="00355F69" w:rsidRDefault="00CC4C0F">
      <w:pPr>
        <w:pStyle w:val="Sinespaciado"/>
        <w:jc w:val="both"/>
        <w:rPr>
          <w:rStyle w:val="NingunoA"/>
          <w:rFonts w:ascii="Calibri" w:eastAsia="Calibri" w:hAnsi="Calibri" w:cs="Calibri"/>
          <w:color w:val="244061" w:themeColor="accent1" w:themeShade="80"/>
          <w:sz w:val="40"/>
          <w:szCs w:val="40"/>
        </w:rPr>
      </w:pPr>
    </w:p>
    <w:p w14:paraId="245BD9AE" w14:textId="0E677459" w:rsidR="00CC4C0F" w:rsidRPr="00355F69" w:rsidRDefault="00466B91" w:rsidP="00A737BE">
      <w:pPr>
        <w:pStyle w:val="Sinespaciado"/>
        <w:jc w:val="center"/>
        <w:rPr>
          <w:rStyle w:val="Ninguno"/>
          <w:rFonts w:ascii="Calibri" w:eastAsia="Calibri" w:hAnsi="Calibri" w:cs="Calibri"/>
          <w:b/>
          <w:bCs/>
          <w:color w:val="244061" w:themeColor="accent1" w:themeShade="80"/>
          <w:sz w:val="32"/>
          <w:szCs w:val="32"/>
          <w:lang w:val="es-ES_tradnl"/>
        </w:rPr>
      </w:pPr>
      <w:r w:rsidRPr="00355F69">
        <w:rPr>
          <w:rStyle w:val="Ninguno"/>
          <w:rFonts w:ascii="Calibri" w:eastAsia="Calibri" w:hAnsi="Calibri" w:cs="Calibri"/>
          <w:b/>
          <w:bCs/>
          <w:color w:val="244061" w:themeColor="accent1" w:themeShade="80"/>
          <w:sz w:val="32"/>
          <w:szCs w:val="32"/>
          <w:lang w:val="es-ES_tradnl"/>
        </w:rPr>
        <w:t xml:space="preserve">Alianza estratégica de la UC, CPC, </w:t>
      </w:r>
      <w:proofErr w:type="spellStart"/>
      <w:r w:rsidRPr="00355F69">
        <w:rPr>
          <w:rStyle w:val="Ninguno"/>
          <w:rFonts w:ascii="Calibri" w:eastAsia="Calibri" w:hAnsi="Calibri" w:cs="Calibri"/>
          <w:b/>
          <w:bCs/>
          <w:color w:val="244061" w:themeColor="accent1" w:themeShade="80"/>
          <w:sz w:val="32"/>
          <w:szCs w:val="32"/>
          <w:lang w:val="es-ES_tradnl"/>
        </w:rPr>
        <w:t>Duoc</w:t>
      </w:r>
      <w:proofErr w:type="spellEnd"/>
      <w:r w:rsidR="006F0FBE" w:rsidRPr="00355F69">
        <w:rPr>
          <w:rStyle w:val="Ninguno"/>
          <w:rFonts w:ascii="Calibri" w:eastAsia="Calibri" w:hAnsi="Calibri" w:cs="Calibri"/>
          <w:b/>
          <w:bCs/>
          <w:color w:val="244061" w:themeColor="accent1" w:themeShade="80"/>
          <w:sz w:val="32"/>
          <w:szCs w:val="32"/>
          <w:lang w:val="es-ES_tradnl"/>
        </w:rPr>
        <w:t xml:space="preserve"> UC</w:t>
      </w:r>
      <w:r w:rsidRPr="00355F69">
        <w:rPr>
          <w:rStyle w:val="Ninguno"/>
          <w:rFonts w:ascii="Calibri" w:eastAsia="Calibri" w:hAnsi="Calibri" w:cs="Calibri"/>
          <w:b/>
          <w:bCs/>
          <w:color w:val="244061" w:themeColor="accent1" w:themeShade="80"/>
          <w:sz w:val="32"/>
          <w:szCs w:val="32"/>
          <w:lang w:val="es-ES_tradnl"/>
        </w:rPr>
        <w:t xml:space="preserve"> e Inacap generará propuestas de política pública para la educación técnica</w:t>
      </w:r>
    </w:p>
    <w:p w14:paraId="2DC276F8" w14:textId="77777777" w:rsidR="00466B91" w:rsidRPr="00355F69" w:rsidRDefault="00466B91" w:rsidP="00541A23">
      <w:pPr>
        <w:pStyle w:val="Sinespaciado"/>
        <w:jc w:val="both"/>
        <w:rPr>
          <w:rStyle w:val="Ninguno"/>
          <w:rFonts w:ascii="Calibri" w:eastAsia="Calibri" w:hAnsi="Calibri" w:cs="Calibri"/>
          <w:b/>
          <w:bCs/>
          <w:sz w:val="32"/>
          <w:szCs w:val="32"/>
        </w:rPr>
      </w:pPr>
    </w:p>
    <w:p w14:paraId="201A8BA7" w14:textId="5EA62A29" w:rsidR="00CC4C0F" w:rsidRPr="00355F69" w:rsidRDefault="00C56902" w:rsidP="00A737BE">
      <w:pPr>
        <w:pStyle w:val="Sinespaciado"/>
        <w:jc w:val="both"/>
        <w:rPr>
          <w:rFonts w:ascii="Calibri" w:hAnsi="Calibri" w:cs="Calibri"/>
          <w:i/>
          <w:iCs/>
          <w:sz w:val="20"/>
          <w:szCs w:val="20"/>
        </w:rPr>
      </w:pPr>
      <w:r w:rsidRPr="00355F69">
        <w:rPr>
          <w:rFonts w:ascii="Calibri" w:hAnsi="Calibri" w:cs="Calibri"/>
          <w:i/>
          <w:iCs/>
          <w:sz w:val="20"/>
          <w:szCs w:val="20"/>
        </w:rPr>
        <w:t xml:space="preserve">• 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La iniciativa, liderada por </w:t>
      </w:r>
      <w:r w:rsidR="00541A23" w:rsidRPr="00355F69">
        <w:rPr>
          <w:rFonts w:ascii="Calibri" w:hAnsi="Calibri" w:cs="Calibri"/>
          <w:i/>
          <w:iCs/>
          <w:sz w:val="20"/>
          <w:szCs w:val="20"/>
        </w:rPr>
        <w:t>el Centro de Políticas Públicas UC y la CPC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E43E64" w:rsidRPr="00355F69">
        <w:rPr>
          <w:rFonts w:ascii="Calibri" w:hAnsi="Calibri" w:cs="Calibri"/>
          <w:i/>
          <w:iCs/>
          <w:sz w:val="20"/>
          <w:szCs w:val="20"/>
        </w:rPr>
        <w:t>busca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 mejorar la productividad del país </w:t>
      </w:r>
      <w:r w:rsidR="00D565F9" w:rsidRPr="00355F69">
        <w:rPr>
          <w:rFonts w:ascii="Calibri" w:hAnsi="Calibri" w:cs="Calibri"/>
          <w:i/>
          <w:iCs/>
          <w:sz w:val="20"/>
          <w:szCs w:val="20"/>
        </w:rPr>
        <w:t>con foco</w:t>
      </w:r>
      <w:r w:rsidR="003279A1" w:rsidRPr="00355F69">
        <w:rPr>
          <w:rFonts w:ascii="Calibri" w:hAnsi="Calibri" w:cs="Calibri"/>
          <w:i/>
          <w:iCs/>
          <w:sz w:val="20"/>
          <w:szCs w:val="20"/>
        </w:rPr>
        <w:t xml:space="preserve"> en el desarrollo de las competencias 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>y habilidades d</w:t>
      </w:r>
      <w:r w:rsidR="00D565F9" w:rsidRPr="00355F69">
        <w:rPr>
          <w:rFonts w:ascii="Calibri" w:hAnsi="Calibri" w:cs="Calibri"/>
          <w:i/>
          <w:iCs/>
          <w:sz w:val="20"/>
          <w:szCs w:val="20"/>
        </w:rPr>
        <w:t>el capital humano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 xml:space="preserve"> para su inserción laboral</w:t>
      </w:r>
      <w:r w:rsidR="003279A1" w:rsidRPr="00355F69">
        <w:rPr>
          <w:rFonts w:ascii="Calibri" w:hAnsi="Calibri" w:cs="Calibri"/>
          <w:i/>
          <w:iCs/>
          <w:sz w:val="20"/>
          <w:szCs w:val="20"/>
        </w:rPr>
        <w:t>,</w:t>
      </w:r>
      <w:r w:rsidR="00D565F9" w:rsidRPr="00355F69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>a partir de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 una </w:t>
      </w:r>
      <w:r w:rsidR="00C45E71" w:rsidRPr="00355F69">
        <w:rPr>
          <w:rFonts w:ascii="Calibri" w:hAnsi="Calibri" w:cs="Calibri"/>
          <w:i/>
          <w:iCs/>
          <w:sz w:val="20"/>
          <w:szCs w:val="20"/>
        </w:rPr>
        <w:t>adecuada y pertinente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 articulación 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 xml:space="preserve">al interior 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>del mundo formativo</w:t>
      </w:r>
      <w:r w:rsidR="006F0FBE" w:rsidRPr="00355F69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 xml:space="preserve">y de este </w:t>
      </w:r>
      <w:r w:rsidR="006F0FBE" w:rsidRPr="00355F69">
        <w:rPr>
          <w:rFonts w:ascii="Calibri" w:hAnsi="Calibri" w:cs="Calibri"/>
          <w:i/>
          <w:iCs/>
          <w:sz w:val="20"/>
          <w:szCs w:val="20"/>
        </w:rPr>
        <w:t>con</w:t>
      </w:r>
      <w:r w:rsidR="00466B91" w:rsidRPr="00355F69">
        <w:rPr>
          <w:rFonts w:ascii="Calibri" w:hAnsi="Calibri" w:cs="Calibri"/>
          <w:i/>
          <w:iCs/>
          <w:sz w:val="20"/>
          <w:szCs w:val="20"/>
        </w:rPr>
        <w:t xml:space="preserve"> el mundo productivo</w:t>
      </w:r>
      <w:r w:rsidR="00635629" w:rsidRPr="00355F69">
        <w:rPr>
          <w:rFonts w:ascii="Calibri" w:hAnsi="Calibri" w:cs="Calibri"/>
          <w:i/>
          <w:iCs/>
          <w:sz w:val="20"/>
          <w:szCs w:val="20"/>
        </w:rPr>
        <w:t>.</w:t>
      </w:r>
    </w:p>
    <w:p w14:paraId="356C5205" w14:textId="77777777" w:rsidR="00C56902" w:rsidRPr="00355F69" w:rsidRDefault="00C56902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7CDCC6DD" w14:textId="02154686" w:rsidR="00856D32" w:rsidRPr="00355F69" w:rsidRDefault="00F256EF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  <w:r w:rsidRPr="00355F69">
        <w:rPr>
          <w:rFonts w:ascii="Calibri" w:hAnsi="Calibri" w:cs="Calibri"/>
          <w:sz w:val="20"/>
          <w:szCs w:val="20"/>
        </w:rPr>
        <w:t>Dado el actual escenario en que la productividad</w:t>
      </w:r>
      <w:r w:rsidR="00C45E71" w:rsidRPr="00355F69">
        <w:rPr>
          <w:rFonts w:ascii="Calibri" w:hAnsi="Calibri" w:cs="Calibri"/>
          <w:sz w:val="20"/>
          <w:szCs w:val="20"/>
        </w:rPr>
        <w:t xml:space="preserve"> en Chile</w:t>
      </w:r>
      <w:r w:rsidRPr="00355F69">
        <w:rPr>
          <w:rFonts w:ascii="Calibri" w:hAnsi="Calibri" w:cs="Calibri"/>
          <w:sz w:val="20"/>
          <w:szCs w:val="20"/>
        </w:rPr>
        <w:t xml:space="preserve"> </w:t>
      </w:r>
      <w:r w:rsidR="00C45E71" w:rsidRPr="00355F69">
        <w:rPr>
          <w:rFonts w:ascii="Calibri" w:hAnsi="Calibri" w:cs="Calibri"/>
          <w:sz w:val="20"/>
          <w:szCs w:val="20"/>
        </w:rPr>
        <w:t>se ha ido estancando</w:t>
      </w:r>
      <w:r w:rsidR="003279A1" w:rsidRPr="00355F69">
        <w:rPr>
          <w:rFonts w:ascii="Calibri" w:hAnsi="Calibri" w:cs="Calibri"/>
          <w:sz w:val="20"/>
          <w:szCs w:val="20"/>
        </w:rPr>
        <w:t>, el interés común por</w:t>
      </w:r>
      <w:r w:rsidRPr="00355F69">
        <w:rPr>
          <w:rFonts w:ascii="Calibri" w:hAnsi="Calibri" w:cs="Calibri"/>
          <w:sz w:val="20"/>
          <w:szCs w:val="20"/>
        </w:rPr>
        <w:t xml:space="preserve"> revertir esta situación llevó a la Universidad Católica, la Confederación de la Producción y del Comercio (CPC), Inacap y </w:t>
      </w:r>
      <w:proofErr w:type="spellStart"/>
      <w:r w:rsidRPr="00355F69">
        <w:rPr>
          <w:rFonts w:ascii="Calibri" w:hAnsi="Calibri" w:cs="Calibri"/>
          <w:sz w:val="20"/>
          <w:szCs w:val="20"/>
        </w:rPr>
        <w:t>Duoc</w:t>
      </w:r>
      <w:proofErr w:type="spellEnd"/>
      <w:r w:rsidRPr="00355F69">
        <w:rPr>
          <w:rFonts w:ascii="Calibri" w:hAnsi="Calibri" w:cs="Calibri"/>
          <w:sz w:val="20"/>
          <w:szCs w:val="20"/>
        </w:rPr>
        <w:t xml:space="preserve"> UC a firmar una alianza estratégica. En conjunto</w:t>
      </w:r>
      <w:r w:rsidR="00635629" w:rsidRPr="00355F69">
        <w:rPr>
          <w:rFonts w:ascii="Calibri" w:hAnsi="Calibri" w:cs="Calibri"/>
          <w:sz w:val="20"/>
          <w:szCs w:val="20"/>
        </w:rPr>
        <w:t>,</w:t>
      </w:r>
      <w:r w:rsidRPr="00355F69">
        <w:rPr>
          <w:rFonts w:ascii="Calibri" w:hAnsi="Calibri" w:cs="Calibri"/>
          <w:sz w:val="20"/>
          <w:szCs w:val="20"/>
        </w:rPr>
        <w:t xml:space="preserve"> </w:t>
      </w:r>
      <w:r w:rsidR="00C45E71" w:rsidRPr="00355F69">
        <w:rPr>
          <w:rFonts w:ascii="Calibri" w:hAnsi="Calibri" w:cs="Calibri"/>
          <w:sz w:val="20"/>
          <w:szCs w:val="20"/>
        </w:rPr>
        <w:t>implementarán</w:t>
      </w:r>
      <w:r w:rsidR="00466B91" w:rsidRPr="00355F69">
        <w:rPr>
          <w:rFonts w:ascii="Calibri" w:hAnsi="Calibri" w:cs="Calibri"/>
          <w:sz w:val="20"/>
          <w:szCs w:val="20"/>
        </w:rPr>
        <w:t xml:space="preserve"> el Proyecto </w:t>
      </w:r>
      <w:r w:rsidR="00C45E71" w:rsidRPr="00355F69">
        <w:rPr>
          <w:rFonts w:ascii="Calibri" w:hAnsi="Calibri" w:cs="Calibri"/>
          <w:sz w:val="20"/>
          <w:szCs w:val="20"/>
        </w:rPr>
        <w:t>“</w:t>
      </w:r>
      <w:r w:rsidR="00466B91" w:rsidRPr="00355F69">
        <w:rPr>
          <w:rFonts w:ascii="Calibri" w:hAnsi="Calibri" w:cs="Calibri"/>
          <w:sz w:val="20"/>
          <w:szCs w:val="20"/>
        </w:rPr>
        <w:t>Fortalec</w:t>
      </w:r>
      <w:r w:rsidRPr="00355F69">
        <w:rPr>
          <w:rFonts w:ascii="Calibri" w:hAnsi="Calibri" w:cs="Calibri"/>
          <w:sz w:val="20"/>
          <w:szCs w:val="20"/>
        </w:rPr>
        <w:t>imiento de la Educación Técnica</w:t>
      </w:r>
      <w:r w:rsidR="00C45E71" w:rsidRPr="00355F69">
        <w:rPr>
          <w:rFonts w:ascii="Calibri" w:hAnsi="Calibri" w:cs="Calibri"/>
          <w:sz w:val="20"/>
          <w:szCs w:val="20"/>
        </w:rPr>
        <w:t>”</w:t>
      </w:r>
      <w:r w:rsidR="00162004" w:rsidRPr="00355F69">
        <w:rPr>
          <w:rFonts w:ascii="Calibri" w:hAnsi="Calibri" w:cs="Calibri"/>
          <w:sz w:val="20"/>
          <w:szCs w:val="20"/>
        </w:rPr>
        <w:t xml:space="preserve">, con el fin de </w:t>
      </w:r>
      <w:r w:rsidR="00C45E71" w:rsidRPr="00355F69">
        <w:rPr>
          <w:rFonts w:ascii="Calibri" w:hAnsi="Calibri" w:cs="Calibri"/>
          <w:sz w:val="20"/>
          <w:szCs w:val="20"/>
        </w:rPr>
        <w:t>potenciar</w:t>
      </w:r>
      <w:r w:rsidR="00635629" w:rsidRPr="00355F69">
        <w:rPr>
          <w:rFonts w:ascii="Calibri" w:hAnsi="Calibri" w:cs="Calibri"/>
          <w:sz w:val="20"/>
          <w:szCs w:val="20"/>
        </w:rPr>
        <w:t xml:space="preserve"> el rol de</w:t>
      </w:r>
      <w:r w:rsidR="00856D32" w:rsidRPr="00355F69">
        <w:rPr>
          <w:rFonts w:ascii="Calibri" w:hAnsi="Calibri" w:cs="Calibri"/>
          <w:sz w:val="20"/>
          <w:szCs w:val="20"/>
        </w:rPr>
        <w:t xml:space="preserve"> la educación técnica </w:t>
      </w:r>
      <w:r w:rsidR="00C45E71" w:rsidRPr="00355F69">
        <w:rPr>
          <w:rFonts w:ascii="Calibri" w:hAnsi="Calibri" w:cs="Calibri"/>
          <w:sz w:val="20"/>
          <w:szCs w:val="20"/>
        </w:rPr>
        <w:t>por medio de</w:t>
      </w:r>
      <w:r w:rsidR="00856D32" w:rsidRPr="00355F69">
        <w:rPr>
          <w:rFonts w:ascii="Calibri" w:hAnsi="Calibri" w:cs="Calibri"/>
          <w:sz w:val="20"/>
          <w:szCs w:val="20"/>
        </w:rPr>
        <w:t xml:space="preserve"> propuestas dirigidas a mejorar la articulación </w:t>
      </w:r>
      <w:r w:rsidR="00C45E71" w:rsidRPr="00355F69">
        <w:rPr>
          <w:rFonts w:ascii="Calibri" w:hAnsi="Calibri" w:cs="Calibri"/>
          <w:sz w:val="20"/>
          <w:szCs w:val="20"/>
        </w:rPr>
        <w:t>al interior d</w:t>
      </w:r>
      <w:r w:rsidR="00856D32" w:rsidRPr="00355F69">
        <w:rPr>
          <w:rFonts w:ascii="Calibri" w:hAnsi="Calibri" w:cs="Calibri"/>
          <w:sz w:val="20"/>
          <w:szCs w:val="20"/>
        </w:rPr>
        <w:t xml:space="preserve">el mundo formativo y </w:t>
      </w:r>
      <w:r w:rsidR="00C45E71" w:rsidRPr="00355F69">
        <w:rPr>
          <w:rFonts w:ascii="Calibri" w:hAnsi="Calibri" w:cs="Calibri"/>
          <w:sz w:val="20"/>
          <w:szCs w:val="20"/>
        </w:rPr>
        <w:t xml:space="preserve">con </w:t>
      </w:r>
      <w:r w:rsidR="00856D32" w:rsidRPr="00355F69">
        <w:rPr>
          <w:rFonts w:ascii="Calibri" w:hAnsi="Calibri" w:cs="Calibri"/>
          <w:sz w:val="20"/>
          <w:szCs w:val="20"/>
        </w:rPr>
        <w:t>el mundo productivo</w:t>
      </w:r>
      <w:r w:rsidR="00B01C40" w:rsidRPr="00355F69">
        <w:rPr>
          <w:rFonts w:ascii="Calibri" w:hAnsi="Calibri" w:cs="Calibri"/>
          <w:sz w:val="20"/>
          <w:szCs w:val="20"/>
        </w:rPr>
        <w:t>, especialmente</w:t>
      </w:r>
      <w:r w:rsidR="006F0FBE" w:rsidRPr="00355F69">
        <w:rPr>
          <w:rFonts w:ascii="Calibri" w:hAnsi="Calibri" w:cs="Calibri"/>
          <w:sz w:val="20"/>
          <w:szCs w:val="20"/>
        </w:rPr>
        <w:t xml:space="preserve"> en el paso de la educación media a la educación superior</w:t>
      </w:r>
      <w:r w:rsidR="00856D32" w:rsidRPr="00355F69">
        <w:rPr>
          <w:rFonts w:ascii="Calibri" w:hAnsi="Calibri" w:cs="Calibri"/>
          <w:sz w:val="20"/>
          <w:szCs w:val="20"/>
        </w:rPr>
        <w:t>.</w:t>
      </w:r>
    </w:p>
    <w:p w14:paraId="6B788881" w14:textId="77777777" w:rsidR="001A3EFA" w:rsidRPr="00355F69" w:rsidRDefault="001A3EFA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1C8203F5" w14:textId="1AADC000" w:rsidR="009448DB" w:rsidRPr="00355F69" w:rsidRDefault="009448DB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  <w:r w:rsidRPr="00355F69">
        <w:rPr>
          <w:rFonts w:ascii="Calibri" w:hAnsi="Calibri" w:cs="Calibri"/>
          <w:sz w:val="20"/>
          <w:szCs w:val="20"/>
        </w:rPr>
        <w:t xml:space="preserve">La iniciativa, que será liderada por </w:t>
      </w:r>
      <w:r w:rsidR="00A54ABF" w:rsidRPr="00355F69">
        <w:rPr>
          <w:rFonts w:ascii="Calibri" w:hAnsi="Calibri" w:cs="Calibri"/>
          <w:sz w:val="20"/>
          <w:szCs w:val="20"/>
        </w:rPr>
        <w:t xml:space="preserve">el Centro de Políticas Públicas UC </w:t>
      </w:r>
      <w:r w:rsidR="00A54ABF">
        <w:rPr>
          <w:rFonts w:ascii="Calibri" w:hAnsi="Calibri" w:cs="Calibri"/>
          <w:sz w:val="20"/>
          <w:szCs w:val="20"/>
        </w:rPr>
        <w:t xml:space="preserve">y </w:t>
      </w:r>
      <w:r w:rsidR="00C45E71" w:rsidRPr="00355F69">
        <w:rPr>
          <w:rFonts w:ascii="Calibri" w:hAnsi="Calibri" w:cs="Calibri"/>
          <w:sz w:val="20"/>
          <w:szCs w:val="20"/>
        </w:rPr>
        <w:t>la CPC</w:t>
      </w:r>
      <w:r w:rsidRPr="00355F69">
        <w:rPr>
          <w:rFonts w:ascii="Calibri" w:hAnsi="Calibri" w:cs="Calibri"/>
          <w:sz w:val="20"/>
          <w:szCs w:val="20"/>
        </w:rPr>
        <w:t xml:space="preserve">, generará propuestas de política pública </w:t>
      </w:r>
      <w:r w:rsidR="00415D0F" w:rsidRPr="00355F69">
        <w:rPr>
          <w:rFonts w:ascii="Calibri" w:hAnsi="Calibri" w:cs="Calibri"/>
          <w:sz w:val="20"/>
          <w:szCs w:val="20"/>
        </w:rPr>
        <w:t>para resolver</w:t>
      </w:r>
      <w:r w:rsidRPr="00355F69">
        <w:rPr>
          <w:rFonts w:ascii="Calibri" w:hAnsi="Calibri" w:cs="Calibri"/>
          <w:sz w:val="20"/>
          <w:szCs w:val="20"/>
        </w:rPr>
        <w:t xml:space="preserve"> dificultades en el funcionamiento de la educación técnica</w:t>
      </w:r>
      <w:r w:rsidR="00B01C40" w:rsidRPr="00355F69">
        <w:rPr>
          <w:rFonts w:ascii="Calibri" w:hAnsi="Calibri" w:cs="Calibri"/>
          <w:sz w:val="20"/>
          <w:szCs w:val="20"/>
        </w:rPr>
        <w:t xml:space="preserve"> y</w:t>
      </w:r>
      <w:r w:rsidRPr="00355F69">
        <w:rPr>
          <w:rFonts w:ascii="Calibri" w:hAnsi="Calibri" w:cs="Calibri"/>
          <w:sz w:val="20"/>
          <w:szCs w:val="20"/>
        </w:rPr>
        <w:t xml:space="preserve"> </w:t>
      </w:r>
      <w:r w:rsidR="00C45E71" w:rsidRPr="00355F69">
        <w:rPr>
          <w:rFonts w:ascii="Calibri" w:hAnsi="Calibri" w:cs="Calibri"/>
          <w:sz w:val="20"/>
          <w:szCs w:val="20"/>
        </w:rPr>
        <w:t>promover</w:t>
      </w:r>
      <w:r w:rsidRPr="00355F69">
        <w:rPr>
          <w:rFonts w:ascii="Calibri" w:hAnsi="Calibri" w:cs="Calibri"/>
          <w:sz w:val="20"/>
          <w:szCs w:val="20"/>
        </w:rPr>
        <w:t xml:space="preserve"> un mayor vínculo entre los establecimientos educativos de enseñanza media y superior y las empresas</w:t>
      </w:r>
      <w:r w:rsidR="00B01C40" w:rsidRPr="00355F69">
        <w:rPr>
          <w:rFonts w:ascii="Calibri" w:hAnsi="Calibri" w:cs="Calibri"/>
          <w:sz w:val="20"/>
          <w:szCs w:val="20"/>
        </w:rPr>
        <w:t xml:space="preserve">. </w:t>
      </w:r>
      <w:r w:rsidR="00415D0F" w:rsidRPr="00355F69">
        <w:rPr>
          <w:rFonts w:ascii="Calibri" w:hAnsi="Calibri" w:cs="Calibri"/>
          <w:sz w:val="20"/>
          <w:szCs w:val="20"/>
        </w:rPr>
        <w:t>T</w:t>
      </w:r>
      <w:r w:rsidR="00C45E71" w:rsidRPr="00355F69">
        <w:rPr>
          <w:rFonts w:ascii="Calibri" w:hAnsi="Calibri" w:cs="Calibri"/>
          <w:sz w:val="20"/>
          <w:szCs w:val="20"/>
        </w:rPr>
        <w:t>odo lo anterior</w:t>
      </w:r>
      <w:r w:rsidRPr="00355F69">
        <w:rPr>
          <w:rFonts w:ascii="Calibri" w:hAnsi="Calibri" w:cs="Calibri"/>
          <w:sz w:val="20"/>
          <w:szCs w:val="20"/>
        </w:rPr>
        <w:t xml:space="preserve"> busca</w:t>
      </w:r>
      <w:r w:rsidR="00415D0F" w:rsidRPr="00355F69">
        <w:rPr>
          <w:rFonts w:ascii="Calibri" w:hAnsi="Calibri" w:cs="Calibri"/>
          <w:sz w:val="20"/>
          <w:szCs w:val="20"/>
        </w:rPr>
        <w:t xml:space="preserve"> darle un nuevo valor a</w:t>
      </w:r>
      <w:r w:rsidRPr="00355F69">
        <w:rPr>
          <w:rFonts w:ascii="Calibri" w:hAnsi="Calibri" w:cs="Calibri"/>
          <w:sz w:val="20"/>
          <w:szCs w:val="20"/>
        </w:rPr>
        <w:t xml:space="preserve"> la educación técnica</w:t>
      </w:r>
      <w:r w:rsidR="00415D0F" w:rsidRPr="00355F69">
        <w:rPr>
          <w:rFonts w:ascii="Calibri" w:hAnsi="Calibri" w:cs="Calibri"/>
          <w:sz w:val="20"/>
          <w:szCs w:val="20"/>
        </w:rPr>
        <w:t xml:space="preserve"> chilena</w:t>
      </w:r>
      <w:r w:rsidRPr="00355F69">
        <w:rPr>
          <w:rFonts w:ascii="Calibri" w:hAnsi="Calibri" w:cs="Calibri"/>
          <w:sz w:val="20"/>
          <w:szCs w:val="20"/>
        </w:rPr>
        <w:t>. La alianza fue firmada por el Rector de la Univer</w:t>
      </w:r>
      <w:r w:rsidR="00541A23" w:rsidRPr="00355F69">
        <w:rPr>
          <w:rFonts w:ascii="Calibri" w:hAnsi="Calibri" w:cs="Calibri"/>
          <w:sz w:val="20"/>
          <w:szCs w:val="20"/>
        </w:rPr>
        <w:t>sidad Católica, Ignacio Sánchez;</w:t>
      </w:r>
      <w:r w:rsidRPr="00355F69">
        <w:rPr>
          <w:rFonts w:ascii="Calibri" w:hAnsi="Calibri" w:cs="Calibri"/>
          <w:sz w:val="20"/>
          <w:szCs w:val="20"/>
        </w:rPr>
        <w:t xml:space="preserve"> el presiden</w:t>
      </w:r>
      <w:r w:rsidR="00541A23" w:rsidRPr="00355F69">
        <w:rPr>
          <w:rFonts w:ascii="Calibri" w:hAnsi="Calibri" w:cs="Calibri"/>
          <w:sz w:val="20"/>
          <w:szCs w:val="20"/>
        </w:rPr>
        <w:t>te de la CPC, Alberto Salas;</w:t>
      </w:r>
      <w:r w:rsidRPr="00355F69">
        <w:rPr>
          <w:rFonts w:ascii="Calibri" w:hAnsi="Calibri" w:cs="Calibri"/>
          <w:sz w:val="20"/>
          <w:szCs w:val="20"/>
        </w:rPr>
        <w:t xml:space="preserve"> el rector de </w:t>
      </w:r>
      <w:proofErr w:type="spellStart"/>
      <w:r w:rsidRPr="00355F69">
        <w:rPr>
          <w:rFonts w:ascii="Calibri" w:hAnsi="Calibri" w:cs="Calibri"/>
          <w:sz w:val="20"/>
          <w:szCs w:val="20"/>
        </w:rPr>
        <w:t>Duoc</w:t>
      </w:r>
      <w:proofErr w:type="spellEnd"/>
      <w:r w:rsidR="00541A23" w:rsidRPr="00355F69">
        <w:rPr>
          <w:rFonts w:ascii="Calibri" w:hAnsi="Calibri" w:cs="Calibri"/>
          <w:sz w:val="20"/>
          <w:szCs w:val="20"/>
        </w:rPr>
        <w:t xml:space="preserve"> UC, Ricardo Paredes;</w:t>
      </w:r>
      <w:r w:rsidRPr="00355F69">
        <w:rPr>
          <w:rFonts w:ascii="Calibri" w:hAnsi="Calibri" w:cs="Calibri"/>
          <w:sz w:val="20"/>
          <w:szCs w:val="20"/>
        </w:rPr>
        <w:t xml:space="preserve"> y el re</w:t>
      </w:r>
      <w:r w:rsidR="00541A23" w:rsidRPr="00355F69">
        <w:rPr>
          <w:rFonts w:ascii="Calibri" w:hAnsi="Calibri" w:cs="Calibri"/>
          <w:sz w:val="20"/>
          <w:szCs w:val="20"/>
        </w:rPr>
        <w:t>ctor de Inacap, Gonzalo Vargas.</w:t>
      </w:r>
    </w:p>
    <w:p w14:paraId="42DE9988" w14:textId="77777777" w:rsidR="009448DB" w:rsidRPr="00355F69" w:rsidRDefault="009448DB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4B9018EE" w14:textId="60CE18A6" w:rsidR="001A3EFA" w:rsidRPr="00355F69" w:rsidRDefault="009448DB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  <w:r w:rsidRPr="00355F69">
        <w:rPr>
          <w:rFonts w:ascii="Calibri" w:hAnsi="Calibri" w:cs="Calibri"/>
          <w:sz w:val="20"/>
          <w:szCs w:val="20"/>
        </w:rPr>
        <w:t>El foco del proyecto está puesto en el aumento de la productividad del país</w:t>
      </w:r>
      <w:r w:rsidR="00415D0F" w:rsidRPr="00355F69">
        <w:rPr>
          <w:rFonts w:ascii="Calibri" w:hAnsi="Calibri" w:cs="Calibri"/>
          <w:sz w:val="20"/>
          <w:szCs w:val="20"/>
        </w:rPr>
        <w:t>,</w:t>
      </w:r>
      <w:r w:rsidRPr="00355F69">
        <w:rPr>
          <w:rFonts w:ascii="Calibri" w:hAnsi="Calibri" w:cs="Calibri"/>
          <w:sz w:val="20"/>
          <w:szCs w:val="20"/>
        </w:rPr>
        <w:t xml:space="preserve"> a través del </w:t>
      </w:r>
      <w:r w:rsidR="001A3EFA" w:rsidRPr="00355F69">
        <w:rPr>
          <w:rFonts w:ascii="Calibri" w:hAnsi="Calibri" w:cs="Calibri"/>
          <w:sz w:val="20"/>
          <w:szCs w:val="20"/>
        </w:rPr>
        <w:t>desarrollo de</w:t>
      </w:r>
      <w:r w:rsidRPr="00355F69">
        <w:rPr>
          <w:rFonts w:ascii="Calibri" w:hAnsi="Calibri" w:cs="Calibri"/>
          <w:sz w:val="20"/>
          <w:szCs w:val="20"/>
        </w:rPr>
        <w:t xml:space="preserve"> competencias de capital humano</w:t>
      </w:r>
      <w:r w:rsidR="00BB0A75" w:rsidRPr="00355F69">
        <w:rPr>
          <w:rFonts w:ascii="Calibri" w:hAnsi="Calibri" w:cs="Calibri"/>
          <w:sz w:val="20"/>
          <w:szCs w:val="20"/>
        </w:rPr>
        <w:t>, la educación</w:t>
      </w:r>
      <w:r w:rsidR="00415D0F" w:rsidRPr="00355F69">
        <w:rPr>
          <w:rFonts w:ascii="Calibri" w:hAnsi="Calibri" w:cs="Calibri"/>
          <w:sz w:val="20"/>
          <w:szCs w:val="20"/>
        </w:rPr>
        <w:t xml:space="preserve"> y la formación continua</w:t>
      </w:r>
      <w:r w:rsidRPr="00355F69">
        <w:rPr>
          <w:rFonts w:ascii="Calibri" w:hAnsi="Calibri" w:cs="Calibri"/>
          <w:sz w:val="20"/>
          <w:szCs w:val="20"/>
        </w:rPr>
        <w:t xml:space="preserve">, </w:t>
      </w:r>
      <w:r w:rsidR="00415D0F" w:rsidRPr="00355F69">
        <w:rPr>
          <w:rFonts w:ascii="Calibri" w:hAnsi="Calibri" w:cs="Calibri"/>
          <w:sz w:val="20"/>
          <w:szCs w:val="20"/>
        </w:rPr>
        <w:t>como</w:t>
      </w:r>
      <w:r w:rsidR="001A3EFA" w:rsidRPr="00355F69">
        <w:rPr>
          <w:rFonts w:ascii="Calibri" w:hAnsi="Calibri" w:cs="Calibri"/>
          <w:sz w:val="20"/>
          <w:szCs w:val="20"/>
        </w:rPr>
        <w:t xml:space="preserve"> las principales herramientas con que cuentan las personas para tener más oportunidades, obtener mejores empleos, </w:t>
      </w:r>
      <w:r w:rsidR="00415D0F" w:rsidRPr="00355F69">
        <w:rPr>
          <w:rFonts w:ascii="Calibri" w:hAnsi="Calibri" w:cs="Calibri"/>
          <w:sz w:val="20"/>
          <w:szCs w:val="20"/>
        </w:rPr>
        <w:t xml:space="preserve">aspirar a </w:t>
      </w:r>
      <w:r w:rsidR="001A3EFA" w:rsidRPr="00355F69">
        <w:rPr>
          <w:rFonts w:ascii="Calibri" w:hAnsi="Calibri" w:cs="Calibri"/>
          <w:sz w:val="20"/>
          <w:szCs w:val="20"/>
        </w:rPr>
        <w:t>mayores salarios y lo</w:t>
      </w:r>
      <w:r w:rsidRPr="00355F69">
        <w:rPr>
          <w:rFonts w:ascii="Calibri" w:hAnsi="Calibri" w:cs="Calibri"/>
          <w:sz w:val="20"/>
          <w:szCs w:val="20"/>
        </w:rPr>
        <w:t xml:space="preserve">grar su realización profesional. </w:t>
      </w:r>
    </w:p>
    <w:p w14:paraId="5D947224" w14:textId="22EBC71E" w:rsidR="0029708F" w:rsidRPr="00355F69" w:rsidRDefault="0029708F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73BF5E52" w14:textId="0F9261E8" w:rsidR="0029708F" w:rsidRPr="00355F69" w:rsidRDefault="0029708F" w:rsidP="00A737BE">
      <w:pPr>
        <w:pStyle w:val="Sinespaciado"/>
        <w:jc w:val="both"/>
        <w:rPr>
          <w:rFonts w:ascii="Calibri" w:hAnsi="Calibri" w:cs="Calibri"/>
          <w:sz w:val="20"/>
          <w:szCs w:val="20"/>
          <w:lang w:val="es-CL"/>
        </w:rPr>
      </w:pPr>
      <w:r w:rsidRPr="00355F69">
        <w:rPr>
          <w:rFonts w:ascii="Calibri" w:hAnsi="Calibri" w:cs="Calibri"/>
          <w:sz w:val="20"/>
          <w:szCs w:val="20"/>
          <w:lang w:val="es-CL"/>
        </w:rPr>
        <w:t>Actualmente, en Chile hay 165 mil estudiantes en la educación media técnico profesional (EMTP), que corresponden al 40% de la matrícula, y 185 mil estudiantes están cursando primer año de educación superior técnico profesional (ESTP), evolución que viene mostrando una tasa de crecimiento promedio del 6% en los últimos 10 años.</w:t>
      </w:r>
    </w:p>
    <w:p w14:paraId="4E533A53" w14:textId="77777777" w:rsidR="001A3EFA" w:rsidRPr="00355F69" w:rsidRDefault="001A3EFA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6E1991D7" w14:textId="04114CA7" w:rsidR="0029708F" w:rsidRPr="00355F69" w:rsidRDefault="00BB0A75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  <w:r w:rsidRPr="00355F69">
        <w:rPr>
          <w:rFonts w:ascii="Calibri" w:hAnsi="Calibri" w:cs="Calibri"/>
          <w:sz w:val="20"/>
          <w:szCs w:val="20"/>
        </w:rPr>
        <w:t xml:space="preserve">Aunque nuestro país ha tenido importantes avances en las últimas décadas, la productividad laboral tiene grandes desafíos pendientes en materia de formación técnica de jóvenes para acercarse a los índices de países con ingresos per </w:t>
      </w:r>
      <w:r w:rsidR="0029708F" w:rsidRPr="00355F69">
        <w:rPr>
          <w:rFonts w:ascii="Calibri" w:hAnsi="Calibri" w:cs="Calibri"/>
          <w:sz w:val="20"/>
          <w:szCs w:val="20"/>
        </w:rPr>
        <w:t>cápita similares al de Chile, como Portugal, Estonia o Grecia.</w:t>
      </w:r>
      <w:r w:rsidRPr="00355F69">
        <w:rPr>
          <w:rFonts w:ascii="Calibri" w:hAnsi="Calibri" w:cs="Calibri"/>
          <w:sz w:val="20"/>
          <w:szCs w:val="20"/>
        </w:rPr>
        <w:t xml:space="preserve">  </w:t>
      </w:r>
    </w:p>
    <w:p w14:paraId="32ADD12C" w14:textId="77777777" w:rsidR="0029708F" w:rsidRPr="00355F69" w:rsidRDefault="0029708F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6328C74C" w14:textId="6AD8AA5A" w:rsidR="00513688" w:rsidRPr="00355F69" w:rsidRDefault="0029708F" w:rsidP="00A737BE">
      <w:pPr>
        <w:pStyle w:val="Sinespaciado"/>
        <w:jc w:val="both"/>
        <w:rPr>
          <w:rFonts w:ascii="Calibri" w:hAnsi="Calibri" w:cs="Calibri"/>
          <w:sz w:val="20"/>
          <w:szCs w:val="20"/>
          <w:lang w:val="es-CL"/>
        </w:rPr>
      </w:pPr>
      <w:r w:rsidRPr="00355F69">
        <w:rPr>
          <w:rFonts w:ascii="Calibri" w:hAnsi="Calibri" w:cs="Calibri"/>
          <w:sz w:val="20"/>
          <w:szCs w:val="20"/>
          <w:lang w:val="es-CL"/>
        </w:rPr>
        <w:t xml:space="preserve">La CPC y sus ramas tienen una larga trayectoria de esfuerzos en educación y formación para el trabajo: la administración de establecimientos educacionales (liceos, INACAP, Instituto Bancario, el CFT </w:t>
      </w:r>
      <w:proofErr w:type="spellStart"/>
      <w:r w:rsidRPr="00355F69">
        <w:rPr>
          <w:rFonts w:ascii="Calibri" w:hAnsi="Calibri" w:cs="Calibri"/>
          <w:sz w:val="20"/>
          <w:szCs w:val="20"/>
          <w:lang w:val="es-CL"/>
        </w:rPr>
        <w:t>ProAndes</w:t>
      </w:r>
      <w:proofErr w:type="spellEnd"/>
      <w:r w:rsidRPr="00355F69">
        <w:rPr>
          <w:rFonts w:ascii="Calibri" w:hAnsi="Calibri" w:cs="Calibri"/>
          <w:sz w:val="20"/>
          <w:szCs w:val="20"/>
          <w:lang w:val="es-CL"/>
        </w:rPr>
        <w:t>, etc.) y un activo rol en la capacitación y certificación laboral. Por esta razón, en la CPC se creó una Comisión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 de</w:t>
      </w:r>
      <w:r w:rsidRPr="00355F69">
        <w:rPr>
          <w:rFonts w:ascii="Calibri" w:hAnsi="Calibri" w:cs="Calibri"/>
          <w:sz w:val="20"/>
          <w:szCs w:val="20"/>
          <w:lang w:val="es-CL"/>
        </w:rPr>
        <w:t xml:space="preserve"> Productividad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, </w:t>
      </w:r>
      <w:r w:rsidR="00513688" w:rsidRPr="00355F69">
        <w:rPr>
          <w:rFonts w:ascii="Calibri" w:hAnsi="Calibri" w:cs="Calibri"/>
          <w:sz w:val="20"/>
          <w:szCs w:val="20"/>
        </w:rPr>
        <w:t xml:space="preserve">que abordó el capital humano en una </w:t>
      </w:r>
      <w:r w:rsidR="00513688" w:rsidRPr="00355F69">
        <w:rPr>
          <w:rFonts w:ascii="Calibri" w:hAnsi="Calibri" w:cs="Calibri"/>
          <w:sz w:val="20"/>
          <w:szCs w:val="20"/>
        </w:rPr>
        <w:lastRenderedPageBreak/>
        <w:t>mesa técnica</w:t>
      </w:r>
      <w:r w:rsidRPr="00355F69">
        <w:rPr>
          <w:rFonts w:ascii="Calibri" w:hAnsi="Calibri" w:cs="Calibri"/>
          <w:sz w:val="20"/>
          <w:szCs w:val="20"/>
          <w:lang w:val="es-CL"/>
        </w:rPr>
        <w:t xml:space="preserve"> 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en la </w:t>
      </w:r>
      <w:r w:rsidRPr="00355F69">
        <w:rPr>
          <w:rFonts w:ascii="Calibri" w:hAnsi="Calibri" w:cs="Calibri"/>
          <w:sz w:val="20"/>
          <w:szCs w:val="20"/>
          <w:lang w:val="es-CL"/>
        </w:rPr>
        <w:t>que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 se identificaron</w:t>
      </w:r>
      <w:r w:rsidRPr="00355F69">
        <w:rPr>
          <w:rFonts w:ascii="Calibri" w:hAnsi="Calibri" w:cs="Calibri"/>
          <w:sz w:val="20"/>
          <w:szCs w:val="20"/>
          <w:lang w:val="es-CL"/>
        </w:rPr>
        <w:t xml:space="preserve"> los principales desafíos pendientes en materia de forma</w:t>
      </w:r>
      <w:r w:rsidR="00541A23" w:rsidRPr="00355F69">
        <w:rPr>
          <w:rFonts w:ascii="Calibri" w:hAnsi="Calibri" w:cs="Calibri"/>
          <w:sz w:val="20"/>
          <w:szCs w:val="20"/>
          <w:lang w:val="es-CL"/>
        </w:rPr>
        <w:t>ción de j</w:t>
      </w:r>
      <w:r w:rsidR="00A737BE">
        <w:rPr>
          <w:rFonts w:ascii="Calibri" w:hAnsi="Calibri" w:cs="Calibri"/>
          <w:sz w:val="20"/>
          <w:szCs w:val="20"/>
          <w:lang w:val="es-CL"/>
        </w:rPr>
        <w:t xml:space="preserve">óvenes </w:t>
      </w:r>
      <w:r w:rsidR="004D29AC">
        <w:rPr>
          <w:rFonts w:ascii="Calibri" w:hAnsi="Calibri" w:cs="Calibri"/>
          <w:sz w:val="20"/>
          <w:szCs w:val="20"/>
          <w:lang w:val="es-CL"/>
        </w:rPr>
        <w:t>–</w:t>
      </w:r>
      <w:r w:rsidRPr="00355F69">
        <w:rPr>
          <w:rFonts w:ascii="Calibri" w:hAnsi="Calibri" w:cs="Calibri"/>
          <w:sz w:val="20"/>
          <w:szCs w:val="20"/>
          <w:lang w:val="es-CL"/>
        </w:rPr>
        <w:t>especialmente en educación técnico profesional</w:t>
      </w:r>
      <w:r w:rsidR="004D29AC">
        <w:rPr>
          <w:rFonts w:ascii="Calibri" w:hAnsi="Calibri" w:cs="Calibri"/>
          <w:sz w:val="20"/>
          <w:szCs w:val="20"/>
          <w:lang w:val="es-CL"/>
        </w:rPr>
        <w:t>–</w:t>
      </w:r>
      <w:r w:rsidRPr="00355F69">
        <w:rPr>
          <w:rFonts w:ascii="Calibri" w:hAnsi="Calibri" w:cs="Calibri"/>
          <w:sz w:val="20"/>
          <w:szCs w:val="20"/>
          <w:lang w:val="es-CL"/>
        </w:rPr>
        <w:t xml:space="preserve"> y capacitación laboral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. Una de las conclusiones de ese trabajo fue </w:t>
      </w:r>
      <w:r w:rsidRPr="00355F69">
        <w:rPr>
          <w:rFonts w:ascii="Calibri" w:hAnsi="Calibri" w:cs="Calibri"/>
          <w:sz w:val="20"/>
          <w:szCs w:val="20"/>
          <w:lang w:val="es-CL"/>
        </w:rPr>
        <w:t>que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>, para contar con un</w:t>
      </w:r>
      <w:r w:rsidRPr="00355F69">
        <w:rPr>
          <w:rFonts w:ascii="Calibri" w:hAnsi="Calibri" w:cs="Calibri"/>
          <w:sz w:val="20"/>
          <w:szCs w:val="20"/>
          <w:lang w:val="es-CL"/>
        </w:rPr>
        <w:t xml:space="preserve"> proceso de formación y capacitación verdaderamente fructífero, debe existir información oportuna y pertinente, disponible tanto para los jóvenes que eligen su formación, como para las empresas que demandan recursos humanos calificados.</w:t>
      </w:r>
      <w:r w:rsidR="00513688" w:rsidRPr="00355F69">
        <w:rPr>
          <w:rFonts w:ascii="Calibri" w:hAnsi="Calibri" w:cs="Calibri"/>
          <w:sz w:val="20"/>
          <w:szCs w:val="20"/>
          <w:lang w:val="es-CL"/>
        </w:rPr>
        <w:t xml:space="preserve"> </w:t>
      </w:r>
      <w:r w:rsidR="00513688" w:rsidRPr="00355F69">
        <w:rPr>
          <w:rFonts w:ascii="Calibri" w:hAnsi="Calibri" w:cs="Calibri"/>
          <w:sz w:val="20"/>
          <w:szCs w:val="20"/>
        </w:rPr>
        <w:t xml:space="preserve">El Presidente de </w:t>
      </w:r>
      <w:r w:rsidR="00541A23" w:rsidRPr="00355F69">
        <w:rPr>
          <w:rFonts w:ascii="Calibri" w:hAnsi="Calibri" w:cs="Calibri"/>
          <w:sz w:val="20"/>
          <w:szCs w:val="20"/>
        </w:rPr>
        <w:t>la CPC, Alberto Salas, señaló que “c</w:t>
      </w:r>
      <w:r w:rsidR="00513688" w:rsidRPr="00355F69">
        <w:rPr>
          <w:rFonts w:ascii="Calibri" w:hAnsi="Calibri" w:cs="Calibri"/>
          <w:sz w:val="20"/>
          <w:szCs w:val="20"/>
        </w:rPr>
        <w:t>onscientes de la necesidad urgente de mejorar la productividad de nuestro país, para que recuperemos el crecimiento, la alta inversión y el progreso, en la CPC estamos comprometidos por dar un impulso a todas las iniciativas que apunten a mejorar nuestro capital humano y, con ello, disminuir las brechas que dificultan una verdadera formación de los jóvenes para el trabajo".</w:t>
      </w:r>
    </w:p>
    <w:p w14:paraId="3A258746" w14:textId="5EA7B71D" w:rsidR="0029708F" w:rsidRPr="00355F69" w:rsidRDefault="0029708F" w:rsidP="00A737BE">
      <w:pPr>
        <w:pStyle w:val="Sinespaciado"/>
        <w:jc w:val="both"/>
        <w:rPr>
          <w:rFonts w:ascii="Calibri" w:hAnsi="Calibri" w:cs="Calibri"/>
          <w:sz w:val="20"/>
          <w:szCs w:val="20"/>
          <w:lang w:val="es-CL"/>
        </w:rPr>
      </w:pPr>
    </w:p>
    <w:p w14:paraId="2A609EAC" w14:textId="74210466" w:rsidR="00F9749B" w:rsidRPr="00355F69" w:rsidRDefault="00513688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  <w:r w:rsidRPr="00355F69">
        <w:rPr>
          <w:rFonts w:ascii="Calibri" w:hAnsi="Calibri" w:cs="Calibri"/>
          <w:sz w:val="20"/>
          <w:szCs w:val="20"/>
        </w:rPr>
        <w:t>Por su parte, l</w:t>
      </w:r>
      <w:r w:rsidR="00F9749B" w:rsidRPr="00355F69">
        <w:rPr>
          <w:rFonts w:ascii="Calibri" w:hAnsi="Calibri" w:cs="Calibri"/>
          <w:sz w:val="20"/>
          <w:szCs w:val="20"/>
        </w:rPr>
        <w:t>a Pontificia Universidad Católica de Chile ha desarrollado</w:t>
      </w:r>
      <w:r w:rsidR="00385666" w:rsidRPr="00355F69">
        <w:rPr>
          <w:rFonts w:ascii="Calibri" w:hAnsi="Calibri" w:cs="Calibri"/>
          <w:sz w:val="20"/>
          <w:szCs w:val="20"/>
        </w:rPr>
        <w:t xml:space="preserve"> desde 2015</w:t>
      </w:r>
      <w:r w:rsidR="00F9749B" w:rsidRPr="00355F69">
        <w:rPr>
          <w:rFonts w:ascii="Calibri" w:hAnsi="Calibri" w:cs="Calibri"/>
          <w:sz w:val="20"/>
          <w:szCs w:val="20"/>
        </w:rPr>
        <w:t xml:space="preserve"> una propuesta de trabajo para </w:t>
      </w:r>
      <w:r w:rsidR="00856D32" w:rsidRPr="00355F69">
        <w:rPr>
          <w:rFonts w:ascii="Calibri" w:hAnsi="Calibri" w:cs="Calibri"/>
          <w:sz w:val="20"/>
          <w:szCs w:val="20"/>
        </w:rPr>
        <w:t>fortalecer</w:t>
      </w:r>
      <w:r w:rsidR="00F9749B" w:rsidRPr="00355F69">
        <w:rPr>
          <w:rFonts w:ascii="Calibri" w:hAnsi="Calibri" w:cs="Calibri"/>
          <w:sz w:val="20"/>
          <w:szCs w:val="20"/>
        </w:rPr>
        <w:t xml:space="preserve"> la educación técnico profesional</w:t>
      </w:r>
      <w:r w:rsidR="00385666" w:rsidRPr="00355F69">
        <w:rPr>
          <w:rFonts w:ascii="Calibri" w:hAnsi="Calibri" w:cs="Calibri"/>
          <w:sz w:val="20"/>
          <w:szCs w:val="20"/>
        </w:rPr>
        <w:t>.</w:t>
      </w:r>
      <w:r w:rsidR="00F9749B" w:rsidRPr="00355F69">
        <w:rPr>
          <w:rFonts w:ascii="Calibri" w:hAnsi="Calibri" w:cs="Calibri"/>
          <w:sz w:val="20"/>
          <w:szCs w:val="20"/>
        </w:rPr>
        <w:t xml:space="preserve"> </w:t>
      </w:r>
      <w:r w:rsidR="00385666" w:rsidRPr="00355F69">
        <w:rPr>
          <w:rFonts w:ascii="Calibri" w:hAnsi="Calibri" w:cs="Calibri"/>
          <w:sz w:val="20"/>
          <w:szCs w:val="20"/>
        </w:rPr>
        <w:t>E</w:t>
      </w:r>
      <w:r w:rsidR="009448DB" w:rsidRPr="00355F69">
        <w:rPr>
          <w:rFonts w:ascii="Calibri" w:hAnsi="Calibri" w:cs="Calibri"/>
          <w:sz w:val="20"/>
          <w:szCs w:val="20"/>
        </w:rPr>
        <w:t xml:space="preserve">n su </w:t>
      </w:r>
      <w:r w:rsidR="00F9749B" w:rsidRPr="00355F69">
        <w:rPr>
          <w:rFonts w:ascii="Calibri" w:hAnsi="Calibri" w:cs="Calibri"/>
          <w:sz w:val="20"/>
          <w:szCs w:val="20"/>
        </w:rPr>
        <w:t>diagnóstico sobre las di</w:t>
      </w:r>
      <w:r w:rsidR="00385666" w:rsidRPr="00355F69">
        <w:rPr>
          <w:rFonts w:ascii="Calibri" w:hAnsi="Calibri" w:cs="Calibri"/>
          <w:sz w:val="20"/>
          <w:szCs w:val="20"/>
        </w:rPr>
        <w:t>ficultades en su funcionamiento</w:t>
      </w:r>
      <w:r w:rsidRPr="00355F69">
        <w:rPr>
          <w:rFonts w:ascii="Calibri" w:hAnsi="Calibri" w:cs="Calibri"/>
          <w:sz w:val="20"/>
          <w:szCs w:val="20"/>
        </w:rPr>
        <w:t>,</w:t>
      </w:r>
      <w:r w:rsidR="00F9749B" w:rsidRPr="00355F69">
        <w:rPr>
          <w:rFonts w:ascii="Calibri" w:hAnsi="Calibri" w:cs="Calibri"/>
          <w:sz w:val="20"/>
          <w:szCs w:val="20"/>
        </w:rPr>
        <w:t xml:space="preserve"> </w:t>
      </w:r>
      <w:r w:rsidR="00856D32" w:rsidRPr="00355F69">
        <w:rPr>
          <w:rFonts w:ascii="Calibri" w:hAnsi="Calibri" w:cs="Calibri"/>
          <w:sz w:val="20"/>
          <w:szCs w:val="20"/>
        </w:rPr>
        <w:t xml:space="preserve">se encontró </w:t>
      </w:r>
      <w:r w:rsidR="00F9749B" w:rsidRPr="00355F69">
        <w:rPr>
          <w:rFonts w:ascii="Calibri" w:hAnsi="Calibri" w:cs="Calibri"/>
          <w:sz w:val="20"/>
          <w:szCs w:val="20"/>
        </w:rPr>
        <w:t>la concentración de especialidades que no se corresponden con las de</w:t>
      </w:r>
      <w:r w:rsidR="00385666" w:rsidRPr="00355F69">
        <w:rPr>
          <w:rFonts w:ascii="Calibri" w:hAnsi="Calibri" w:cs="Calibri"/>
          <w:sz w:val="20"/>
          <w:szCs w:val="20"/>
        </w:rPr>
        <w:t>mandas regionales o sectoriales</w:t>
      </w:r>
      <w:r w:rsidR="00F9749B" w:rsidRPr="00355F69">
        <w:rPr>
          <w:rFonts w:ascii="Calibri" w:hAnsi="Calibri" w:cs="Calibri"/>
          <w:sz w:val="20"/>
          <w:szCs w:val="20"/>
        </w:rPr>
        <w:t xml:space="preserve">, </w:t>
      </w:r>
      <w:r w:rsidR="009448DB" w:rsidRPr="00355F69">
        <w:rPr>
          <w:rFonts w:ascii="Calibri" w:hAnsi="Calibri" w:cs="Calibri"/>
          <w:sz w:val="20"/>
          <w:szCs w:val="20"/>
        </w:rPr>
        <w:t xml:space="preserve">la </w:t>
      </w:r>
      <w:r w:rsidR="00F9749B" w:rsidRPr="00355F69">
        <w:rPr>
          <w:rFonts w:ascii="Calibri" w:hAnsi="Calibri" w:cs="Calibri"/>
          <w:sz w:val="20"/>
          <w:szCs w:val="20"/>
        </w:rPr>
        <w:t>baja cobertura de la “Educación Dual” (14,2% promedio)</w:t>
      </w:r>
      <w:r w:rsidR="006F0FBE" w:rsidRPr="00355F69">
        <w:rPr>
          <w:rFonts w:ascii="Calibri" w:hAnsi="Calibri" w:cs="Calibri"/>
          <w:sz w:val="20"/>
          <w:szCs w:val="20"/>
        </w:rPr>
        <w:t xml:space="preserve"> en la educación media</w:t>
      </w:r>
      <w:r w:rsidR="00F9749B" w:rsidRPr="00355F69">
        <w:rPr>
          <w:rFonts w:ascii="Calibri" w:hAnsi="Calibri" w:cs="Calibri"/>
          <w:sz w:val="20"/>
          <w:szCs w:val="20"/>
        </w:rPr>
        <w:t xml:space="preserve"> y preocupantes tasas de titulación </w:t>
      </w:r>
      <w:r w:rsidR="009448DB" w:rsidRPr="00355F69">
        <w:rPr>
          <w:rFonts w:ascii="Calibri" w:hAnsi="Calibri" w:cs="Calibri"/>
          <w:sz w:val="20"/>
          <w:szCs w:val="20"/>
        </w:rPr>
        <w:t>relacionadas</w:t>
      </w:r>
      <w:r w:rsidR="00F9749B" w:rsidRPr="00355F69">
        <w:rPr>
          <w:rFonts w:ascii="Calibri" w:hAnsi="Calibri" w:cs="Calibri"/>
          <w:sz w:val="20"/>
          <w:szCs w:val="20"/>
        </w:rPr>
        <w:t xml:space="preserve"> con la dificultad de encontrar espacios para realizar l</w:t>
      </w:r>
      <w:r w:rsidR="00856D32" w:rsidRPr="00355F69">
        <w:rPr>
          <w:rFonts w:ascii="Calibri" w:hAnsi="Calibri" w:cs="Calibri"/>
          <w:sz w:val="20"/>
          <w:szCs w:val="20"/>
        </w:rPr>
        <w:t>a práctica: s</w:t>
      </w:r>
      <w:r w:rsidR="00F9749B" w:rsidRPr="00355F69">
        <w:rPr>
          <w:rFonts w:ascii="Calibri" w:hAnsi="Calibri" w:cs="Calibri"/>
          <w:sz w:val="20"/>
          <w:szCs w:val="20"/>
        </w:rPr>
        <w:t xml:space="preserve">ólo el 60% de los estudiantes </w:t>
      </w:r>
      <w:r w:rsidR="006F0FBE" w:rsidRPr="00355F69">
        <w:rPr>
          <w:rFonts w:ascii="Calibri" w:hAnsi="Calibri" w:cs="Calibri"/>
          <w:sz w:val="20"/>
          <w:szCs w:val="20"/>
        </w:rPr>
        <w:t xml:space="preserve">de liceos técnicos </w:t>
      </w:r>
      <w:r w:rsidR="009448DB" w:rsidRPr="00355F69">
        <w:rPr>
          <w:rFonts w:ascii="Calibri" w:hAnsi="Calibri" w:cs="Calibri"/>
          <w:sz w:val="20"/>
          <w:szCs w:val="20"/>
        </w:rPr>
        <w:t>hace</w:t>
      </w:r>
      <w:r w:rsidR="006F0FBE" w:rsidRPr="00355F69">
        <w:rPr>
          <w:rFonts w:ascii="Calibri" w:hAnsi="Calibri" w:cs="Calibri"/>
          <w:sz w:val="20"/>
          <w:szCs w:val="20"/>
        </w:rPr>
        <w:t xml:space="preserve"> la práctica</w:t>
      </w:r>
      <w:r w:rsidR="00F9749B" w:rsidRPr="00355F69">
        <w:rPr>
          <w:rFonts w:ascii="Calibri" w:hAnsi="Calibri" w:cs="Calibri"/>
          <w:sz w:val="20"/>
          <w:szCs w:val="20"/>
        </w:rPr>
        <w:t xml:space="preserve"> </w:t>
      </w:r>
      <w:r w:rsidR="00856D32" w:rsidRPr="00355F69">
        <w:rPr>
          <w:rFonts w:ascii="Calibri" w:hAnsi="Calibri" w:cs="Calibri"/>
          <w:sz w:val="20"/>
          <w:szCs w:val="20"/>
        </w:rPr>
        <w:t xml:space="preserve">el año siguiente </w:t>
      </w:r>
      <w:r w:rsidR="00F9749B" w:rsidRPr="00355F69">
        <w:rPr>
          <w:rFonts w:ascii="Calibri" w:hAnsi="Calibri" w:cs="Calibri"/>
          <w:sz w:val="20"/>
          <w:szCs w:val="20"/>
        </w:rPr>
        <w:t xml:space="preserve">de </w:t>
      </w:r>
      <w:r w:rsidR="00856D32" w:rsidRPr="00355F69">
        <w:rPr>
          <w:rFonts w:ascii="Calibri" w:hAnsi="Calibri" w:cs="Calibri"/>
          <w:sz w:val="20"/>
          <w:szCs w:val="20"/>
        </w:rPr>
        <w:t xml:space="preserve">su </w:t>
      </w:r>
      <w:r w:rsidR="00F9749B" w:rsidRPr="00355F69">
        <w:rPr>
          <w:rFonts w:ascii="Calibri" w:hAnsi="Calibri" w:cs="Calibri"/>
          <w:sz w:val="20"/>
          <w:szCs w:val="20"/>
        </w:rPr>
        <w:t xml:space="preserve">egreso. </w:t>
      </w:r>
    </w:p>
    <w:p w14:paraId="03F711E7" w14:textId="77777777" w:rsidR="00541A23" w:rsidRPr="00355F69" w:rsidRDefault="00541A23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0BA511F6" w14:textId="167D0932" w:rsidR="009F5053" w:rsidRPr="00170C3E" w:rsidRDefault="009F5053" w:rsidP="009F5053">
      <w:pPr>
        <w:jc w:val="both"/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</w:pPr>
      <w:r w:rsidRPr="009F5053">
        <w:rPr>
          <w:rFonts w:ascii="Calibri" w:hAnsi="Calibri" w:cs="Calibri"/>
          <w:sz w:val="20"/>
          <w:szCs w:val="20"/>
          <w:lang w:val="es-CL"/>
        </w:rPr>
        <w:t>El Rector de la Universidad Católica, Ignacio Sánchez,</w:t>
      </w:r>
      <w:r w:rsidRP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</w:t>
      </w: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enfatizó la importancia de la educación técnico profesional: “Creo que nosotros tenemos el mandato de hacer todos los esfuerzos para que la calidad de estos proyectos educativos permitan igualdad de oportunidades a estos miles de estudiantes”</w:t>
      </w:r>
      <w:r w:rsidR="00A019D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.</w:t>
      </w:r>
    </w:p>
    <w:p w14:paraId="32CDB208" w14:textId="77777777" w:rsidR="00541A23" w:rsidRPr="00355F69" w:rsidRDefault="00541A23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635C1870" w14:textId="4A34A573" w:rsidR="00705E95" w:rsidRDefault="008B4E1D" w:rsidP="00A737BE">
      <w:pPr>
        <w:jc w:val="both"/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</w:pPr>
      <w:r w:rsidRPr="00A54ABF">
        <w:rPr>
          <w:rFonts w:ascii="Calibri" w:hAnsi="Calibri" w:cs="Calibri"/>
          <w:sz w:val="20"/>
          <w:szCs w:val="20"/>
          <w:lang w:val="es-CL"/>
        </w:rPr>
        <w:t xml:space="preserve">El rector de INACAP, Gonzalo Vargas, destacó que </w:t>
      </w:r>
      <w:r w:rsidRPr="00355F69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“e</w:t>
      </w:r>
      <w:r w:rsidR="00705E95" w:rsidRPr="00355F69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l país está en deuda con el desarrollo de la Educación Media Técnica Profesional. A través de esta alianza, esperamos poder elaborar propuestas que contribuyan a dar un salto en calidad y pertinencia en la educación técnica media que Chile necesita”.</w:t>
      </w:r>
    </w:p>
    <w:p w14:paraId="283254D4" w14:textId="77777777" w:rsidR="009F5053" w:rsidRDefault="009F5053" w:rsidP="009F5053">
      <w:pPr>
        <w:jc w:val="both"/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</w:pPr>
    </w:p>
    <w:p w14:paraId="75E86F95" w14:textId="7EC6B59D" w:rsidR="00170C3E" w:rsidRPr="00355F69" w:rsidRDefault="00170C3E" w:rsidP="009F5053">
      <w:pPr>
        <w:jc w:val="both"/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</w:pP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Para el rector de </w:t>
      </w:r>
      <w:proofErr w:type="spellStart"/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Duoc</w:t>
      </w:r>
      <w:proofErr w:type="spellEnd"/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UC, Ricardo Paredes, 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“los</w:t>
      </w:r>
      <w:r w:rsidR="009F5053" w:rsidRP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d</w:t>
      </w:r>
      <w:r w:rsidR="009F5053" w:rsidRPr="00170C3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esafíos de la ed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ucación</w:t>
      </w:r>
      <w:r w:rsidR="009F5053" w:rsidRPr="00170C3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t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écnico</w:t>
      </w:r>
      <w:r w:rsidR="009F5053" w:rsidRPr="00170C3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prof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esional</w:t>
      </w:r>
      <w:r w:rsidR="009F5053" w:rsidRPr="00170C3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son enormes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”, por lo que relevó la </w:t>
      </w: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importancia de 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est</w:t>
      </w: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a iniciativa 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que busca</w:t>
      </w: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articular a las</w:t>
      </w:r>
      <w:r w:rsidRPr="00170C3E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 ins</w:t>
      </w:r>
      <w:r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>tituciones e</w:t>
      </w:r>
      <w:r w:rsidR="009F5053">
        <w:rPr>
          <w:rFonts w:ascii="Calibri" w:eastAsia="Cambria" w:hAnsi="Calibri" w:cs="Calibri"/>
          <w:color w:val="000000"/>
          <w:sz w:val="20"/>
          <w:szCs w:val="20"/>
          <w:u w:color="000000"/>
          <w:lang w:val="es-ES_tradnl" w:eastAsia="es-CL"/>
        </w:rPr>
        <w:t xml:space="preserve">ducativas y la empresa privada. </w:t>
      </w:r>
    </w:p>
    <w:p w14:paraId="10EE4678" w14:textId="331EBCCB" w:rsidR="00541A23" w:rsidRPr="00355F69" w:rsidRDefault="00541A23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1F61E21D" w14:textId="77777777" w:rsidR="00F9749B" w:rsidRDefault="00F9749B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383556E1" w14:textId="77777777" w:rsidR="00205ADE" w:rsidRPr="00355F69" w:rsidRDefault="00205ADE" w:rsidP="00A737BE">
      <w:pPr>
        <w:pStyle w:val="Sinespaciado"/>
        <w:jc w:val="both"/>
        <w:rPr>
          <w:rFonts w:ascii="Calibri" w:hAnsi="Calibri" w:cs="Calibri"/>
          <w:sz w:val="20"/>
          <w:szCs w:val="20"/>
        </w:rPr>
      </w:pPr>
    </w:p>
    <w:p w14:paraId="44C5EF6D" w14:textId="6E6EB0A9" w:rsidR="00CC4C0F" w:rsidRPr="00355F69" w:rsidRDefault="00CC4C0F" w:rsidP="00A737BE">
      <w:pPr>
        <w:pStyle w:val="CuerpoA"/>
        <w:jc w:val="both"/>
        <w:rPr>
          <w:rFonts w:ascii="Calibri" w:hAnsi="Calibri" w:cs="Calibri"/>
        </w:rPr>
      </w:pPr>
    </w:p>
    <w:p w14:paraId="0EC86B9C" w14:textId="77777777" w:rsidR="00355F69" w:rsidRPr="00355F69" w:rsidRDefault="00355F69" w:rsidP="00A737BE">
      <w:pPr>
        <w:pStyle w:val="CuerpoA"/>
        <w:jc w:val="both"/>
        <w:rPr>
          <w:rFonts w:ascii="Calibri" w:hAnsi="Calibri" w:cs="Calibri"/>
        </w:rPr>
      </w:pPr>
    </w:p>
    <w:sectPr w:rsidR="00355F69" w:rsidRPr="00355F69" w:rsidSect="00D72FA5">
      <w:headerReference w:type="default" r:id="rId11"/>
      <w:footerReference w:type="default" r:id="rId12"/>
      <w:pgSz w:w="12240" w:h="15840"/>
      <w:pgMar w:top="1440" w:right="1080" w:bottom="1440" w:left="1080" w:header="703" w:footer="27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CAB95" w14:textId="77777777" w:rsidR="0053501B" w:rsidRDefault="0053501B">
      <w:r>
        <w:separator/>
      </w:r>
    </w:p>
  </w:endnote>
  <w:endnote w:type="continuationSeparator" w:id="0">
    <w:p w14:paraId="61C46A04" w14:textId="77777777" w:rsidR="0053501B" w:rsidRDefault="0053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91EDE" w14:textId="77777777" w:rsidR="00CC4C0F" w:rsidRDefault="00CC4C0F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46AA5" w14:textId="77777777" w:rsidR="0053501B" w:rsidRDefault="0053501B">
      <w:r>
        <w:separator/>
      </w:r>
    </w:p>
  </w:footnote>
  <w:footnote w:type="continuationSeparator" w:id="0">
    <w:p w14:paraId="69D706EE" w14:textId="77777777" w:rsidR="0053501B" w:rsidRDefault="00535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3DE3A" w14:textId="77777777" w:rsidR="00CC4C0F" w:rsidRDefault="00CC4C0F">
    <w:pPr>
      <w:pStyle w:val="Cabeceraypi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31BFB"/>
    <w:multiLevelType w:val="hybridMultilevel"/>
    <w:tmpl w:val="8280E4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0F"/>
    <w:rsid w:val="00007B24"/>
    <w:rsid w:val="00024354"/>
    <w:rsid w:val="000D70DF"/>
    <w:rsid w:val="00123C12"/>
    <w:rsid w:val="00131F23"/>
    <w:rsid w:val="00151016"/>
    <w:rsid w:val="00162004"/>
    <w:rsid w:val="00170C3E"/>
    <w:rsid w:val="0017708E"/>
    <w:rsid w:val="001A3EFA"/>
    <w:rsid w:val="001B09EC"/>
    <w:rsid w:val="00205ADE"/>
    <w:rsid w:val="0029708F"/>
    <w:rsid w:val="003279A1"/>
    <w:rsid w:val="00335EB0"/>
    <w:rsid w:val="00355F69"/>
    <w:rsid w:val="00385666"/>
    <w:rsid w:val="00415D0F"/>
    <w:rsid w:val="00466B91"/>
    <w:rsid w:val="0046754F"/>
    <w:rsid w:val="004D29AC"/>
    <w:rsid w:val="00513688"/>
    <w:rsid w:val="005308B7"/>
    <w:rsid w:val="0053501B"/>
    <w:rsid w:val="00541A23"/>
    <w:rsid w:val="00595AFA"/>
    <w:rsid w:val="0062739A"/>
    <w:rsid w:val="00633445"/>
    <w:rsid w:val="00635629"/>
    <w:rsid w:val="006F0FBE"/>
    <w:rsid w:val="00705E95"/>
    <w:rsid w:val="007376FD"/>
    <w:rsid w:val="007E7831"/>
    <w:rsid w:val="007F15D9"/>
    <w:rsid w:val="00822250"/>
    <w:rsid w:val="00856D32"/>
    <w:rsid w:val="008B4E1D"/>
    <w:rsid w:val="008C7C95"/>
    <w:rsid w:val="008F2410"/>
    <w:rsid w:val="009006AE"/>
    <w:rsid w:val="009448DB"/>
    <w:rsid w:val="00952E74"/>
    <w:rsid w:val="009F2B09"/>
    <w:rsid w:val="009F47C8"/>
    <w:rsid w:val="009F5053"/>
    <w:rsid w:val="00A019DE"/>
    <w:rsid w:val="00A44D15"/>
    <w:rsid w:val="00A54ABF"/>
    <w:rsid w:val="00A737BE"/>
    <w:rsid w:val="00AA554B"/>
    <w:rsid w:val="00AB6E89"/>
    <w:rsid w:val="00AC2102"/>
    <w:rsid w:val="00B01C40"/>
    <w:rsid w:val="00B27EE0"/>
    <w:rsid w:val="00BB0A75"/>
    <w:rsid w:val="00C2576B"/>
    <w:rsid w:val="00C45119"/>
    <w:rsid w:val="00C45E71"/>
    <w:rsid w:val="00C56902"/>
    <w:rsid w:val="00CC4C0F"/>
    <w:rsid w:val="00CF1566"/>
    <w:rsid w:val="00CF281B"/>
    <w:rsid w:val="00D23CCD"/>
    <w:rsid w:val="00D45EAD"/>
    <w:rsid w:val="00D565F9"/>
    <w:rsid w:val="00D72FA5"/>
    <w:rsid w:val="00D757EF"/>
    <w:rsid w:val="00D9461C"/>
    <w:rsid w:val="00DB5042"/>
    <w:rsid w:val="00E43E64"/>
    <w:rsid w:val="00EF0C21"/>
    <w:rsid w:val="00F144F6"/>
    <w:rsid w:val="00F256EF"/>
    <w:rsid w:val="00F61805"/>
    <w:rsid w:val="00F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68F6"/>
  <w15:docId w15:val="{DAC86F01-B2F4-4253-A5F4-ACC3E232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  <w:rPr>
      <w:lang w:val="pt-PT"/>
    </w:rPr>
  </w:style>
  <w:style w:type="paragraph" w:customStyle="1" w:styleId="Fechaok">
    <w:name w:val="Fecha ok"/>
    <w:pPr>
      <w:spacing w:before="240"/>
      <w:jc w:val="right"/>
    </w:pPr>
    <w:rPr>
      <w:rFonts w:ascii="Arial" w:eastAsia="Arial" w:hAnsi="Arial" w:cs="Arial"/>
      <w:b/>
      <w:bCs/>
      <w:color w:val="000000"/>
      <w:u w:color="000000"/>
    </w:rPr>
  </w:style>
  <w:style w:type="paragraph" w:styleId="Sinespaciado">
    <w:name w:val="No Spacing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character" w:customStyle="1" w:styleId="NingunoA">
    <w:name w:val="Ninguno A"/>
    <w:basedOn w:val="Ninguno"/>
    <w:rPr>
      <w:lang w:val="pt-PT"/>
    </w:rPr>
  </w:style>
  <w:style w:type="paragraph" w:styleId="Prrafodelista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4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445"/>
    <w:rPr>
      <w:rFonts w:ascii="Segoe UI" w:hAnsi="Segoe UI" w:cs="Segoe UI"/>
      <w:sz w:val="18"/>
      <w:szCs w:val="18"/>
      <w:lang w:val="en-US" w:eastAsia="en-US"/>
    </w:rPr>
  </w:style>
  <w:style w:type="paragraph" w:styleId="Revisin">
    <w:name w:val="Revision"/>
    <w:hidden/>
    <w:uiPriority w:val="99"/>
    <w:semiHidden/>
    <w:rsid w:val="00123C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45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51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5119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5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511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Pilar Garnham</cp:lastModifiedBy>
  <cp:revision>2</cp:revision>
  <dcterms:created xsi:type="dcterms:W3CDTF">2017-05-12T16:10:00Z</dcterms:created>
  <dcterms:modified xsi:type="dcterms:W3CDTF">2017-05-12T16:10:00Z</dcterms:modified>
</cp:coreProperties>
</file>