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1005840" cy="1005840"/>
            <wp:docPr id="1" name="Picture 1" descr="Caerleon school logo" title="Caerleon school logo"/>
            <wp:cNvGraphicFramePr>
              <a:graphicFrameLocks noChangeAspect="1"/>
            </wp:cNvGraphicFramePr>
            <a:graphic>
              <a:graphicData uri="http://schemas.openxmlformats.org/drawingml/2006/picture">
                <pic:pic>
                  <pic:nvPicPr>
                    <pic:cNvPr id="0" name="schlogo.png"/>
                    <pic:cNvPicPr/>
                  </pic:nvPicPr>
                  <pic:blipFill>
                    <a:blip r:embed="rId11"/>
                    <a:stretch>
                      <a:fillRect/>
                    </a:stretch>
                  </pic:blipFill>
                  <pic:spPr>
                    <a:xfrm>
                      <a:off x="0" y="0"/>
                      <a:ext cx="1005840" cy="1005840"/>
                    </a:xfrm>
                    <a:prstGeom prst="rect"/>
                  </pic:spPr>
                </pic:pic>
              </a:graphicData>
            </a:graphic>
          </wp:inline>
        </w:drawing>
      </w:r>
    </w:p>
    <w:p>
      <w:pPr>
        <w:spacing w:after="40"/>
        <w:jc w:val="center"/>
      </w:pPr>
      <w:r>
        <w:rPr>
          <w:rFonts w:ascii="Calibri" w:hAnsi="Calibri"/>
          <w:b/>
          <w:color w:val="741B47"/>
          <w:sz w:val="48"/>
        </w:rPr>
        <w:t>CAERLEON SKILLS TRACKER</w:t>
      </w:r>
    </w:p>
    <w:p>
      <w:pPr>
        <w:spacing w:after="240"/>
        <w:jc w:val="center"/>
      </w:pPr>
      <w:r>
        <w:rPr>
          <w:rFonts w:ascii="Calibri" w:hAnsi="Calibri"/>
          <w:b/>
          <w:color w:val="111827"/>
          <w:sz w:val="36"/>
        </w:rPr>
        <w:t>Teacher User Guide</w:t>
      </w:r>
    </w:p>
    <w:tbl>
      <w:tblPr>
        <w:tblW w:type="auto" w:w="0"/>
        <w:jc w:val="center"/>
        <w:tblLayout w:type="fixed"/>
        <w:tblLook w:firstColumn="1" w:firstRow="1" w:lastColumn="0" w:lastRow="0" w:noHBand="0" w:noVBand="1" w:val="04A0"/>
        <w:tblCellMar>
          <w:top w:w="120" w:type="dxa"/>
          <w:bottom w:w="120" w:type="dxa"/>
          <w:start w:w="160" w:type="dxa"/>
          <w:end w:w="160" w:type="dxa"/>
        </w:tblCellMar>
      </w:tblPr>
      <w:tblGrid>
        <w:gridCol w:w="10080"/>
      </w:tblGrid>
      <w:tr>
        <w:trPr>
          <w:tblHeader w:val="1"/>
        </w:trPr>
        <w:tc>
          <w:tcPr>
            <w:tcW w:type="dxa" w:w="9288"/>
            <w:shd w:fill="F7EDF3"/>
            <w:tcBorders>
              <w:top w:val="single" w:sz="6" w:color="E8CFE0"/>
              <w:left w:val="single" w:sz="6" w:color="E8CFE0"/>
              <w:bottom w:val="single" w:sz="6" w:color="E8CFE0"/>
              <w:right w:val="single" w:sz="6" w:color="E8CFE0"/>
            </w:tcBorders>
          </w:tcPr>
          <w:p>
            <w:pPr>
              <w:spacing w:after="80"/>
            </w:pPr>
            <w:r>
              <w:rPr>
                <w:rFonts w:ascii="Calibri" w:hAnsi="Calibri"/>
                <w:b/>
                <w:color w:val="571435"/>
                <w:sz w:val="21"/>
              </w:rPr>
              <w:t>Purpose</w:t>
            </w:r>
          </w:p>
          <w:p>
            <w:pPr>
              <w:spacing w:after="0"/>
            </w:pPr>
            <w:r>
              <w:rPr>
                <w:rFonts w:ascii="Calibri" w:hAnsi="Calibri"/>
              </w:rPr>
              <w:t>A practical guide to adding, editing and reviewing curriculum mapping across Literacy, Numeracy, DCF and Cross-Cutting Themes.</w:t>
            </w:r>
          </w:p>
        </w:tc>
      </w:tr>
    </w:tbl>
    <w:p>
      <w:pPr>
        <w:spacing w:after="40"/>
      </w:pPr>
    </w:p>
    <w:p>
      <w:pPr>
        <w:jc w:val="center"/>
      </w:pPr>
      <w:r>
        <w:rPr>
          <w:rFonts w:ascii="Calibri" w:hAnsi="Calibri"/>
          <w:b w:val="0"/>
          <w:color w:val="4B5563"/>
          <w:sz w:val="20"/>
        </w:rPr>
        <w:t>Version: __________    Date: __________</w:t>
      </w:r>
    </w:p>
    <w:p/>
    <w:p/>
    <w:p/>
    <w:p/>
    <w:p/>
    <w:p/>
    <w:p/>
    <w:p/>
    <w:p>
      <w:pPr>
        <w:jc w:val="center"/>
      </w:pPr>
      <w:r>
        <w:rPr>
          <w:rFonts w:ascii="Calibri" w:hAnsi="Calibri"/>
          <w:b/>
          <w:color w:val="571435"/>
          <w:sz w:val="22"/>
        </w:rPr>
        <w:t>Maximising Potential / Sicrhewch Ragoriaeth</w:t>
      </w:r>
    </w:p>
    <w:p>
      <w:r>
        <w:br w:type="page"/>
      </w:r>
    </w:p>
    <w:p>
      <w:pPr>
        <w:spacing w:after="60"/>
      </w:pPr>
      <w:r>
        <w:rPr>
          <w:rFonts w:ascii="Calibri" w:hAnsi="Calibri"/>
          <w:b/>
          <w:caps/>
          <w:color w:val="741B47"/>
          <w:sz w:val="18"/>
        </w:rPr>
        <w:t>QUICK START OVERVIEW</w:t>
      </w:r>
    </w:p>
    <w:p>
      <w:pPr>
        <w:pStyle w:val="Heading1"/>
      </w:pPr>
      <w:r>
        <w:t>Quick Start Overview</w:t>
      </w:r>
    </w:p>
    <w:p>
      <w:r>
        <w:t>The Skills Tracker helps staff record where curriculum activities develop Literacy, Numeracy, Digital Competence and Cross-Cutting Theme evidence. The system works best when each entry describes a real piece of curriculum work, then attaches the relevant evidence.</w:t>
      </w:r>
    </w:p>
    <w:tbl>
      <w:tblPr>
        <w:tblW w:type="auto" w:w="0"/>
        <w:jc w:val="center"/>
        <w:tblLayout w:type="fixed"/>
        <w:tblLook w:firstColumn="1" w:firstRow="1" w:lastColumn="0" w:lastRow="0" w:noHBand="0" w:noVBand="1" w:val="04A0"/>
        <w:tblCellMar>
          <w:top w:w="120" w:type="dxa"/>
          <w:bottom w:w="120" w:type="dxa"/>
          <w:start w:w="160" w:type="dxa"/>
          <w:end w:w="160" w:type="dxa"/>
        </w:tblCellMar>
      </w:tblPr>
      <w:tblGrid>
        <w:gridCol w:w="10080"/>
      </w:tblGrid>
      <w:tr>
        <w:trPr>
          <w:tblHeader w:val="1"/>
        </w:trPr>
        <w:tc>
          <w:tcPr>
            <w:tcW w:type="dxa" w:w="9288"/>
            <w:shd w:fill="F7EDF3"/>
            <w:tcBorders>
              <w:top w:val="single" w:sz="6" w:color="E8CFE0"/>
              <w:left w:val="single" w:sz="6" w:color="E8CFE0"/>
              <w:bottom w:val="single" w:sz="6" w:color="E8CFE0"/>
              <w:right w:val="single" w:sz="6" w:color="E8CFE0"/>
            </w:tcBorders>
          </w:tcPr>
          <w:p>
            <w:pPr>
              <w:spacing w:after="80"/>
            </w:pPr>
            <w:r>
              <w:rPr>
                <w:rFonts w:ascii="Calibri" w:hAnsi="Calibri"/>
                <w:b/>
                <w:color w:val="571435"/>
                <w:sz w:val="21"/>
              </w:rPr>
              <w:t>5-minute workflow</w:t>
            </w:r>
          </w:p>
          <w:p>
            <w:pPr>
              <w:spacing w:after="0"/>
            </w:pPr>
            <w:r>
              <w:rPr>
                <w:rFonts w:ascii="Calibri" w:hAnsi="Calibri"/>
              </w:rPr>
              <w:t>Log in -&gt; choose your subject -&gt; select year group and term -&gt; add or edit the curriculum activity -&gt; add meaningful skills or theme evidence -&gt; save -&gt; review subject health.</w:t>
            </w:r>
          </w:p>
        </w:tc>
      </w:tr>
    </w:tbl>
    <w:p>
      <w:pPr>
        <w:spacing w:after="40"/>
      </w:pPr>
    </w:p>
    <w:p>
      <w:pPr>
        <w:pStyle w:val="ListNumber"/>
        <w:spacing w:after="60"/>
        <w:ind w:left="360"/>
      </w:pPr>
      <w:r>
        <w:t>Log in with your staff account.</w:t>
      </w:r>
    </w:p>
    <w:p>
      <w:pPr>
        <w:pStyle w:val="ListNumber"/>
        <w:spacing w:after="60"/>
        <w:ind w:left="360"/>
      </w:pPr>
      <w:r>
        <w:t>Use Add Curriculum to create a new mapping, or Edit Curriculum to update an existing one.</w:t>
      </w:r>
    </w:p>
    <w:p>
      <w:pPr>
        <w:pStyle w:val="ListNumber"/>
        <w:spacing w:after="60"/>
        <w:ind w:left="360"/>
      </w:pPr>
      <w:r>
        <w:t>Choose the subject, year group and term.</w:t>
      </w:r>
    </w:p>
    <w:p>
      <w:pPr>
        <w:pStyle w:val="ListNumber"/>
        <w:spacing w:after="60"/>
        <w:ind w:left="360"/>
      </w:pPr>
      <w:r>
        <w:t>Describe the activity clearly enough that another teacher understands what pupils do.</w:t>
      </w:r>
    </w:p>
    <w:p>
      <w:pPr>
        <w:pStyle w:val="ListNumber"/>
        <w:spacing w:after="60"/>
        <w:ind w:left="360"/>
      </w:pPr>
      <w:r>
        <w:t>Add Literacy, Numeracy, DCF and/or Cross-Cutting Theme evidence where it is genuinely taught, practised or assessed.</w:t>
      </w:r>
    </w:p>
    <w:p>
      <w:pPr>
        <w:pStyle w:val="ListNumber"/>
        <w:spacing w:after="60"/>
        <w:ind w:left="360"/>
      </w:pPr>
      <w:r>
        <w:t>Save, then use Subject Health Report or Subject Detail to review coverage.</w:t>
      </w:r>
    </w:p>
    <w:p>
      <w:pPr>
        <w:pStyle w:val="Heading2"/>
      </w:pPr>
      <w:r>
        <w:t>Current navigation map</w:t>
      </w:r>
    </w:p>
    <w:tbl>
      <w:tblPr>
        <w:tblStyle w:val="TableGrid"/>
        <w:tblW w:type="auto" w:w="0"/>
        <w:jc w:val="center"/>
        <w:tblLayout w:type="fixed"/>
        <w:tblLook w:firstColumn="1" w:firstRow="1" w:lastColumn="0" w:lastRow="0" w:noHBand="0" w:noVBand="1" w:val="04A0"/>
        <w:tblCellMar>
          <w:top w:w="80" w:type="dxa"/>
          <w:bottom w:w="80" w:type="dxa"/>
          <w:start w:w="120" w:type="dxa"/>
          <w:end w:w="120" w:type="dxa"/>
        </w:tblCellMar>
      </w:tblPr>
      <w:tblGrid>
        <w:gridCol w:w="3360"/>
        <w:gridCol w:w="3360"/>
        <w:gridCol w:w="3360"/>
      </w:tblGrid>
      <w:tr>
        <w:trPr>
          <w:tblHeader w:val="1"/>
        </w:trPr>
        <w:tc>
          <w:tcPr>
            <w:tcW w:type="dxa" w:w="1800"/>
            <w:shd w:fill="741B47"/>
            <w:tcBorders>
              <w:top w:val="single" w:sz="6" w:color="741B47"/>
              <w:left w:val="single" w:sz="6" w:color="741B47"/>
              <w:bottom w:val="single" w:sz="6" w:color="741B47"/>
              <w:right w:val="single" w:sz="6" w:color="741B47"/>
            </w:tcBorders>
            <w:vAlign w:val="center"/>
          </w:tcPr>
          <w:p>
            <w:pPr>
              <w:jc w:val="left"/>
            </w:pPr>
            <w:r>
              <w:rPr>
                <w:rFonts w:ascii="Calibri" w:hAnsi="Calibri"/>
                <w:b/>
                <w:color w:val="FFFFFF"/>
                <w:sz w:val="19"/>
              </w:rPr>
              <w:t>Menu area</w:t>
            </w:r>
          </w:p>
        </w:tc>
        <w:tc>
          <w:tcPr>
            <w:tcW w:type="dxa" w:w="3384"/>
            <w:shd w:fill="741B47"/>
            <w:tcBorders>
              <w:top w:val="single" w:sz="6" w:color="741B47"/>
              <w:left w:val="single" w:sz="6" w:color="741B47"/>
              <w:bottom w:val="single" w:sz="6" w:color="741B47"/>
              <w:right w:val="single" w:sz="6" w:color="741B47"/>
            </w:tcBorders>
            <w:vAlign w:val="center"/>
          </w:tcPr>
          <w:p>
            <w:pPr>
              <w:jc w:val="left"/>
            </w:pPr>
            <w:r>
              <w:rPr>
                <w:rFonts w:ascii="Calibri" w:hAnsi="Calibri"/>
                <w:b/>
                <w:color w:val="FFFFFF"/>
                <w:sz w:val="19"/>
              </w:rPr>
              <w:t>What is there</w:t>
            </w:r>
          </w:p>
        </w:tc>
        <w:tc>
          <w:tcPr>
            <w:tcW w:type="dxa" w:w="3960"/>
            <w:shd w:fill="741B47"/>
            <w:tcBorders>
              <w:top w:val="single" w:sz="6" w:color="741B47"/>
              <w:left w:val="single" w:sz="6" w:color="741B47"/>
              <w:bottom w:val="single" w:sz="6" w:color="741B47"/>
              <w:right w:val="single" w:sz="6" w:color="741B47"/>
            </w:tcBorders>
            <w:vAlign w:val="center"/>
          </w:tcPr>
          <w:p>
            <w:pPr>
              <w:jc w:val="left"/>
            </w:pPr>
            <w:r>
              <w:rPr>
                <w:rFonts w:ascii="Calibri" w:hAnsi="Calibri"/>
                <w:b/>
                <w:color w:val="FFFFFF"/>
                <w:sz w:val="19"/>
              </w:rPr>
              <w:t>When to use it</w:t>
            </w:r>
          </w:p>
        </w:tc>
      </w:tr>
      <w:tr>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Primary actions</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Add Curriculum; Edit Curriculum</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Create new curriculum mappings or find and update existing ones.</w:t>
            </w:r>
          </w:p>
        </w:tc>
      </w:tr>
      <w:tr>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Dashboards</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Whole School; Literacy; Numeracy; DCF; Themes</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Review overall evidence patterns and framework coverage.</w:t>
            </w:r>
          </w:p>
        </w:tc>
      </w:tr>
      <w:tr>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Subjects</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Subject View; Subject Detail</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Review curriculum mapping by subject and open subject-level detail.</w:t>
            </w:r>
          </w:p>
        </w:tc>
      </w:tr>
      <w:tr>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Explore</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Skills Explorer; Progression Overview; Year Group Journey; Framework Browser</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Browse mapped activity, progression steps, year group journeys and framework reference data.</w:t>
            </w:r>
          </w:p>
        </w:tc>
      </w:tr>
      <w:tr>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Review</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Subject Health Report; SLT Improvement Dashboard; Recent Updates; Review Summary</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Use for subject review, leadership oversight and recent mapping checks.</w:t>
            </w:r>
          </w:p>
        </w:tc>
      </w:tr>
      <w:tr>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Setup / Admin</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Admin and user-management tools, depending on role</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Manage setup only if your role allows it.</w:t>
            </w:r>
          </w:p>
        </w:tc>
      </w:tr>
    </w:tbl>
    <w:p>
      <w:pPr>
        <w:spacing w:after="60"/>
      </w:pPr>
    </w:p>
    <w:p>
      <w:pPr>
        <w:spacing w:after="60"/>
      </w:pPr>
      <w:r>
        <w:rPr>
          <w:rFonts w:ascii="Calibri" w:hAnsi="Calibri"/>
          <w:b/>
          <w:caps/>
          <w:color w:val="741B47"/>
          <w:sz w:val="18"/>
        </w:rPr>
        <w:t>LOGGING IN AND ACCESS</w:t>
      </w:r>
    </w:p>
    <w:p>
      <w:pPr>
        <w:pStyle w:val="Heading1"/>
      </w:pPr>
      <w:r>
        <w:t>Logging In and Access</w:t>
      </w:r>
    </w:p>
    <w:p>
      <w:r>
        <w:t>Use the login page supplied by the school. The app is protected, so curriculum pages should only be visible when you are signed in.</w:t>
      </w:r>
    </w:p>
    <w:tbl>
      <w:tblPr>
        <w:tblStyle w:val="TableGrid"/>
        <w:tblW w:type="auto" w:w="0"/>
        <w:jc w:val="center"/>
        <w:tblLayout w:type="fixed"/>
        <w:tblLook w:firstColumn="1" w:firstRow="1" w:lastColumn="0" w:lastRow="0" w:noHBand="0" w:noVBand="1" w:val="04A0"/>
        <w:tblCellMar>
          <w:top w:w="80" w:type="dxa"/>
          <w:bottom w:w="80" w:type="dxa"/>
          <w:start w:w="120" w:type="dxa"/>
          <w:end w:w="120" w:type="dxa"/>
        </w:tblCellMar>
      </w:tblPr>
      <w:tblGrid>
        <w:gridCol w:w="3360"/>
        <w:gridCol w:w="3360"/>
        <w:gridCol w:w="3360"/>
      </w:tblGrid>
      <w:tr>
        <w:trPr>
          <w:tblHeader w:val="1"/>
        </w:trPr>
        <w:tc>
          <w:tcPr>
            <w:tcW w:type="dxa" w:w="1944"/>
            <w:shd w:fill="741B47"/>
            <w:tcBorders>
              <w:top w:val="single" w:sz="6" w:color="741B47"/>
              <w:left w:val="single" w:sz="6" w:color="741B47"/>
              <w:bottom w:val="single" w:sz="6" w:color="741B47"/>
              <w:right w:val="single" w:sz="6" w:color="741B47"/>
            </w:tcBorders>
            <w:vAlign w:val="center"/>
          </w:tcPr>
          <w:p>
            <w:pPr>
              <w:jc w:val="left"/>
            </w:pPr>
            <w:r>
              <w:rPr>
                <w:rFonts w:ascii="Calibri" w:hAnsi="Calibri"/>
                <w:b/>
                <w:color w:val="FFFFFF"/>
                <w:sz w:val="19"/>
              </w:rPr>
              <w:t>Role</w:t>
            </w:r>
          </w:p>
        </w:tc>
        <w:tc>
          <w:tcPr>
            <w:tcW w:type="dxa" w:w="2880"/>
            <w:shd w:fill="741B47"/>
            <w:tcBorders>
              <w:top w:val="single" w:sz="6" w:color="741B47"/>
              <w:left w:val="single" w:sz="6" w:color="741B47"/>
              <w:bottom w:val="single" w:sz="6" w:color="741B47"/>
              <w:right w:val="single" w:sz="6" w:color="741B47"/>
            </w:tcBorders>
            <w:vAlign w:val="center"/>
          </w:tcPr>
          <w:p>
            <w:pPr>
              <w:jc w:val="left"/>
            </w:pPr>
            <w:r>
              <w:rPr>
                <w:rFonts w:ascii="Calibri" w:hAnsi="Calibri"/>
                <w:b/>
                <w:color w:val="FFFFFF"/>
                <w:sz w:val="19"/>
              </w:rPr>
              <w:t>Typical access</w:t>
            </w:r>
          </w:p>
        </w:tc>
        <w:tc>
          <w:tcPr>
            <w:tcW w:type="dxa" w:w="4464"/>
            <w:shd w:fill="741B47"/>
            <w:tcBorders>
              <w:top w:val="single" w:sz="6" w:color="741B47"/>
              <w:left w:val="single" w:sz="6" w:color="741B47"/>
              <w:bottom w:val="single" w:sz="6" w:color="741B47"/>
              <w:right w:val="single" w:sz="6" w:color="741B47"/>
            </w:tcBorders>
            <w:vAlign w:val="center"/>
          </w:tcPr>
          <w:p>
            <w:pPr>
              <w:jc w:val="left"/>
            </w:pPr>
            <w:r>
              <w:rPr>
                <w:rFonts w:ascii="Calibri" w:hAnsi="Calibri"/>
                <w:b/>
                <w:color w:val="FFFFFF"/>
                <w:sz w:val="19"/>
              </w:rPr>
              <w:t>What this means</w:t>
            </w:r>
          </w:p>
        </w:tc>
      </w:tr>
      <w:tr>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Teacher</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Assigned subject access</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Add or edit mappings for subjects assigned to you.</w:t>
            </w:r>
          </w:p>
        </w:tc>
      </w:tr>
      <w:tr>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Subject lead</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Department review access</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Review subject health and update curriculum evidence for your subject area.</w:t>
            </w:r>
          </w:p>
        </w:tc>
      </w:tr>
      <w:tr>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School admin</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School setup and broader access</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Manage subjects, frameworks, users and curriculum data where authorised.</w:t>
            </w:r>
          </w:p>
        </w:tc>
      </w:tr>
      <w:tr>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Platform admin</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Platform-level access</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Support setup and testing across roles.</w:t>
            </w:r>
          </w:p>
        </w:tc>
      </w:tr>
    </w:tbl>
    <w:p>
      <w:pPr>
        <w:spacing w:after="60"/>
      </w:pPr>
    </w:p>
    <w:tbl>
      <w:tblPr>
        <w:tblW w:type="auto" w:w="0"/>
        <w:jc w:val="center"/>
        <w:tblLayout w:type="fixed"/>
        <w:tblLook w:firstColumn="1" w:firstRow="1" w:lastColumn="0" w:lastRow="0" w:noHBand="0" w:noVBand="1" w:val="04A0"/>
        <w:tblCellMar>
          <w:top w:w="120" w:type="dxa"/>
          <w:bottom w:w="120" w:type="dxa"/>
          <w:start w:w="160" w:type="dxa"/>
          <w:end w:w="160" w:type="dxa"/>
        </w:tblCellMar>
      </w:tblPr>
      <w:tblGrid>
        <w:gridCol w:w="10080"/>
      </w:tblGrid>
      <w:tr>
        <w:trPr>
          <w:tblHeader w:val="1"/>
        </w:trPr>
        <w:tc>
          <w:tcPr>
            <w:tcW w:type="dxa" w:w="9288"/>
            <w:shd w:fill="FFF7ED"/>
            <w:tcBorders>
              <w:top w:val="single" w:sz="6" w:color="E8CFE0"/>
              <w:left w:val="single" w:sz="6" w:color="E8CFE0"/>
              <w:bottom w:val="single" w:sz="6" w:color="E8CFE0"/>
              <w:right w:val="single" w:sz="6" w:color="E8CFE0"/>
            </w:tcBorders>
          </w:tcPr>
          <w:p>
            <w:pPr>
              <w:spacing w:after="80"/>
            </w:pPr>
            <w:r>
              <w:rPr>
                <w:rFonts w:ascii="Calibri" w:hAnsi="Calibri"/>
                <w:b/>
                <w:color w:val="571435"/>
                <w:sz w:val="21"/>
              </w:rPr>
              <w:t>If access looks wrong</w:t>
            </w:r>
          </w:p>
          <w:p>
            <w:pPr>
              <w:spacing w:after="0"/>
            </w:pPr>
            <w:r>
              <w:rPr>
                <w:rFonts w:ascii="Calibri" w:hAnsi="Calibri"/>
              </w:rPr>
              <w:t>If you cannot see your subject, cannot edit an entry, or see a page you do not expect, contact the system administrator. Access is role-based and may need your staff profile or subject assignment checking.</w:t>
            </w:r>
          </w:p>
        </w:tc>
      </w:tr>
    </w:tbl>
    <w:p>
      <w:pPr>
        <w:spacing w:after="40"/>
      </w:pPr>
    </w:p>
    <w:p>
      <w:pPr>
        <w:spacing w:after="60"/>
      </w:pPr>
      <w:r>
        <w:rPr>
          <w:rFonts w:ascii="Calibri" w:hAnsi="Calibri"/>
          <w:b/>
          <w:caps/>
          <w:color w:val="741B47"/>
          <w:sz w:val="18"/>
        </w:rPr>
        <w:t>UNDERSTANDING THE HOME/DASHBOARD</w:t>
      </w:r>
    </w:p>
    <w:p>
      <w:pPr>
        <w:pStyle w:val="Heading1"/>
      </w:pPr>
      <w:r>
        <w:t>Understanding the Home/Dashboard</w:t>
      </w:r>
    </w:p>
    <w:p>
      <w:r>
        <w:t>The dashboard and subject pages are designed to show what has been mapped, where evidence exists and where gaps may need attention. Counts and cards should be treated as curriculum review prompts, not judgements on individual teachers.</w:t>
      </w:r>
    </w:p>
    <w:tbl>
      <w:tblPr>
        <w:tblStyle w:val="TableGrid"/>
        <w:tblW w:type="auto" w:w="0"/>
        <w:jc w:val="center"/>
        <w:tblLayout w:type="fixed"/>
        <w:tblLook w:firstColumn="1" w:firstRow="1" w:lastColumn="0" w:lastRow="0" w:noHBand="0" w:noVBand="1" w:val="04A0"/>
        <w:tblCellMar>
          <w:top w:w="80" w:type="dxa"/>
          <w:bottom w:w="80" w:type="dxa"/>
          <w:start w:w="120" w:type="dxa"/>
          <w:end w:w="120" w:type="dxa"/>
        </w:tblCellMar>
      </w:tblPr>
      <w:tblGrid>
        <w:gridCol w:w="3360"/>
        <w:gridCol w:w="3360"/>
        <w:gridCol w:w="3360"/>
      </w:tblGrid>
      <w:tr>
        <w:trPr>
          <w:tblHeader w:val="1"/>
        </w:trPr>
        <w:tc>
          <w:tcPr>
            <w:tcW w:type="dxa" w:w="2232"/>
            <w:shd w:fill="741B47"/>
            <w:tcBorders>
              <w:top w:val="single" w:sz="6" w:color="741B47"/>
              <w:left w:val="single" w:sz="6" w:color="741B47"/>
              <w:bottom w:val="single" w:sz="6" w:color="741B47"/>
              <w:right w:val="single" w:sz="6" w:color="741B47"/>
            </w:tcBorders>
            <w:vAlign w:val="center"/>
          </w:tcPr>
          <w:p>
            <w:pPr>
              <w:jc w:val="left"/>
            </w:pPr>
            <w:r>
              <w:rPr>
                <w:rFonts w:ascii="Calibri" w:hAnsi="Calibri"/>
                <w:b/>
                <w:color w:val="FFFFFF"/>
                <w:sz w:val="19"/>
              </w:rPr>
              <w:t>Area of screen</w:t>
            </w:r>
          </w:p>
        </w:tc>
        <w:tc>
          <w:tcPr>
            <w:tcW w:type="dxa" w:w="3384"/>
            <w:shd w:fill="741B47"/>
            <w:tcBorders>
              <w:top w:val="single" w:sz="6" w:color="741B47"/>
              <w:left w:val="single" w:sz="6" w:color="741B47"/>
              <w:bottom w:val="single" w:sz="6" w:color="741B47"/>
              <w:right w:val="single" w:sz="6" w:color="741B47"/>
            </w:tcBorders>
            <w:vAlign w:val="center"/>
          </w:tcPr>
          <w:p>
            <w:pPr>
              <w:jc w:val="left"/>
            </w:pPr>
            <w:r>
              <w:rPr>
                <w:rFonts w:ascii="Calibri" w:hAnsi="Calibri"/>
                <w:b/>
                <w:color w:val="FFFFFF"/>
                <w:sz w:val="19"/>
              </w:rPr>
              <w:t>What it shows</w:t>
            </w:r>
          </w:p>
        </w:tc>
        <w:tc>
          <w:tcPr>
            <w:tcW w:type="dxa" w:w="3671"/>
            <w:shd w:fill="741B47"/>
            <w:tcBorders>
              <w:top w:val="single" w:sz="6" w:color="741B47"/>
              <w:left w:val="single" w:sz="6" w:color="741B47"/>
              <w:bottom w:val="single" w:sz="6" w:color="741B47"/>
              <w:right w:val="single" w:sz="6" w:color="741B47"/>
            </w:tcBorders>
            <w:vAlign w:val="center"/>
          </w:tcPr>
          <w:p>
            <w:pPr>
              <w:jc w:val="left"/>
            </w:pPr>
            <w:r>
              <w:rPr>
                <w:rFonts w:ascii="Calibri" w:hAnsi="Calibri"/>
                <w:b/>
                <w:color w:val="FFFFFF"/>
                <w:sz w:val="19"/>
              </w:rPr>
              <w:t>What teachers should do with it</w:t>
            </w:r>
          </w:p>
        </w:tc>
      </w:tr>
      <w:tr>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Subject cards</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Subjects and mapped opportunities.</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Open your subject to check entries and coverage.</w:t>
            </w:r>
          </w:p>
        </w:tc>
      </w:tr>
      <w:tr>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Year groups</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Where curriculum entries sit from Year 7 to Year 11.</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Check that mappings match your department sequence.</w:t>
            </w:r>
          </w:p>
        </w:tc>
      </w:tr>
      <w:tr>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Framework evidence</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Literacy, Numeracy and DCF references attached to entries.</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Look for genuine taught opportunities and progression.</w:t>
            </w:r>
          </w:p>
        </w:tc>
      </w:tr>
      <w:tr>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Theme evidence</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Cross-Cutting Theme elements attached to entries.</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Check wider curriculum themes are visible where appropriate.</w:t>
            </w:r>
          </w:p>
        </w:tc>
      </w:tr>
      <w:tr>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Review links</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Subject Health Report and whole-school dashboards.</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Use for department discussion and improvement planning.</w:t>
            </w:r>
          </w:p>
        </w:tc>
      </w:tr>
    </w:tbl>
    <w:p>
      <w:pPr>
        <w:spacing w:after="60"/>
      </w:pPr>
    </w:p>
    <w:p>
      <w:pPr>
        <w:spacing w:after="60"/>
      </w:pPr>
      <w:r>
        <w:rPr>
          <w:rFonts w:ascii="Calibri" w:hAnsi="Calibri"/>
          <w:b/>
          <w:caps/>
          <w:color w:val="741B47"/>
          <w:sz w:val="18"/>
        </w:rPr>
        <w:t>ADDING CURRICULUM</w:t>
      </w:r>
    </w:p>
    <w:p>
      <w:pPr>
        <w:pStyle w:val="Heading1"/>
      </w:pPr>
      <w:r>
        <w:t>Adding Curriculum</w:t>
      </w:r>
    </w:p>
    <w:p>
      <w:r>
        <w:t>Use Add Curriculum when you want to record a new piece of curriculum work. Start with the curriculum activity, then add the evidence links.</w:t>
      </w:r>
    </w:p>
    <w:p>
      <w:pPr>
        <w:pStyle w:val="ListNumber"/>
        <w:spacing w:after="60"/>
        <w:ind w:left="360"/>
      </w:pPr>
      <w:r>
        <w:t>Open Add Curriculum from the primary action button in the sidebar.</w:t>
      </w:r>
    </w:p>
    <w:p>
      <w:pPr>
        <w:pStyle w:val="ListNumber"/>
        <w:spacing w:after="60"/>
        <w:ind w:left="360"/>
      </w:pPr>
      <w:r>
        <w:t>Choose the subject from the live subject list.</w:t>
      </w:r>
    </w:p>
    <w:p>
      <w:pPr>
        <w:pStyle w:val="ListNumber"/>
        <w:spacing w:after="60"/>
        <w:ind w:left="360"/>
      </w:pPr>
      <w:r>
        <w:t>Select the year group and term.</w:t>
      </w:r>
    </w:p>
    <w:p>
      <w:pPr>
        <w:pStyle w:val="ListNumber"/>
        <w:spacing w:after="60"/>
        <w:ind w:left="360"/>
      </w:pPr>
      <w:r>
        <w:t>Add the scheme or unit reference, for example CT7.2 or 8.3.</w:t>
      </w:r>
    </w:p>
    <w:p>
      <w:pPr>
        <w:pStyle w:val="ListNumber"/>
        <w:spacing w:after="60"/>
        <w:ind w:left="360"/>
      </w:pPr>
      <w:r>
        <w:t>Add a clear activity title.</w:t>
      </w:r>
    </w:p>
    <w:p>
      <w:pPr>
        <w:pStyle w:val="ListNumber"/>
        <w:spacing w:after="60"/>
        <w:ind w:left="360"/>
      </w:pPr>
      <w:r>
        <w:t>Write a brief description of the activity or project.</w:t>
      </w:r>
    </w:p>
    <w:p>
      <w:pPr>
        <w:pStyle w:val="ListNumber"/>
        <w:spacing w:after="60"/>
        <w:ind w:left="360"/>
      </w:pPr>
      <w:r>
        <w:t>Add skills/framework references and Cross-Cutting Theme elements if relevant.</w:t>
      </w:r>
    </w:p>
    <w:p>
      <w:pPr>
        <w:pStyle w:val="ListNumber"/>
        <w:spacing w:after="60"/>
        <w:ind w:left="360"/>
      </w:pPr>
      <w:r>
        <w:t>Press Save mapping. The form clears after a successful save.</w:t>
      </w:r>
    </w:p>
    <w:p>
      <w:pPr>
        <w:pStyle w:val="Heading2"/>
      </w:pPr>
      <w:r>
        <w:t>What a good curriculum entry looks like</w:t>
      </w:r>
    </w:p>
    <w:tbl>
      <w:tblPr>
        <w:tblStyle w:val="TableGrid"/>
        <w:tblW w:type="auto" w:w="0"/>
        <w:jc w:val="center"/>
        <w:tblLayout w:type="fixed"/>
        <w:tblLook w:firstColumn="1" w:firstRow="1" w:lastColumn="0" w:lastRow="0" w:noHBand="0" w:noVBand="1" w:val="04A0"/>
        <w:tblCellMar>
          <w:top w:w="80" w:type="dxa"/>
          <w:bottom w:w="80" w:type="dxa"/>
          <w:start w:w="120" w:type="dxa"/>
          <w:end w:w="120" w:type="dxa"/>
        </w:tblCellMar>
      </w:tblPr>
      <w:tblGrid>
        <w:gridCol w:w="3360"/>
        <w:gridCol w:w="3360"/>
        <w:gridCol w:w="3360"/>
      </w:tblGrid>
      <w:tr>
        <w:trPr>
          <w:tblHeader w:val="1"/>
        </w:trPr>
        <w:tc>
          <w:tcPr>
            <w:tcW w:type="dxa" w:w="1944"/>
            <w:shd w:fill="741B47"/>
            <w:tcBorders>
              <w:top w:val="single" w:sz="6" w:color="741B47"/>
              <w:left w:val="single" w:sz="6" w:color="741B47"/>
              <w:bottom w:val="single" w:sz="6" w:color="741B47"/>
              <w:right w:val="single" w:sz="6" w:color="741B47"/>
            </w:tcBorders>
            <w:vAlign w:val="center"/>
          </w:tcPr>
          <w:p>
            <w:pPr>
              <w:jc w:val="left"/>
            </w:pPr>
            <w:r>
              <w:rPr>
                <w:rFonts w:ascii="Calibri" w:hAnsi="Calibri"/>
                <w:b/>
                <w:color w:val="FFFFFF"/>
                <w:sz w:val="19"/>
              </w:rPr>
              <w:t>Weak entry</w:t>
            </w:r>
          </w:p>
        </w:tc>
        <w:tc>
          <w:tcPr>
            <w:tcW w:type="dxa" w:w="4536"/>
            <w:shd w:fill="741B47"/>
            <w:tcBorders>
              <w:top w:val="single" w:sz="6" w:color="741B47"/>
              <w:left w:val="single" w:sz="6" w:color="741B47"/>
              <w:bottom w:val="single" w:sz="6" w:color="741B47"/>
              <w:right w:val="single" w:sz="6" w:color="741B47"/>
            </w:tcBorders>
            <w:vAlign w:val="center"/>
          </w:tcPr>
          <w:p>
            <w:pPr>
              <w:jc w:val="left"/>
            </w:pPr>
            <w:r>
              <w:rPr>
                <w:rFonts w:ascii="Calibri" w:hAnsi="Calibri"/>
                <w:b/>
                <w:color w:val="FFFFFF"/>
                <w:sz w:val="19"/>
              </w:rPr>
              <w:t>Better entry</w:t>
            </w:r>
          </w:p>
        </w:tc>
        <w:tc>
          <w:tcPr>
            <w:tcW w:type="dxa" w:w="2736"/>
            <w:shd w:fill="741B47"/>
            <w:tcBorders>
              <w:top w:val="single" w:sz="6" w:color="741B47"/>
              <w:left w:val="single" w:sz="6" w:color="741B47"/>
              <w:bottom w:val="single" w:sz="6" w:color="741B47"/>
              <w:right w:val="single" w:sz="6" w:color="741B47"/>
            </w:tcBorders>
            <w:vAlign w:val="center"/>
          </w:tcPr>
          <w:p>
            <w:pPr>
              <w:jc w:val="left"/>
            </w:pPr>
            <w:r>
              <w:rPr>
                <w:rFonts w:ascii="Calibri" w:hAnsi="Calibri"/>
                <w:b/>
                <w:color w:val="FFFFFF"/>
                <w:sz w:val="19"/>
              </w:rPr>
              <w:t>Why it is better</w:t>
            </w:r>
          </w:p>
        </w:tc>
      </w:tr>
      <w:tr>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Fractions</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Using equivalent fractions, simplifying fractions and applying fractions to real-life problem solving.</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It explains what pupils actually learn and apply.</w:t>
            </w:r>
          </w:p>
        </w:tc>
      </w:tr>
      <w:tr>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Presentation</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Creating and evaluating a digital presentation for a specific audience using image, text and charts.</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It gives enough detail to support DCF and Literacy mapping.</w:t>
            </w:r>
          </w:p>
        </w:tc>
      </w:tr>
      <w:tr>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Sources</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Investigating Windrush source material, identifying viewpoint and discussing human rights themes.</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It makes skills and Cross-Cutting Themes visible.</w:t>
            </w:r>
          </w:p>
        </w:tc>
      </w:tr>
    </w:tbl>
    <w:p>
      <w:pPr>
        <w:spacing w:after="60"/>
      </w:pPr>
    </w:p>
    <w:p>
      <w:pPr>
        <w:spacing w:after="60"/>
      </w:pPr>
      <w:r>
        <w:rPr>
          <w:rFonts w:ascii="Calibri" w:hAnsi="Calibri"/>
          <w:b/>
          <w:caps/>
          <w:color w:val="741B47"/>
          <w:sz w:val="18"/>
        </w:rPr>
        <w:t>MAPPING CURRICULUM TO SKILLS</w:t>
      </w:r>
    </w:p>
    <w:p>
      <w:pPr>
        <w:pStyle w:val="Heading1"/>
      </w:pPr>
      <w:r>
        <w:t>Mapping Curriculum to Skills</w:t>
      </w:r>
    </w:p>
    <w:p>
      <w:r>
        <w:t>Mappings should be meaningful. Add a reference when the skill or theme is genuinely taught, practised or assessed in the activity. Avoid mapping everything to everything.</w:t>
      </w:r>
    </w:p>
    <w:p>
      <w:pPr>
        <w:pStyle w:val="Heading2"/>
      </w:pPr>
      <w:r>
        <w:t>Literacy, Numeracy and DCF</w:t>
      </w:r>
    </w:p>
    <w:p>
      <w:pPr>
        <w:pStyle w:val="ListNumber"/>
        <w:spacing w:after="60"/>
        <w:ind w:left="360"/>
      </w:pPr>
      <w:r>
        <w:t>Choose the framework: Literacy Framework, Numeracy Framework or Digital Competence Framework.</w:t>
      </w:r>
    </w:p>
    <w:p>
      <w:pPr>
        <w:pStyle w:val="ListNumber"/>
        <w:spacing w:after="60"/>
        <w:ind w:left="360"/>
      </w:pPr>
      <w:r>
        <w:t>Choose the strand. Some long Numeracy strands use shorter button labels, but the official strand name remains stored in the system.</w:t>
      </w:r>
    </w:p>
    <w:p>
      <w:pPr>
        <w:pStyle w:val="ListNumber"/>
        <w:spacing w:after="60"/>
        <w:ind w:left="360"/>
      </w:pPr>
      <w:r>
        <w:t>Choose the element.</w:t>
      </w:r>
    </w:p>
    <w:p>
      <w:pPr>
        <w:pStyle w:val="ListNumber"/>
        <w:spacing w:after="60"/>
        <w:ind w:left="360"/>
      </w:pPr>
      <w:r>
        <w:t>Choose the progression descriptor. The default step may be selected automatically, but staff can override it.</w:t>
      </w:r>
    </w:p>
    <w:p>
      <w:pPr>
        <w:pStyle w:val="ListNumber"/>
        <w:spacing w:after="60"/>
        <w:ind w:left="360"/>
      </w:pPr>
      <w:r>
        <w:t>Add an optional note explaining where the skill appears.</w:t>
      </w:r>
    </w:p>
    <w:p>
      <w:pPr>
        <w:pStyle w:val="ListNumber"/>
        <w:spacing w:after="60"/>
        <w:ind w:left="360"/>
      </w:pPr>
      <w:r>
        <w:t>Click Add framework reference. You can add more than one reference for the same activity.</w:t>
      </w:r>
    </w:p>
    <w:p>
      <w:pPr>
        <w:pStyle w:val="Heading2"/>
      </w:pPr>
      <w:r>
        <w:t>Cross-Cutting Themes</w:t>
      </w:r>
    </w:p>
    <w:p>
      <w:r>
        <w:t>Cross-Cutting Themes are separate from Literacy, Numeracy and DCF. They are recorded as theme elements, not progression steps.</w:t>
      </w:r>
    </w:p>
    <w:p>
      <w:pPr>
        <w:pStyle w:val="ListBullet"/>
        <w:spacing w:after="60"/>
        <w:ind w:left="360"/>
      </w:pPr>
      <w:r>
        <w:t>Open the Cross-Cutting Themes section.</w:t>
      </w:r>
    </w:p>
    <w:p>
      <w:pPr>
        <w:pStyle w:val="ListBullet"/>
        <w:spacing w:after="60"/>
        <w:ind w:left="360"/>
      </w:pPr>
      <w:r>
        <w:t>Expand the relevant parent theme, such as Diversity or Human rights education.</w:t>
      </w:r>
    </w:p>
    <w:p>
      <w:pPr>
        <w:pStyle w:val="ListBullet"/>
        <w:spacing w:after="60"/>
        <w:ind w:left="360"/>
      </w:pPr>
      <w:r>
        <w:t>Tick one or more specific theme elements.</w:t>
      </w:r>
    </w:p>
    <w:p>
      <w:pPr>
        <w:pStyle w:val="ListBullet"/>
        <w:spacing w:after="60"/>
        <w:ind w:left="360"/>
      </w:pPr>
      <w:r>
        <w:t>Add a short optional note if it helps explain the evidence.</w:t>
      </w:r>
    </w:p>
    <w:p>
      <w:pPr>
        <w:pStyle w:val="ListBullet"/>
        <w:spacing w:after="60"/>
        <w:ind w:left="360"/>
      </w:pPr>
      <w:r>
        <w:t>You can select several theme elements across different parent themes for one activity.</w:t>
      </w:r>
    </w:p>
    <w:p>
      <w:pPr>
        <w:pStyle w:val="Heading2"/>
      </w:pPr>
      <w:r>
        <w:t>Useful evidence notes</w:t>
      </w:r>
    </w:p>
    <w:tbl>
      <w:tblPr>
        <w:tblStyle w:val="TableGrid"/>
        <w:tblW w:type="auto" w:w="0"/>
        <w:jc w:val="center"/>
        <w:tblLayout w:type="fixed"/>
        <w:tblLook w:firstColumn="1" w:firstRow="1" w:lastColumn="0" w:lastRow="0" w:noHBand="0" w:noVBand="1" w:val="04A0"/>
        <w:tblCellMar>
          <w:top w:w="80" w:type="dxa"/>
          <w:bottom w:w="80" w:type="dxa"/>
          <w:start w:w="120" w:type="dxa"/>
          <w:end w:w="120" w:type="dxa"/>
        </w:tblCellMar>
      </w:tblPr>
      <w:tblGrid>
        <w:gridCol w:w="5040"/>
        <w:gridCol w:w="5040"/>
      </w:tblGrid>
      <w:tr>
        <w:trPr>
          <w:tblHeader w:val="1"/>
        </w:trPr>
        <w:tc>
          <w:tcPr>
            <w:tcW w:type="dxa" w:w="2304"/>
            <w:shd w:fill="741B47"/>
            <w:tcBorders>
              <w:top w:val="single" w:sz="6" w:color="741B47"/>
              <w:left w:val="single" w:sz="6" w:color="741B47"/>
              <w:bottom w:val="single" w:sz="6" w:color="741B47"/>
              <w:right w:val="single" w:sz="6" w:color="741B47"/>
            </w:tcBorders>
            <w:vAlign w:val="center"/>
          </w:tcPr>
          <w:p>
            <w:pPr>
              <w:jc w:val="left"/>
            </w:pPr>
            <w:r>
              <w:rPr>
                <w:rFonts w:ascii="Calibri" w:hAnsi="Calibri"/>
                <w:b/>
                <w:color w:val="FFFFFF"/>
                <w:sz w:val="19"/>
              </w:rPr>
              <w:t>Area</w:t>
            </w:r>
          </w:p>
        </w:tc>
        <w:tc>
          <w:tcPr>
            <w:tcW w:type="dxa" w:w="6912"/>
            <w:shd w:fill="741B47"/>
            <w:tcBorders>
              <w:top w:val="single" w:sz="6" w:color="741B47"/>
              <w:left w:val="single" w:sz="6" w:color="741B47"/>
              <w:bottom w:val="single" w:sz="6" w:color="741B47"/>
              <w:right w:val="single" w:sz="6" w:color="741B47"/>
            </w:tcBorders>
            <w:vAlign w:val="center"/>
          </w:tcPr>
          <w:p>
            <w:pPr>
              <w:jc w:val="left"/>
            </w:pPr>
            <w:r>
              <w:rPr>
                <w:rFonts w:ascii="Calibri" w:hAnsi="Calibri"/>
                <w:b/>
                <w:color w:val="FFFFFF"/>
                <w:sz w:val="19"/>
              </w:rPr>
              <w:t>Example note</w:t>
            </w:r>
          </w:p>
        </w:tc>
      </w:tr>
      <w:tr>
        <w:tc>
          <w:tcPr>
            <w:tcW w:type="dxa" w:w="504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Literacy</w:t>
            </w:r>
          </w:p>
        </w:tc>
        <w:tc>
          <w:tcPr>
            <w:tcW w:type="dxa" w:w="504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Learners write an extended explanation comparing two viewpoints.</w:t>
            </w:r>
          </w:p>
        </w:tc>
      </w:tr>
      <w:tr>
        <w:tc>
          <w:tcPr>
            <w:tcW w:type="dxa" w:w="504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Numeracy</w:t>
            </w:r>
          </w:p>
        </w:tc>
        <w:tc>
          <w:tcPr>
            <w:tcW w:type="dxa" w:w="504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Learners interpret data from a graph and justify conclusions.</w:t>
            </w:r>
          </w:p>
        </w:tc>
      </w:tr>
      <w:tr>
        <w:tc>
          <w:tcPr>
            <w:tcW w:type="dxa" w:w="504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DCF</w:t>
            </w:r>
          </w:p>
        </w:tc>
        <w:tc>
          <w:tcPr>
            <w:tcW w:type="dxa" w:w="504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Learners create and evaluate a digital presentation for a specific audience.</w:t>
            </w:r>
          </w:p>
        </w:tc>
      </w:tr>
      <w:tr>
        <w:tc>
          <w:tcPr>
            <w:tcW w:type="dxa" w:w="504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Cross-Cutting Themes</w:t>
            </w:r>
          </w:p>
        </w:tc>
        <w:tc>
          <w:tcPr>
            <w:tcW w:type="dxa" w:w="504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The activity explores stereotypes and encourages pupils to challenge assumptions respectfully.</w:t>
            </w:r>
          </w:p>
        </w:tc>
      </w:tr>
    </w:tbl>
    <w:p>
      <w:pPr>
        <w:spacing w:after="60"/>
      </w:pPr>
    </w:p>
    <w:p>
      <w:pPr>
        <w:spacing w:after="60"/>
      </w:pPr>
      <w:r>
        <w:rPr>
          <w:rFonts w:ascii="Calibri" w:hAnsi="Calibri"/>
          <w:b/>
          <w:caps/>
          <w:color w:val="741B47"/>
          <w:sz w:val="18"/>
        </w:rPr>
        <w:t>EDITING CURRICULUM</w:t>
      </w:r>
    </w:p>
    <w:p>
      <w:pPr>
        <w:pStyle w:val="Heading1"/>
      </w:pPr>
      <w:r>
        <w:t>Editing Curriculum</w:t>
      </w:r>
    </w:p>
    <w:p>
      <w:r>
        <w:t>Use Edit Curriculum to find existing mappings and update them. This avoids creating duplicate entries for the same piece of work.</w:t>
      </w:r>
    </w:p>
    <w:p>
      <w:pPr>
        <w:pStyle w:val="ListNumber"/>
        <w:spacing w:after="60"/>
        <w:ind w:left="360"/>
      </w:pPr>
      <w:r>
        <w:t>Open Edit Curriculum from the sidebar.</w:t>
      </w:r>
    </w:p>
    <w:p>
      <w:pPr>
        <w:pStyle w:val="ListNumber"/>
        <w:spacing w:after="60"/>
        <w:ind w:left="360"/>
      </w:pPr>
      <w:r>
        <w:t>Choose your subject.</w:t>
      </w:r>
    </w:p>
    <w:p>
      <w:pPr>
        <w:pStyle w:val="ListNumber"/>
        <w:spacing w:after="60"/>
        <w:ind w:left="360"/>
      </w:pPr>
      <w:r>
        <w:t>Use year group, term and search filters to find the mapping.</w:t>
      </w:r>
    </w:p>
    <w:p>
      <w:pPr>
        <w:pStyle w:val="ListNumber"/>
        <w:spacing w:after="60"/>
        <w:ind w:left="360"/>
      </w:pPr>
      <w:r>
        <w:t>Click Edit on the mapping card.</w:t>
      </w:r>
    </w:p>
    <w:p>
      <w:pPr>
        <w:pStyle w:val="ListNumber"/>
        <w:spacing w:after="60"/>
        <w:ind w:left="360"/>
      </w:pPr>
      <w:r>
        <w:t>Update subject, year group, term, scheme reference, title or description as needed.</w:t>
      </w:r>
    </w:p>
    <w:p>
      <w:pPr>
        <w:pStyle w:val="ListNumber"/>
        <w:spacing w:after="60"/>
        <w:ind w:left="360"/>
      </w:pPr>
      <w:r>
        <w:t>Add or remove skills/framework references.</w:t>
      </w:r>
    </w:p>
    <w:p>
      <w:pPr>
        <w:pStyle w:val="ListNumber"/>
        <w:spacing w:after="60"/>
        <w:ind w:left="360"/>
      </w:pPr>
      <w:r>
        <w:t>Add or remove Cross-Cutting Theme elements.</w:t>
      </w:r>
    </w:p>
    <w:p>
      <w:pPr>
        <w:pStyle w:val="ListNumber"/>
        <w:spacing w:after="60"/>
        <w:ind w:left="360"/>
      </w:pPr>
      <w:r>
        <w:t>Click Save changes. Use Back to subject browser to return to the same subject context.</w:t>
      </w:r>
    </w:p>
    <w:tbl>
      <w:tblPr>
        <w:tblW w:type="auto" w:w="0"/>
        <w:jc w:val="center"/>
        <w:tblLayout w:type="fixed"/>
        <w:tblLook w:firstColumn="1" w:firstRow="1" w:lastColumn="0" w:lastRow="0" w:noHBand="0" w:noVBand="1" w:val="04A0"/>
        <w:tblCellMar>
          <w:top w:w="120" w:type="dxa"/>
          <w:bottom w:w="120" w:type="dxa"/>
          <w:start w:w="160" w:type="dxa"/>
          <w:end w:w="160" w:type="dxa"/>
        </w:tblCellMar>
      </w:tblPr>
      <w:tblGrid>
        <w:gridCol w:w="10080"/>
      </w:tblGrid>
      <w:tr>
        <w:trPr>
          <w:tblHeader w:val="1"/>
        </w:trPr>
        <w:tc>
          <w:tcPr>
            <w:tcW w:type="dxa" w:w="9288"/>
            <w:shd w:fill="FFF7ED"/>
            <w:tcBorders>
              <w:top w:val="single" w:sz="6" w:color="E8CFE0"/>
              <w:left w:val="single" w:sz="6" w:color="E8CFE0"/>
              <w:bottom w:val="single" w:sz="6" w:color="E8CFE0"/>
              <w:right w:val="single" w:sz="6" w:color="E8CFE0"/>
            </w:tcBorders>
          </w:tcPr>
          <w:p>
            <w:pPr>
              <w:spacing w:after="80"/>
            </w:pPr>
            <w:r>
              <w:rPr>
                <w:rFonts w:ascii="Calibri" w:hAnsi="Calibri"/>
                <w:b/>
                <w:color w:val="571435"/>
                <w:sz w:val="21"/>
              </w:rPr>
              <w:t>Careful editing</w:t>
            </w:r>
          </w:p>
          <w:p>
            <w:pPr>
              <w:spacing w:after="0"/>
            </w:pPr>
            <w:r>
              <w:rPr>
                <w:rFonts w:ascii="Calibri" w:hAnsi="Calibri"/>
              </w:rPr>
              <w:t>Only edit entries you are responsible for. If unsure, check with your subject lead. Editing should improve accuracy, not overwrite another teacher’s curriculum planning unexpectedly.</w:t>
            </w:r>
          </w:p>
        </w:tc>
      </w:tr>
    </w:tbl>
    <w:p>
      <w:pPr>
        <w:spacing w:after="40"/>
      </w:pPr>
    </w:p>
    <w:p>
      <w:pPr>
        <w:spacing w:after="60"/>
      </w:pPr>
      <w:r>
        <w:rPr>
          <w:rFonts w:ascii="Calibri" w:hAnsi="Calibri"/>
          <w:b/>
          <w:caps/>
          <w:color w:val="741B47"/>
          <w:sz w:val="18"/>
        </w:rPr>
        <w:t>DELETING OR ARCHIVING CURRICULUM</w:t>
      </w:r>
    </w:p>
    <w:p>
      <w:pPr>
        <w:pStyle w:val="Heading1"/>
      </w:pPr>
      <w:r>
        <w:t>Deleting or Archiving Curriculum</w:t>
      </w:r>
    </w:p>
    <w:p>
      <w:r>
        <w:t>Admin users may see a Delete mapping button when editing a mapping. Deleting a mapping removes the parent curriculum entry and its linked skills and Cross-Cutting Theme evidence. Teachers who do not see this option should contact a subject lead or system administrator.</w:t>
      </w:r>
    </w:p>
    <w:tbl>
      <w:tblPr>
        <w:tblStyle w:val="TableGrid"/>
        <w:tblW w:type="auto" w:w="0"/>
        <w:jc w:val="center"/>
        <w:tblLayout w:type="fixed"/>
        <w:tblLook w:firstColumn="1" w:firstRow="1" w:lastColumn="0" w:lastRow="0" w:noHBand="0" w:noVBand="1" w:val="04A0"/>
        <w:tblCellMar>
          <w:top w:w="80" w:type="dxa"/>
          <w:bottom w:w="80" w:type="dxa"/>
          <w:start w:w="120" w:type="dxa"/>
          <w:end w:w="120" w:type="dxa"/>
        </w:tblCellMar>
      </w:tblPr>
      <w:tblGrid>
        <w:gridCol w:w="5040"/>
        <w:gridCol w:w="5040"/>
      </w:tblGrid>
      <w:tr>
        <w:trPr>
          <w:tblHeader w:val="1"/>
        </w:trPr>
        <w:tc>
          <w:tcPr>
            <w:tcW w:type="dxa" w:w="3168"/>
            <w:shd w:fill="741B47"/>
            <w:tcBorders>
              <w:top w:val="single" w:sz="6" w:color="741B47"/>
              <w:left w:val="single" w:sz="6" w:color="741B47"/>
              <w:bottom w:val="single" w:sz="6" w:color="741B47"/>
              <w:right w:val="single" w:sz="6" w:color="741B47"/>
            </w:tcBorders>
            <w:vAlign w:val="center"/>
          </w:tcPr>
          <w:p>
            <w:pPr>
              <w:jc w:val="left"/>
            </w:pPr>
            <w:r>
              <w:rPr>
                <w:rFonts w:ascii="Calibri" w:hAnsi="Calibri"/>
                <w:b/>
                <w:color w:val="FFFFFF"/>
                <w:sz w:val="19"/>
              </w:rPr>
              <w:t>Situation</w:t>
            </w:r>
          </w:p>
        </w:tc>
        <w:tc>
          <w:tcPr>
            <w:tcW w:type="dxa" w:w="6120"/>
            <w:shd w:fill="741B47"/>
            <w:tcBorders>
              <w:top w:val="single" w:sz="6" w:color="741B47"/>
              <w:left w:val="single" w:sz="6" w:color="741B47"/>
              <w:bottom w:val="single" w:sz="6" w:color="741B47"/>
              <w:right w:val="single" w:sz="6" w:color="741B47"/>
            </w:tcBorders>
            <w:vAlign w:val="center"/>
          </w:tcPr>
          <w:p>
            <w:pPr>
              <w:jc w:val="left"/>
            </w:pPr>
            <w:r>
              <w:rPr>
                <w:rFonts w:ascii="Calibri" w:hAnsi="Calibri"/>
                <w:b/>
                <w:color w:val="FFFFFF"/>
                <w:sz w:val="19"/>
              </w:rPr>
              <w:t>Better action</w:t>
            </w:r>
          </w:p>
        </w:tc>
      </w:tr>
      <w:tr>
        <w:tc>
          <w:tcPr>
            <w:tcW w:type="dxa" w:w="504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Spelling mistake or minor wording problem</w:t>
            </w:r>
          </w:p>
        </w:tc>
        <w:tc>
          <w:tcPr>
            <w:tcW w:type="dxa" w:w="504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Edit the entry and save changes.</w:t>
            </w:r>
          </w:p>
        </w:tc>
      </w:tr>
      <w:tr>
        <w:tc>
          <w:tcPr>
            <w:tcW w:type="dxa" w:w="504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Curriculum content has changed</w:t>
            </w:r>
          </w:p>
        </w:tc>
        <w:tc>
          <w:tcPr>
            <w:tcW w:type="dxa" w:w="504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Update the existing entry so the journey remains accurate.</w:t>
            </w:r>
          </w:p>
        </w:tc>
      </w:tr>
      <w:tr>
        <w:tc>
          <w:tcPr>
            <w:tcW w:type="dxa" w:w="504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Duplicate entry was created by mistake</w:t>
            </w:r>
          </w:p>
        </w:tc>
        <w:tc>
          <w:tcPr>
            <w:tcW w:type="dxa" w:w="504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Ask an admin to delete the duplicate mapping.</w:t>
            </w:r>
          </w:p>
        </w:tc>
      </w:tr>
      <w:tr>
        <w:tc>
          <w:tcPr>
            <w:tcW w:type="dxa" w:w="504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Outdated curriculum no longer taught</w:t>
            </w:r>
          </w:p>
        </w:tc>
        <w:tc>
          <w:tcPr>
            <w:tcW w:type="dxa" w:w="504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Check with the subject lead before deleting or archiving.</w:t>
            </w:r>
          </w:p>
        </w:tc>
      </w:tr>
    </w:tbl>
    <w:p>
      <w:pPr>
        <w:spacing w:after="60"/>
      </w:pPr>
    </w:p>
    <w:p>
      <w:pPr>
        <w:spacing w:after="60"/>
      </w:pPr>
      <w:r>
        <w:rPr>
          <w:rFonts w:ascii="Calibri" w:hAnsi="Calibri"/>
          <w:b/>
          <w:caps/>
          <w:color w:val="741B47"/>
          <w:sz w:val="18"/>
        </w:rPr>
        <w:t>VIEWING SUBJECT HEALTH</w:t>
      </w:r>
    </w:p>
    <w:p>
      <w:pPr>
        <w:pStyle w:val="Heading1"/>
      </w:pPr>
      <w:r>
        <w:t>Viewing Subject Health</w:t>
      </w:r>
    </w:p>
    <w:p>
      <w:r>
        <w:t>Subject Health is a curriculum review tool. It is not a judgement on individual teachers. It helps departments spot where curriculum evidence is strong, thin, repeated or missing.</w:t>
      </w:r>
    </w:p>
    <w:tbl>
      <w:tblPr>
        <w:tblStyle w:val="TableGrid"/>
        <w:tblW w:type="auto" w:w="0"/>
        <w:jc w:val="center"/>
        <w:tblLayout w:type="fixed"/>
        <w:tblLook w:firstColumn="1" w:firstRow="1" w:lastColumn="0" w:lastRow="0" w:noHBand="0" w:noVBand="1" w:val="04A0"/>
        <w:tblCellMar>
          <w:top w:w="80" w:type="dxa"/>
          <w:bottom w:w="80" w:type="dxa"/>
          <w:start w:w="120" w:type="dxa"/>
          <w:end w:w="120" w:type="dxa"/>
        </w:tblCellMar>
      </w:tblPr>
      <w:tblGrid>
        <w:gridCol w:w="3360"/>
        <w:gridCol w:w="3360"/>
        <w:gridCol w:w="3360"/>
      </w:tblGrid>
      <w:tr>
        <w:trPr>
          <w:tblHeader w:val="1"/>
        </w:trPr>
        <w:tc>
          <w:tcPr>
            <w:tcW w:type="dxa" w:w="2376"/>
            <w:shd w:fill="741B47"/>
            <w:tcBorders>
              <w:top w:val="single" w:sz="6" w:color="741B47"/>
              <w:left w:val="single" w:sz="6" w:color="741B47"/>
              <w:bottom w:val="single" w:sz="6" w:color="741B47"/>
              <w:right w:val="single" w:sz="6" w:color="741B47"/>
            </w:tcBorders>
            <w:vAlign w:val="center"/>
          </w:tcPr>
          <w:p>
            <w:pPr>
              <w:jc w:val="left"/>
            </w:pPr>
            <w:r>
              <w:rPr>
                <w:rFonts w:ascii="Calibri" w:hAnsi="Calibri"/>
                <w:b/>
                <w:color w:val="FFFFFF"/>
                <w:sz w:val="19"/>
              </w:rPr>
              <w:t>Indicator</w:t>
            </w:r>
          </w:p>
        </w:tc>
        <w:tc>
          <w:tcPr>
            <w:tcW w:type="dxa" w:w="3528"/>
            <w:shd w:fill="741B47"/>
            <w:tcBorders>
              <w:top w:val="single" w:sz="6" w:color="741B47"/>
              <w:left w:val="single" w:sz="6" w:color="741B47"/>
              <w:bottom w:val="single" w:sz="6" w:color="741B47"/>
              <w:right w:val="single" w:sz="6" w:color="741B47"/>
            </w:tcBorders>
            <w:vAlign w:val="center"/>
          </w:tcPr>
          <w:p>
            <w:pPr>
              <w:jc w:val="left"/>
            </w:pPr>
            <w:r>
              <w:rPr>
                <w:rFonts w:ascii="Calibri" w:hAnsi="Calibri"/>
                <w:b/>
                <w:color w:val="FFFFFF"/>
                <w:sz w:val="19"/>
              </w:rPr>
              <w:t>What it may suggest</w:t>
            </w:r>
          </w:p>
        </w:tc>
        <w:tc>
          <w:tcPr>
            <w:tcW w:type="dxa" w:w="3456"/>
            <w:shd w:fill="741B47"/>
            <w:tcBorders>
              <w:top w:val="single" w:sz="6" w:color="741B47"/>
              <w:left w:val="single" w:sz="6" w:color="741B47"/>
              <w:bottom w:val="single" w:sz="6" w:color="741B47"/>
              <w:right w:val="single" w:sz="6" w:color="741B47"/>
            </w:tcBorders>
            <w:vAlign w:val="center"/>
          </w:tcPr>
          <w:p>
            <w:pPr>
              <w:jc w:val="left"/>
            </w:pPr>
            <w:r>
              <w:rPr>
                <w:rFonts w:ascii="Calibri" w:hAnsi="Calibri"/>
                <w:b/>
                <w:color w:val="FFFFFF"/>
                <w:sz w:val="19"/>
              </w:rPr>
              <w:t>Possible action</w:t>
            </w:r>
          </w:p>
        </w:tc>
      </w:tr>
      <w:tr>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Low DCF coverage</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Digital skills may be under-recorded or not explicitly taught.</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Review where digital competence is genuinely developed.</w:t>
            </w:r>
          </w:p>
        </w:tc>
      </w:tr>
      <w:tr>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Many unmapped entries</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Activities exist but evidence links have not been added.</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Add appropriate skills or theme references.</w:t>
            </w:r>
          </w:p>
        </w:tc>
      </w:tr>
      <w:tr>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Repeated same element</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Coverage may be narrow.</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Check breadth of skills coverage across the year.</w:t>
            </w:r>
          </w:p>
        </w:tc>
      </w:tr>
      <w:tr>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Strong coverage but weak notes</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Evidence exists but may not be clear to reviewers.</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Improve concise notes explaining the link.</w:t>
            </w:r>
          </w:p>
        </w:tc>
      </w:tr>
      <w:tr>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No theme elements in a year group</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Wider curriculum themes may not be visible.</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Review authentic Cross-Cutting Theme opportunities.</w:t>
            </w:r>
          </w:p>
        </w:tc>
      </w:tr>
    </w:tbl>
    <w:p>
      <w:pPr>
        <w:spacing w:after="60"/>
      </w:pPr>
    </w:p>
    <w:p>
      <w:pPr>
        <w:spacing w:after="60"/>
      </w:pPr>
      <w:r>
        <w:rPr>
          <w:rFonts w:ascii="Calibri" w:hAnsi="Calibri"/>
          <w:b/>
          <w:caps/>
          <w:color w:val="741B47"/>
          <w:sz w:val="18"/>
        </w:rPr>
        <w:t>BROWSING OTHER SUBJECTS</w:t>
      </w:r>
    </w:p>
    <w:p>
      <w:pPr>
        <w:pStyle w:val="Heading1"/>
      </w:pPr>
      <w:r>
        <w:t>Browsing Other Subjects</w:t>
      </w:r>
    </w:p>
    <w:p>
      <w:r>
        <w:t>Browsing other subjects supports curriculum awareness and collaboration. It is not for editing another subject’s curriculum unless you are authorised.</w:t>
      </w:r>
    </w:p>
    <w:p>
      <w:pPr>
        <w:pStyle w:val="ListBullet"/>
        <w:spacing w:after="60"/>
        <w:ind w:left="360"/>
      </w:pPr>
      <w:r>
        <w:t>Use Subject View or Subject Detail to review another subject’s mapped curriculum journey.</w:t>
      </w:r>
    </w:p>
    <w:p>
      <w:pPr>
        <w:pStyle w:val="ListBullet"/>
        <w:spacing w:after="60"/>
        <w:ind w:left="360"/>
      </w:pPr>
      <w:r>
        <w:t>Use Skills Explorer to browse mapped activities by framework, strand, element, subject or year group.</w:t>
      </w:r>
    </w:p>
    <w:p>
      <w:pPr>
        <w:pStyle w:val="ListBullet"/>
        <w:spacing w:after="60"/>
        <w:ind w:left="360"/>
      </w:pPr>
      <w:r>
        <w:t>Use Progression Overview to see mapped opportunities by progression step.</w:t>
      </w:r>
    </w:p>
    <w:p>
      <w:pPr>
        <w:pStyle w:val="ListBullet"/>
        <w:spacing w:after="60"/>
        <w:ind w:left="360"/>
      </w:pPr>
      <w:r>
        <w:t>Use Year Group Journey to understand how evidence is distributed across years.</w:t>
      </w:r>
    </w:p>
    <w:p>
      <w:pPr>
        <w:pStyle w:val="ListBullet"/>
        <w:spacing w:after="60"/>
        <w:ind w:left="360"/>
      </w:pPr>
      <w:r>
        <w:t>Use Framework Browser to inspect the live framework, strand, element and descriptor data.</w:t>
      </w:r>
    </w:p>
    <w:tbl>
      <w:tblPr>
        <w:tblW w:type="auto" w:w="0"/>
        <w:jc w:val="center"/>
        <w:tblLayout w:type="fixed"/>
        <w:tblLook w:firstColumn="1" w:firstRow="1" w:lastColumn="0" w:lastRow="0" w:noHBand="0" w:noVBand="1" w:val="04A0"/>
        <w:tblCellMar>
          <w:top w:w="120" w:type="dxa"/>
          <w:bottom w:w="120" w:type="dxa"/>
          <w:start w:w="160" w:type="dxa"/>
          <w:end w:w="160" w:type="dxa"/>
        </w:tblCellMar>
      </w:tblPr>
      <w:tblGrid>
        <w:gridCol w:w="10080"/>
      </w:tblGrid>
      <w:tr>
        <w:trPr>
          <w:tblHeader w:val="1"/>
        </w:trPr>
        <w:tc>
          <w:tcPr>
            <w:tcW w:type="dxa" w:w="9288"/>
            <w:shd w:fill="F7EDF3"/>
            <w:tcBorders>
              <w:top w:val="single" w:sz="6" w:color="E8CFE0"/>
              <w:left w:val="single" w:sz="6" w:color="E8CFE0"/>
              <w:bottom w:val="single" w:sz="6" w:color="E8CFE0"/>
              <w:right w:val="single" w:sz="6" w:color="E8CFE0"/>
            </w:tcBorders>
          </w:tcPr>
          <w:p>
            <w:pPr>
              <w:spacing w:after="80"/>
            </w:pPr>
            <w:r>
              <w:rPr>
                <w:rFonts w:ascii="Calibri" w:hAnsi="Calibri"/>
                <w:b/>
                <w:color w:val="571435"/>
                <w:sz w:val="21"/>
              </w:rPr>
              <w:t>Professional use</w:t>
            </w:r>
          </w:p>
          <w:p>
            <w:pPr>
              <w:spacing w:after="0"/>
            </w:pPr>
            <w:r>
              <w:rPr>
                <w:rFonts w:ascii="Calibri" w:hAnsi="Calibri"/>
              </w:rPr>
              <w:t>Browsing other subjects is for curriculum awareness, collaboration and whole-school skills planning. If you spot an issue, discuss it with the relevant subject lead rather than editing directly unless authorised.</w:t>
            </w:r>
          </w:p>
        </w:tc>
      </w:tr>
    </w:tbl>
    <w:p>
      <w:pPr>
        <w:spacing w:after="40"/>
      </w:pPr>
    </w:p>
    <w:p>
      <w:pPr>
        <w:spacing w:after="60"/>
      </w:pPr>
      <w:r>
        <w:rPr>
          <w:rFonts w:ascii="Calibri" w:hAnsi="Calibri"/>
          <w:b/>
          <w:caps/>
          <w:color w:val="741B47"/>
          <w:sz w:val="18"/>
        </w:rPr>
        <w:t>GOOD MAPPING PRINCIPLES</w:t>
      </w:r>
    </w:p>
    <w:p>
      <w:pPr>
        <w:pStyle w:val="Heading1"/>
      </w:pPr>
      <w:r>
        <w:t>Good Mapping Principles</w:t>
      </w:r>
    </w:p>
    <w:tbl>
      <w:tblPr>
        <w:tblStyle w:val="TableGrid"/>
        <w:tblW w:type="auto" w:w="0"/>
        <w:jc w:val="center"/>
        <w:tblLayout w:type="fixed"/>
        <w:tblLook w:firstColumn="1" w:firstRow="1" w:lastColumn="0" w:lastRow="0" w:noHBand="0" w:noVBand="1" w:val="04A0"/>
        <w:tblCellMar>
          <w:top w:w="80" w:type="dxa"/>
          <w:bottom w:w="80" w:type="dxa"/>
          <w:start w:w="120" w:type="dxa"/>
          <w:end w:w="120" w:type="dxa"/>
        </w:tblCellMar>
      </w:tblPr>
      <w:tblGrid>
        <w:gridCol w:w="5040"/>
        <w:gridCol w:w="5040"/>
      </w:tblGrid>
      <w:tr>
        <w:trPr>
          <w:tblHeader w:val="1"/>
        </w:trPr>
        <w:tc>
          <w:tcPr>
            <w:tcW w:type="dxa" w:w="4608"/>
            <w:shd w:fill="741B47"/>
            <w:tcBorders>
              <w:top w:val="single" w:sz="6" w:color="741B47"/>
              <w:left w:val="single" w:sz="6" w:color="741B47"/>
              <w:bottom w:val="single" w:sz="6" w:color="741B47"/>
              <w:right w:val="single" w:sz="6" w:color="741B47"/>
            </w:tcBorders>
            <w:vAlign w:val="center"/>
          </w:tcPr>
          <w:p>
            <w:pPr>
              <w:jc w:val="left"/>
            </w:pPr>
            <w:r>
              <w:rPr>
                <w:rFonts w:ascii="Calibri" w:hAnsi="Calibri"/>
                <w:b/>
                <w:color w:val="FFFFFF"/>
                <w:sz w:val="19"/>
              </w:rPr>
              <w:t>Do</w:t>
            </w:r>
          </w:p>
        </w:tc>
        <w:tc>
          <w:tcPr>
            <w:tcW w:type="dxa" w:w="4608"/>
            <w:shd w:fill="741B47"/>
            <w:tcBorders>
              <w:top w:val="single" w:sz="6" w:color="741B47"/>
              <w:left w:val="single" w:sz="6" w:color="741B47"/>
              <w:bottom w:val="single" w:sz="6" w:color="741B47"/>
              <w:right w:val="single" w:sz="6" w:color="741B47"/>
            </w:tcBorders>
            <w:vAlign w:val="center"/>
          </w:tcPr>
          <w:p>
            <w:pPr>
              <w:jc w:val="left"/>
            </w:pPr>
            <w:r>
              <w:rPr>
                <w:rFonts w:ascii="Calibri" w:hAnsi="Calibri"/>
                <w:b/>
                <w:color w:val="FFFFFF"/>
                <w:sz w:val="19"/>
              </w:rPr>
              <w:t>Avoid</w:t>
            </w:r>
          </w:p>
        </w:tc>
      </w:tr>
      <w:tr>
        <w:tc>
          <w:tcPr>
            <w:tcW w:type="dxa" w:w="504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Map specific taught opportunities.</w:t>
            </w:r>
          </w:p>
        </w:tc>
        <w:tc>
          <w:tcPr>
            <w:tcW w:type="dxa" w:w="504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Mapping whole units vaguely.</w:t>
            </w:r>
          </w:p>
        </w:tc>
      </w:tr>
      <w:tr>
        <w:tc>
          <w:tcPr>
            <w:tcW w:type="dxa" w:w="504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Use concise evidence notes.</w:t>
            </w:r>
          </w:p>
        </w:tc>
        <w:tc>
          <w:tcPr>
            <w:tcW w:type="dxa" w:w="504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Adding every framework element just in case.</w:t>
            </w:r>
          </w:p>
        </w:tc>
      </w:tr>
      <w:tr>
        <w:tc>
          <w:tcPr>
            <w:tcW w:type="dxa" w:w="504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Check progression across year groups.</w:t>
            </w:r>
          </w:p>
        </w:tc>
        <w:tc>
          <w:tcPr>
            <w:tcW w:type="dxa" w:w="504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Treating mapping as a compliance tick-box.</w:t>
            </w:r>
          </w:p>
        </w:tc>
      </w:tr>
      <w:tr>
        <w:tc>
          <w:tcPr>
            <w:tcW w:type="dxa" w:w="504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Discuss gaps as a department.</w:t>
            </w:r>
          </w:p>
        </w:tc>
        <w:tc>
          <w:tcPr>
            <w:tcW w:type="dxa" w:w="504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Duplicating entries instead of editing existing ones.</w:t>
            </w:r>
          </w:p>
        </w:tc>
      </w:tr>
      <w:tr>
        <w:tc>
          <w:tcPr>
            <w:tcW w:type="dxa" w:w="504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Think about the learner experience.</w:t>
            </w:r>
          </w:p>
        </w:tc>
        <w:tc>
          <w:tcPr>
            <w:tcW w:type="dxa" w:w="504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Mapping skills that pupils do not actually practise.</w:t>
            </w:r>
          </w:p>
        </w:tc>
      </w:tr>
    </w:tbl>
    <w:p>
      <w:pPr>
        <w:spacing w:after="60"/>
      </w:pPr>
    </w:p>
    <w:tbl>
      <w:tblPr>
        <w:tblW w:type="auto" w:w="0"/>
        <w:jc w:val="center"/>
        <w:tblLayout w:type="fixed"/>
        <w:tblLook w:firstColumn="1" w:firstRow="1" w:lastColumn="0" w:lastRow="0" w:noHBand="0" w:noVBand="1" w:val="04A0"/>
        <w:tblCellMar>
          <w:top w:w="120" w:type="dxa"/>
          <w:bottom w:w="120" w:type="dxa"/>
          <w:start w:w="160" w:type="dxa"/>
          <w:end w:w="160" w:type="dxa"/>
        </w:tblCellMar>
      </w:tblPr>
      <w:tblGrid>
        <w:gridCol w:w="10080"/>
      </w:tblGrid>
      <w:tr>
        <w:trPr>
          <w:tblHeader w:val="1"/>
        </w:trPr>
        <w:tc>
          <w:tcPr>
            <w:tcW w:type="dxa" w:w="9288"/>
            <w:shd w:fill="F7EDF3"/>
            <w:tcBorders>
              <w:top w:val="single" w:sz="6" w:color="E8CFE0"/>
              <w:left w:val="single" w:sz="6" w:color="E8CFE0"/>
              <w:bottom w:val="single" w:sz="6" w:color="E8CFE0"/>
              <w:right w:val="single" w:sz="6" w:color="E8CFE0"/>
            </w:tcBorders>
          </w:tcPr>
          <w:p>
            <w:pPr>
              <w:spacing w:after="80"/>
            </w:pPr>
            <w:r>
              <w:rPr>
                <w:rFonts w:ascii="Calibri" w:hAnsi="Calibri"/>
                <w:b/>
                <w:color w:val="571435"/>
                <w:sz w:val="21"/>
              </w:rPr>
              <w:t>Quality over coverage</w:t>
            </w:r>
          </w:p>
          <w:p>
            <w:pPr>
              <w:spacing w:after="0"/>
            </w:pPr>
            <w:r>
              <w:rPr>
                <w:rFonts w:ascii="Calibri" w:hAnsi="Calibri"/>
              </w:rPr>
              <w:t>A smaller number of accurate, well-evidenced mappings is more useful than a large number of vague links. The question is: where do pupils genuinely develop this skill or theme?</w:t>
            </w:r>
          </w:p>
        </w:tc>
      </w:tr>
    </w:tbl>
    <w:p>
      <w:pPr>
        <w:spacing w:after="40"/>
      </w:pPr>
    </w:p>
    <w:p>
      <w:pPr>
        <w:spacing w:after="60"/>
      </w:pPr>
      <w:r>
        <w:rPr>
          <w:rFonts w:ascii="Calibri" w:hAnsi="Calibri"/>
          <w:b/>
          <w:caps/>
          <w:color w:val="741B47"/>
          <w:sz w:val="18"/>
        </w:rPr>
        <w:t>SUBJECT LEADER USE</w:t>
      </w:r>
    </w:p>
    <w:p>
      <w:pPr>
        <w:pStyle w:val="Heading1"/>
      </w:pPr>
      <w:r>
        <w:t>Subject Leader Use</w:t>
      </w:r>
    </w:p>
    <w:p>
      <w:r>
        <w:t>Subject leaders can use the tracker to support department review, curriculum conversations and improvement planning.</w:t>
      </w:r>
    </w:p>
    <w:p>
      <w:pPr>
        <w:pStyle w:val="ListBullet"/>
        <w:spacing w:after="60"/>
        <w:ind w:left="360"/>
      </w:pPr>
      <w:r>
        <w:t>Review curriculum by year group and term.</w:t>
      </w:r>
    </w:p>
    <w:p>
      <w:pPr>
        <w:pStyle w:val="ListBullet"/>
        <w:spacing w:after="60"/>
        <w:ind w:left="360"/>
      </w:pPr>
      <w:r>
        <w:t>Check whether key schemes of learning have been mapped.</w:t>
      </w:r>
    </w:p>
    <w:p>
      <w:pPr>
        <w:pStyle w:val="ListBullet"/>
        <w:spacing w:after="60"/>
        <w:ind w:left="360"/>
      </w:pPr>
      <w:r>
        <w:t>Look for Literacy, Numeracy and DCF evidence across the subject journey.</w:t>
      </w:r>
    </w:p>
    <w:p>
      <w:pPr>
        <w:pStyle w:val="ListBullet"/>
        <w:spacing w:after="60"/>
        <w:ind w:left="360"/>
      </w:pPr>
      <w:r>
        <w:t>Check whether Cross-Cutting Theme elements are visible where appropriate.</w:t>
      </w:r>
    </w:p>
    <w:p>
      <w:pPr>
        <w:pStyle w:val="ListBullet"/>
        <w:spacing w:after="60"/>
        <w:ind w:left="360"/>
      </w:pPr>
      <w:r>
        <w:t>Use Subject Health Report to identify gaps and strengths.</w:t>
      </w:r>
    </w:p>
    <w:p>
      <w:pPr>
        <w:pStyle w:val="ListBullet"/>
        <w:spacing w:after="60"/>
        <w:ind w:left="360"/>
      </w:pPr>
      <w:r>
        <w:t>Use reports as prompts for professional conversation, not as a compliance checklist.</w:t>
      </w:r>
    </w:p>
    <w:p>
      <w:pPr>
        <w:pStyle w:val="Heading2"/>
      </w:pPr>
      <w:r>
        <w:t>Useful subject leader questions</w:t>
      </w:r>
    </w:p>
    <w:p>
      <w:pPr>
        <w:pStyle w:val="ListBullet"/>
        <w:spacing w:after="60"/>
        <w:ind w:left="360"/>
      </w:pPr>
      <w:r>
        <w:t>Where are pupils explicitly developing Literacy?</w:t>
      </w:r>
    </w:p>
    <w:p>
      <w:pPr>
        <w:pStyle w:val="ListBullet"/>
        <w:spacing w:after="60"/>
        <w:ind w:left="360"/>
      </w:pPr>
      <w:r>
        <w:t>Where is Numeracy genuinely embedded?</w:t>
      </w:r>
    </w:p>
    <w:p>
      <w:pPr>
        <w:pStyle w:val="ListBullet"/>
        <w:spacing w:after="60"/>
        <w:ind w:left="360"/>
      </w:pPr>
      <w:r>
        <w:t>Where is DCF meaningful rather than tokenistic?</w:t>
      </w:r>
    </w:p>
    <w:p>
      <w:pPr>
        <w:pStyle w:val="ListBullet"/>
        <w:spacing w:after="60"/>
        <w:ind w:left="360"/>
      </w:pPr>
      <w:r>
        <w:t>Are Cross-Cutting Themes visible across the curriculum?</w:t>
      </w:r>
    </w:p>
    <w:p>
      <w:pPr>
        <w:pStyle w:val="ListBullet"/>
        <w:spacing w:after="60"/>
        <w:ind w:left="360"/>
      </w:pPr>
      <w:r>
        <w:t>Is there progression from Year 7 to Year 9 and into Year 10 or Year 11 where relevant?</w:t>
      </w:r>
    </w:p>
    <w:p>
      <w:pPr>
        <w:pStyle w:val="ListBullet"/>
        <w:spacing w:after="60"/>
        <w:ind w:left="360"/>
      </w:pPr>
      <w:r>
        <w:t>Are we repeating the same skills while missing other important elements?</w:t>
      </w:r>
    </w:p>
    <w:p>
      <w:pPr>
        <w:spacing w:after="60"/>
      </w:pPr>
      <w:r>
        <w:rPr>
          <w:rFonts w:ascii="Calibri" w:hAnsi="Calibri"/>
          <w:b/>
          <w:caps/>
          <w:color w:val="741B47"/>
          <w:sz w:val="18"/>
        </w:rPr>
        <w:t>TROUBLESHOOTING</w:t>
      </w:r>
    </w:p>
    <w:p>
      <w:pPr>
        <w:pStyle w:val="Heading1"/>
      </w:pPr>
      <w:r>
        <w:t>Troubleshooting</w:t>
      </w:r>
    </w:p>
    <w:tbl>
      <w:tblPr>
        <w:tblStyle w:val="TableGrid"/>
        <w:tblW w:type="auto" w:w="0"/>
        <w:jc w:val="center"/>
        <w:tblLayout w:type="fixed"/>
        <w:tblLook w:firstColumn="1" w:firstRow="1" w:lastColumn="0" w:lastRow="0" w:noHBand="0" w:noVBand="1" w:val="04A0"/>
        <w:tblCellMar>
          <w:top w:w="80" w:type="dxa"/>
          <w:bottom w:w="80" w:type="dxa"/>
          <w:start w:w="120" w:type="dxa"/>
          <w:end w:w="120" w:type="dxa"/>
        </w:tblCellMar>
      </w:tblPr>
      <w:tblGrid>
        <w:gridCol w:w="3360"/>
        <w:gridCol w:w="3360"/>
        <w:gridCol w:w="3360"/>
      </w:tblGrid>
      <w:tr>
        <w:trPr>
          <w:tblHeader w:val="1"/>
        </w:trPr>
        <w:tc>
          <w:tcPr>
            <w:tcW w:type="dxa" w:w="2376"/>
            <w:shd w:fill="741B47"/>
            <w:tcBorders>
              <w:top w:val="single" w:sz="6" w:color="741B47"/>
              <w:left w:val="single" w:sz="6" w:color="741B47"/>
              <w:bottom w:val="single" w:sz="6" w:color="741B47"/>
              <w:right w:val="single" w:sz="6" w:color="741B47"/>
            </w:tcBorders>
            <w:vAlign w:val="center"/>
          </w:tcPr>
          <w:p>
            <w:pPr>
              <w:jc w:val="left"/>
            </w:pPr>
            <w:r>
              <w:rPr>
                <w:rFonts w:ascii="Calibri" w:hAnsi="Calibri"/>
                <w:b/>
                <w:color w:val="FFFFFF"/>
                <w:sz w:val="19"/>
              </w:rPr>
              <w:t>Problem</w:t>
            </w:r>
          </w:p>
        </w:tc>
        <w:tc>
          <w:tcPr>
            <w:tcW w:type="dxa" w:w="3168"/>
            <w:shd w:fill="741B47"/>
            <w:tcBorders>
              <w:top w:val="single" w:sz="6" w:color="741B47"/>
              <w:left w:val="single" w:sz="6" w:color="741B47"/>
              <w:bottom w:val="single" w:sz="6" w:color="741B47"/>
              <w:right w:val="single" w:sz="6" w:color="741B47"/>
            </w:tcBorders>
            <w:vAlign w:val="center"/>
          </w:tcPr>
          <w:p>
            <w:pPr>
              <w:jc w:val="left"/>
            </w:pPr>
            <w:r>
              <w:rPr>
                <w:rFonts w:ascii="Calibri" w:hAnsi="Calibri"/>
                <w:b/>
                <w:color w:val="FFFFFF"/>
                <w:sz w:val="19"/>
              </w:rPr>
              <w:t>Possible cause</w:t>
            </w:r>
          </w:p>
        </w:tc>
        <w:tc>
          <w:tcPr>
            <w:tcW w:type="dxa" w:w="3744"/>
            <w:shd w:fill="741B47"/>
            <w:tcBorders>
              <w:top w:val="single" w:sz="6" w:color="741B47"/>
              <w:left w:val="single" w:sz="6" w:color="741B47"/>
              <w:bottom w:val="single" w:sz="6" w:color="741B47"/>
              <w:right w:val="single" w:sz="6" w:color="741B47"/>
            </w:tcBorders>
            <w:vAlign w:val="center"/>
          </w:tcPr>
          <w:p>
            <w:pPr>
              <w:jc w:val="left"/>
            </w:pPr>
            <w:r>
              <w:rPr>
                <w:rFonts w:ascii="Calibri" w:hAnsi="Calibri"/>
                <w:b/>
                <w:color w:val="FFFFFF"/>
                <w:sz w:val="19"/>
              </w:rPr>
              <w:t>What to do</w:t>
            </w:r>
          </w:p>
        </w:tc>
      </w:tr>
      <w:tr>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I cannot log in.</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Your account/session may have expired or your account may not be set up.</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Go to the login page and sign in again. If it continues, contact the system administrator.</w:t>
            </w:r>
          </w:p>
        </w:tc>
      </w:tr>
      <w:tr>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I cannot see my subject.</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Your staff profile may not have the subject assigned.</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Ask an administrator to check your subject permissions.</w:t>
            </w:r>
          </w:p>
        </w:tc>
      </w:tr>
      <w:tr>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I cannot edit an entry.</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Your role may be read-only or the entry belongs to another subject.</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Check with your subject lead or administrator.</w:t>
            </w:r>
          </w:p>
        </w:tc>
      </w:tr>
      <w:tr>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My mapping has not saved.</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Required top fields may be incomplete, or the session may have expired.</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Check subject, year group, term and title, then try again. If redirected, sign in and retry.</w:t>
            </w:r>
          </w:p>
        </w:tc>
      </w:tr>
      <w:tr>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I cannot find a year group.</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A filter may be active or the entry may be saved under another year.</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Clear filters in Edit Curriculum and search by title or scheme reference.</w:t>
            </w:r>
          </w:p>
        </w:tc>
      </w:tr>
      <w:tr>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I accidentally added the wrong mapping.</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A duplicate or incorrect entry may have been saved.</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Edit it if possible, or ask an admin to delete the duplicate.</w:t>
            </w:r>
          </w:p>
        </w:tc>
      </w:tr>
      <w:tr>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Subject health does not look right.</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Mappings may be missing, duplicated or not linked to skills/theme elements.</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Use Edit Curriculum to inspect entries and check evidence links.</w:t>
            </w:r>
          </w:p>
        </w:tc>
      </w:tr>
    </w:tbl>
    <w:p>
      <w:pPr>
        <w:spacing w:after="60"/>
      </w:pPr>
    </w:p>
    <w:p>
      <w:pPr>
        <w:spacing w:after="60"/>
      </w:pPr>
      <w:r>
        <w:rPr>
          <w:rFonts w:ascii="Calibri" w:hAnsi="Calibri"/>
          <w:b/>
          <w:caps/>
          <w:color w:val="741B47"/>
          <w:sz w:val="18"/>
        </w:rPr>
        <w:t>FINAL CHECK</w:t>
      </w:r>
    </w:p>
    <w:p>
      <w:pPr>
        <w:pStyle w:val="Heading1"/>
      </w:pPr>
      <w:r>
        <w:t>Before Saving a Mapping</w:t>
      </w:r>
    </w:p>
    <w:p>
      <w:pPr>
        <w:pStyle w:val="ListBullet"/>
        <w:spacing w:after="60"/>
        <w:ind w:left="360"/>
      </w:pPr>
      <w:r>
        <w:t>Is the subject correct?</w:t>
      </w:r>
    </w:p>
    <w:p>
      <w:pPr>
        <w:pStyle w:val="ListBullet"/>
        <w:spacing w:after="60"/>
        <w:ind w:left="360"/>
      </w:pPr>
      <w:r>
        <w:t>Is the year group and term correct?</w:t>
      </w:r>
    </w:p>
    <w:p>
      <w:pPr>
        <w:pStyle w:val="ListBullet"/>
        <w:spacing w:after="60"/>
        <w:ind w:left="360"/>
      </w:pPr>
      <w:r>
        <w:t>Does the scheme/reference match the department plan?</w:t>
      </w:r>
    </w:p>
    <w:p>
      <w:pPr>
        <w:pStyle w:val="ListBullet"/>
        <w:spacing w:after="60"/>
        <w:ind w:left="360"/>
      </w:pPr>
      <w:r>
        <w:t>Does the title describe the activity clearly?</w:t>
      </w:r>
    </w:p>
    <w:p>
      <w:pPr>
        <w:pStyle w:val="ListBullet"/>
        <w:spacing w:after="60"/>
        <w:ind w:left="360"/>
      </w:pPr>
      <w:r>
        <w:t>Are skill references meaningful and not excessive?</w:t>
      </w:r>
    </w:p>
    <w:p>
      <w:pPr>
        <w:pStyle w:val="ListBullet"/>
        <w:spacing w:after="60"/>
        <w:ind w:left="360"/>
      </w:pPr>
      <w:r>
        <w:t>Have Cross-Cutting Theme elements been selected only where there is genuine evidence?</w:t>
      </w:r>
    </w:p>
    <w:p>
      <w:pPr>
        <w:pStyle w:val="ListBullet"/>
        <w:spacing w:after="60"/>
        <w:ind w:left="360"/>
      </w:pPr>
      <w:r>
        <w:t>Would another teacher understand the mapping from the description and notes?</w:t>
      </w:r>
    </w:p>
    <w:sectPr w:rsidR="00FC693F" w:rsidRPr="0006063C" w:rsidSect="00034616">
      <w:footerReference w:type="default" r:id="rId9"/>
      <w:headerReference w:type="default" r:id="rId10"/>
      <w:pgSz w:w="12240" w:h="15840"/>
      <w:pgMar w:top="1080" w:right="1080" w:bottom="1008" w:left="108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3"/>
        <w:sz w:val="18"/>
      </w:rPr>
      <w:t>Maximising Potential / Sicrhewch Ragoriaeth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B5563"/>
        <w:sz w:val="18"/>
      </w:rPr>
      <w:t>Caerleon Skills Tracker: Teacher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741B47"/>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57143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57143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