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AI-Native Hedge Fund — Bilingual Brief and Strategy Summary</w:t>
      </w:r>
    </w:p>
    <w:p>
      <w:pPr>
        <w:pStyle w:val="Title"/>
      </w:pPr>
      <w:r>
        <w:t>AI 原生对冲基金 — 双语简报与策略摘要</w:t>
      </w:r>
    </w:p>
    <w:p>
      <w:r>
        <w:t>Version 0.1 — 2026-03-19</w:t>
      </w:r>
    </w:p>
    <w:p>
      <w:r>
        <w:t>Short bilingual brief and strategy summary derived from the main business plan and strategy blueprint, intended for quick sharing with collaborators or early investor conversations.</w:t>
      </w:r>
    </w:p>
    <w:p>
      <w:r>
        <w:t>这是一份基于主业务计划与策略蓝图整理的双语简报与策略摘要，适合用于与合作方及早期投资人进行高效沟通。</w:t>
      </w:r>
    </w:p>
    <w:p>
      <w:pPr>
        <w:pStyle w:val="Heading1"/>
      </w:pPr>
      <w:r>
        <w:t>1. Concept / 核心概念</w:t>
      </w:r>
    </w:p>
    <w:p>
      <w:r>
        <w:t>An AI-native hedge fund is not a traditional fund with AI tools added on top. It is an investment firm built from the ground up around AI-assisted research synthesis, portfolio intelligence, and risk-aware decision support.</w:t>
      </w:r>
    </w:p>
    <w:p>
      <w:r>
        <w:t>AI 原生对冲基金，并不是在传统基金之上简单叠加 AI 工具，而是从底层架构开始，就围绕 AI 辅助的研究整合、组合洞察与风险驱动决策支持来打造的投资机构。</w:t>
      </w:r>
    </w:p>
    <w:p>
      <w:pPr>
        <w:pStyle w:val="Heading1"/>
      </w:pPr>
      <w:r>
        <w:t>2. The Core Belief / 核心判断</w:t>
      </w:r>
    </w:p>
    <w:p>
      <w:r>
        <w:t>The next generation of hedge funds will compete not only on people and capital, but on the quality of their internal intelligence systems.</w:t>
      </w:r>
    </w:p>
    <w:p>
      <w:r>
        <w:t>下一代对冲基金的竞争力，不仅取决于人才与资本，更取决于其内部智能系统的质量。</w:t>
      </w:r>
    </w:p>
    <w:p>
      <w:r>
        <w:t>Small teams can now operate with much broader research coverage because software and AI agents can absorb a large share of the information-processing workload.</w:t>
      </w:r>
    </w:p>
    <w:p>
      <w:r>
        <w:t>如今，小团队之所以能够实现更广的研究覆盖，核心在于软件与 AI Agent 已能够承担相当大比例的信息处理工作。</w:t>
      </w:r>
    </w:p>
    <w:p>
      <w:pPr>
        <w:pStyle w:val="Heading1"/>
      </w:pPr>
      <w:r>
        <w:t>3. The Problem / 行业痛点</w:t>
      </w:r>
    </w:p>
    <w:p>
      <w:r>
        <w:t>Traditional investment workflows are fragmented. Research lives across terminals, notes, chats, and PDFs. Risk is often reviewed too late. Scaling insight usually means hiring more people.</w:t>
      </w:r>
    </w:p>
    <w:p>
      <w:r>
        <w:t>传统投资流程往往较为割裂。研究信息散落在终端、笔记、聊天记录和 PDF 之间，风险识别通常偏慢，而研究能力的扩张也常常只能依赖增加人手。</w:t>
      </w:r>
    </w:p>
    <w:p>
      <w:r>
        <w:t>This makes the process slower, more expensive, and harder to improve.</w:t>
      </w:r>
    </w:p>
    <w:p>
      <w:r>
        <w:t>这会导致投资流程效率下降、运营成本上升，也使流程优化变得更困难。</w:t>
      </w:r>
    </w:p>
    <w:p>
      <w:pPr>
        <w:pStyle w:val="Heading1"/>
      </w:pPr>
      <w:r>
        <w:t>4. Our Solution / 我们的方案</w:t>
      </w:r>
    </w:p>
    <w:p>
      <w:r>
        <w:t>We are building a proprietary investment operating system that unifies:</w:t>
      </w:r>
    </w:p>
    <w:p>
      <w:r>
        <w:t>我们正在构建一套专有的投资操作系统，将以下核心能力整合到同一框架中：</w:t>
      </w:r>
    </w:p>
    <w:p>
      <w:pPr>
        <w:pStyle w:val="ListBullet"/>
      </w:pPr>
      <w:r>
        <w:t>portfolio monitoring and exposure analysis</w:t>
      </w:r>
    </w:p>
    <w:p>
      <w:pPr>
        <w:pStyle w:val="ListBullet"/>
      </w:pPr>
      <w:r>
        <w:t>组合监控与敞口分析</w:t>
      </w:r>
    </w:p>
    <w:p>
      <w:pPr>
        <w:pStyle w:val="ListBullet"/>
      </w:pPr>
      <w:r>
        <w:t>multi-timeframe market data infrastructure</w:t>
      </w:r>
    </w:p>
    <w:p>
      <w:pPr>
        <w:pStyle w:val="ListBullet"/>
      </w:pPr>
      <w:r>
        <w:t>多周期市场数据基础设施</w:t>
      </w:r>
    </w:p>
    <w:p>
      <w:pPr>
        <w:pStyle w:val="ListBullet"/>
      </w:pPr>
      <w:r>
        <w:t>technical and volatility analytics</w:t>
      </w:r>
    </w:p>
    <w:p>
      <w:pPr>
        <w:pStyle w:val="ListBullet"/>
      </w:pPr>
      <w:r>
        <w:t>技术分析与波动率分析</w:t>
      </w:r>
    </w:p>
    <w:p>
      <w:pPr>
        <w:pStyle w:val="ListBullet"/>
      </w:pPr>
      <w:r>
        <w:t>AI-driven news and macro intelligence</w:t>
      </w:r>
    </w:p>
    <w:p>
      <w:pPr>
        <w:pStyle w:val="ListBullet"/>
      </w:pPr>
      <w:r>
        <w:t>AI 驱动的新闻与宏观情报</w:t>
      </w:r>
    </w:p>
    <w:p>
      <w:pPr>
        <w:pStyle w:val="ListBullet"/>
      </w:pPr>
      <w:r>
        <w:t>AI-assisted portfolio advisory and screening</w:t>
      </w:r>
    </w:p>
    <w:p>
      <w:pPr>
        <w:pStyle w:val="ListBullet"/>
      </w:pPr>
      <w:r>
        <w:t>AI 辅助的组合建议与机会筛选</w:t>
      </w:r>
    </w:p>
    <w:p>
      <w:pPr>
        <w:pStyle w:val="ListBullet"/>
      </w:pPr>
      <w:r>
        <w:t>repeatable reporting and review workflows</w:t>
      </w:r>
    </w:p>
    <w:p>
      <w:pPr>
        <w:pStyle w:val="ListBullet"/>
      </w:pPr>
      <w:r>
        <w:t>可重复的报告与复盘流程</w:t>
      </w:r>
    </w:p>
    <w:p>
      <w:pPr>
        <w:pStyle w:val="Heading1"/>
      </w:pPr>
      <w:r>
        <w:t>5. What Makes It AI-Native / 为什么它是 AI 原生</w:t>
      </w:r>
    </w:p>
    <w:p>
      <w:r>
        <w:t>AI is embedded in the daily operating loop, not used as a side tool.</w:t>
      </w:r>
    </w:p>
    <w:p>
      <w:r>
        <w:t>AI 被嵌入到日常投资运作的核心流程之中，而不是作为边缘性的辅助工具存在。</w:t>
      </w:r>
    </w:p>
    <w:p>
      <w:r>
        <w:t>The system continuously ingests data, classifies information, monitors exposures, ranks opportunities, and generates structured recommendations for the portfolio manager.</w:t>
      </w:r>
    </w:p>
    <w:p>
      <w:r>
        <w:t>系统能够持续采集数据、归类信息、监控组合敞口、识别并排序机会，并向投资经理输出结构化建议。</w:t>
      </w:r>
    </w:p>
    <w:p>
      <w:r>
        <w:t>Human judgment remains responsible for final capital allocation and risk ownership.</w:t>
      </w:r>
    </w:p>
    <w:p>
      <w:r>
        <w:t>最终的资本配置决策与风险承担责任，仍然由人来掌握。</w:t>
      </w:r>
    </w:p>
    <w:p>
      <w:pPr>
        <w:pStyle w:val="Heading1"/>
      </w:pPr>
      <w:r>
        <w:t>6. Investment Style / 投资风格</w:t>
      </w:r>
    </w:p>
    <w:p>
      <w:r>
        <w:t>The initial strategy is best described as AI-amplified discretionary investing in liquid public markets, especially equities, options, and thematic baskets.</w:t>
      </w:r>
    </w:p>
    <w:p>
      <w:r>
        <w:t>初始策略更适合被定义为 AI 增强的主观型公开市场投资，重点覆盖股票、期权以及主题篮子。</w:t>
      </w:r>
    </w:p>
    <w:p>
      <w:r>
        <w:t>The platform combines macro context, portfolio context, event awareness, technical confirmation, and options-aware risk management.</w:t>
      </w:r>
    </w:p>
    <w:p>
      <w:r>
        <w:t>平台将宏观环境、组合状态、事件催化、技术确认以及期权风险管理有机结合在一起。</w:t>
      </w:r>
    </w:p>
    <w:p>
      <w:pPr>
        <w:pStyle w:val="Heading1"/>
      </w:pPr>
      <w:r>
        <w:t>7. Target Universe / 目标范围</w:t>
      </w:r>
    </w:p>
    <w:p>
      <w:r>
        <w:t>The initial opportunity set should stay focused on liquid public markets:</w:t>
      </w:r>
    </w:p>
    <w:p>
      <w:r>
        <w:t>初始机会集应聚焦于高流动性的公开市场：</w:t>
      </w:r>
    </w:p>
    <w:p>
      <w:pPr>
        <w:pStyle w:val="ListBullet"/>
      </w:pPr>
      <w:r>
        <w:t>large-cap and liquid mid-cap U.S. equities</w:t>
      </w:r>
    </w:p>
    <w:p>
      <w:pPr>
        <w:pStyle w:val="ListBullet"/>
      </w:pPr>
      <w:r>
        <w:t>美国大盘股及高流动性中盘股</w:t>
      </w:r>
    </w:p>
    <w:p>
      <w:pPr>
        <w:pStyle w:val="ListBullet"/>
      </w:pPr>
      <w:r>
        <w:t>index and single-name options with tradable liquidity</w:t>
      </w:r>
    </w:p>
    <w:p>
      <w:pPr>
        <w:pStyle w:val="ListBullet"/>
      </w:pPr>
      <w:r>
        <w:t>具备良好交易流动性的指数期权与个股期权</w:t>
      </w:r>
    </w:p>
    <w:p>
      <w:pPr>
        <w:pStyle w:val="ListBullet"/>
      </w:pPr>
      <w:r>
        <w:t>thematic baskets linked to sectors, macro trends, or catalysts</w:t>
      </w:r>
    </w:p>
    <w:p>
      <w:pPr>
        <w:pStyle w:val="ListBullet"/>
      </w:pPr>
      <w:r>
        <w:t>围绕行业、宏观趋势或事件催化构建的主题篮子</w:t>
      </w:r>
    </w:p>
    <w:p>
      <w:r>
        <w:t>The early strategy should avoid illiquid securities, overly complex structures, and markets where data or execution quality is weak.</w:t>
      </w:r>
    </w:p>
    <w:p>
      <w:r>
        <w:t>在早期阶段，策略应避免低流动性证券、过于复杂的结构性产品，以及在数据质量或执行把握上存在明显短板的市场。</w:t>
      </w:r>
    </w:p>
    <w:p>
      <w:pPr>
        <w:pStyle w:val="Heading1"/>
      </w:pPr>
      <w:r>
        <w:t>8. Sources of Edge / 优势来源</w:t>
      </w:r>
    </w:p>
    <w:p>
      <w:r>
        <w:t>The strategy does not depend on one magic signal. It depends on better information processing.</w:t>
      </w:r>
    </w:p>
    <w:p>
      <w:r>
        <w:t>这一策略并不依赖某一个“神奇信号”，而是依赖更高效、更系统化的信息处理能力。</w:t>
      </w:r>
    </w:p>
    <w:p>
      <w:pPr>
        <w:pStyle w:val="ListBullet"/>
      </w:pPr>
      <w:r>
        <w:t>faster synthesis of market, portfolio, and research inputs</w:t>
      </w:r>
    </w:p>
    <w:p>
      <w:pPr>
        <w:pStyle w:val="ListBullet"/>
      </w:pPr>
      <w:r>
        <w:t>更快整合市场、组合与研究输入</w:t>
      </w:r>
    </w:p>
    <w:p>
      <w:pPr>
        <w:pStyle w:val="ListBullet"/>
      </w:pPr>
      <w:r>
        <w:t>better prioritization of catalysts, setups, and risk</w:t>
      </w:r>
    </w:p>
    <w:p>
      <w:pPr>
        <w:pStyle w:val="ListBullet"/>
      </w:pPr>
      <w:r>
        <w:t>更有效地对催化、机会与风险进行优先级排序</w:t>
      </w:r>
    </w:p>
    <w:p>
      <w:pPr>
        <w:pStyle w:val="ListBullet"/>
      </w:pPr>
      <w:r>
        <w:t>better portfolio context when evaluating new ideas</w:t>
      </w:r>
    </w:p>
    <w:p>
      <w:pPr>
        <w:pStyle w:val="ListBullet"/>
      </w:pPr>
      <w:r>
        <w:t>在评估新机会时具备更完整的组合上下文</w:t>
      </w:r>
    </w:p>
    <w:p>
      <w:pPr>
        <w:pStyle w:val="ListBullet"/>
      </w:pPr>
      <w:r>
        <w:t>better feedback loops from recommendations, actions, and outcomes</w:t>
      </w:r>
    </w:p>
    <w:p>
      <w:pPr>
        <w:pStyle w:val="ListBullet"/>
      </w:pPr>
      <w:r>
        <w:t>从建议、执行与结果中形成更完整的反馈闭环</w:t>
      </w:r>
    </w:p>
    <w:p>
      <w:pPr>
        <w:pStyle w:val="Heading1"/>
      </w:pPr>
      <w:r>
        <w:t>9. Strategy Archetypes / 策略原型</w:t>
      </w:r>
    </w:p>
    <w:p>
      <w:r>
        <w:t>The operating system is best suited to a few repeatable trade archetypes:</w:t>
      </w:r>
    </w:p>
    <w:p>
      <w:r>
        <w:t>这套操作系统最适合支撑少数几类可重复、可迭代的交易原型：</w:t>
      </w:r>
    </w:p>
    <w:p>
      <w:pPr>
        <w:pStyle w:val="Heading2"/>
      </w:pPr>
      <w:r>
        <w:t>A. Catalyst-aware directional trades / 事件驱动方向性交易</w:t>
      </w:r>
    </w:p>
    <w:p>
      <w:r>
        <w:t>Build or reduce equity exposure around macro shifts, earnings, Fed events, or major news.</w:t>
      </w:r>
    </w:p>
    <w:p>
      <w:r>
        <w:t>围绕宏观变化、财报、联储事件或重大新闻，建立或降低股票方向性敞口。</w:t>
      </w:r>
    </w:p>
    <w:p>
      <w:pPr>
        <w:pStyle w:val="Heading2"/>
      </w:pPr>
      <w:r>
        <w:t>B. Options expression and hedging / 期权表达与对冲</w:t>
      </w:r>
    </w:p>
    <w:p>
      <w:r>
        <w:t>Use options when they improve convexity, define risk more clearly, or hedge concentrated positions.</w:t>
      </w:r>
    </w:p>
    <w:p>
      <w:r>
        <w:t>当期权能够提升收益凸性、更清晰地限定风险，或对冲集中仓位时，优先使用期权表达观点。</w:t>
      </w:r>
    </w:p>
    <w:p>
      <w:pPr>
        <w:pStyle w:val="Heading2"/>
      </w:pPr>
      <w:r>
        <w:t>C. Basket-level thematic positioning / 篮子级主题配置</w:t>
      </w:r>
    </w:p>
    <w:p>
      <w:r>
        <w:t>Express views through groups of related names such as AI infrastructure, semiconductors, biotech, or macro-sensitive sectors.</w:t>
      </w:r>
    </w:p>
    <w:p>
      <w:r>
        <w:t>通过一组相关标的来表达主题观点，例如 AI 基础设施、半导体、生物科技或宏观敏感板块。</w:t>
      </w:r>
    </w:p>
    <w:p>
      <w:pPr>
        <w:pStyle w:val="Heading2"/>
      </w:pPr>
      <w:r>
        <w:t>D. Portfolio reshaping and de-risking / 组合重塑与降风险</w:t>
      </w:r>
    </w:p>
    <w:p>
      <w:r>
        <w:t>Let the platform identify crowding, imbalance, or regime mismatch, then rebalance or hedge.</w:t>
      </w:r>
    </w:p>
    <w:p>
      <w:r>
        <w:t>由平台识别拥挤交易、组合失衡或与市场环境不匹配的风险，再推动再平衡或对冲动作。</w:t>
      </w:r>
    </w:p>
    <w:p>
      <w:pPr>
        <w:pStyle w:val="Heading1"/>
      </w:pPr>
      <w:r>
        <w:t>10. Portfolio Construction / 组合构建</w:t>
      </w:r>
    </w:p>
    <w:p>
      <w:r>
        <w:t>The portfolio should begin with simple, explainable rules:</w:t>
      </w:r>
    </w:p>
    <w:p>
      <w:r>
        <w:t>组合在起步阶段应遵循简单、透明且可解释的规则：</w:t>
      </w:r>
    </w:p>
    <w:p>
      <w:pPr>
        <w:pStyle w:val="ListBullet"/>
      </w:pPr>
      <w:r>
        <w:t>prefer liquid instruments</w:t>
      </w:r>
    </w:p>
    <w:p>
      <w:pPr>
        <w:pStyle w:val="ListBullet"/>
      </w:pPr>
      <w:r>
        <w:t>优先配置高流动性工具</w:t>
      </w:r>
    </w:p>
    <w:p>
      <w:pPr>
        <w:pStyle w:val="ListBullet"/>
      </w:pPr>
      <w:r>
        <w:t>size positions by conviction and liquidity</w:t>
      </w:r>
    </w:p>
    <w:p>
      <w:pPr>
        <w:pStyle w:val="ListBullet"/>
      </w:pPr>
      <w:r>
        <w:t>根据观点强度与流动性条件决定仓位大小</w:t>
      </w:r>
    </w:p>
    <w:p>
      <w:pPr>
        <w:pStyle w:val="ListBullet"/>
      </w:pPr>
      <w:r>
        <w:t>monitor single-name, sector, and basket concentration</w:t>
      </w:r>
    </w:p>
    <w:p>
      <w:pPr>
        <w:pStyle w:val="ListBullet"/>
      </w:pPr>
      <w:r>
        <w:t>持续监控单一个股、板块及主题篮子的集中度</w:t>
      </w:r>
    </w:p>
    <w:p>
      <w:pPr>
        <w:pStyle w:val="ListBullet"/>
      </w:pPr>
      <w:r>
        <w:t>use options selectively rather than by default</w:t>
      </w:r>
    </w:p>
    <w:p>
      <w:pPr>
        <w:pStyle w:val="ListBullet"/>
      </w:pPr>
      <w:r>
        <w:t>谨慎、选择性地使用期权，而不是默认使用</w:t>
      </w:r>
    </w:p>
    <w:p>
      <w:pPr>
        <w:pStyle w:val="ListBullet"/>
      </w:pPr>
      <w:r>
        <w:t>preserve cash and hedge capacity for regime shifts</w:t>
      </w:r>
    </w:p>
    <w:p>
      <w:pPr>
        <w:pStyle w:val="ListBullet"/>
      </w:pPr>
      <w:r>
        <w:t>为市场环境切换保留充足的现金与对冲能力</w:t>
      </w:r>
    </w:p>
    <w:p>
      <w:r>
        <w:t>A practical starting structure is a core book, a tactical overlay, and an explicit hedge layer.</w:t>
      </w:r>
    </w:p>
    <w:p>
      <w:r>
        <w:t>一个务实的初始结构可以包括：核心仓位层、战术交易层，以及明确的对冲层。</w:t>
      </w:r>
    </w:p>
    <w:p>
      <w:pPr>
        <w:pStyle w:val="Heading1"/>
      </w:pPr>
      <w:r>
        <w:t>11. Human and Machine Roles / 人与机器的分工</w:t>
      </w:r>
    </w:p>
    <w:p>
      <w:r>
        <w:t>Machine responsibilities:</w:t>
      </w:r>
    </w:p>
    <w:p>
      <w:r>
        <w:t>机器侧负责：</w:t>
      </w:r>
    </w:p>
    <w:p>
      <w:pPr>
        <w:pStyle w:val="ListBullet"/>
      </w:pPr>
      <w:r>
        <w:t>data collection and normalization</w:t>
      </w:r>
    </w:p>
    <w:p>
      <w:pPr>
        <w:pStyle w:val="ListBullet"/>
      </w:pPr>
      <w:r>
        <w:t>数据采集与标准化处理</w:t>
      </w:r>
    </w:p>
    <w:p>
      <w:pPr>
        <w:pStyle w:val="ListBullet"/>
      </w:pPr>
      <w:r>
        <w:t>monitoring, summarization, and triage</w:t>
      </w:r>
    </w:p>
    <w:p>
      <w:pPr>
        <w:pStyle w:val="ListBullet"/>
      </w:pPr>
      <w:r>
        <w:t>监控、总结与优先级排序</w:t>
      </w:r>
    </w:p>
    <w:p>
      <w:pPr>
        <w:pStyle w:val="ListBullet"/>
      </w:pPr>
      <w:r>
        <w:t>screening and recommendation generation</w:t>
      </w:r>
    </w:p>
    <w:p>
      <w:pPr>
        <w:pStyle w:val="ListBullet"/>
      </w:pPr>
      <w:r>
        <w:t>机会筛选与建议生成</w:t>
      </w:r>
    </w:p>
    <w:p>
      <w:pPr>
        <w:pStyle w:val="ListBullet"/>
      </w:pPr>
      <w:r>
        <w:t>reporting and process memory</w:t>
      </w:r>
    </w:p>
    <w:p>
      <w:pPr>
        <w:pStyle w:val="ListBullet"/>
      </w:pPr>
      <w:r>
        <w:t>报告输出与流程沉淀</w:t>
      </w:r>
    </w:p>
    <w:p>
      <w:r>
        <w:t>Human responsibilities:</w:t>
      </w:r>
    </w:p>
    <w:p>
      <w:r>
        <w:t>人负责：</w:t>
      </w:r>
    </w:p>
    <w:p>
      <w:pPr>
        <w:pStyle w:val="ListBullet"/>
      </w:pPr>
      <w:r>
        <w:t>final thesis judgment</w:t>
      </w:r>
    </w:p>
    <w:p>
      <w:pPr>
        <w:pStyle w:val="ListBullet"/>
      </w:pPr>
      <w:r>
        <w:t>最终投资判断</w:t>
      </w:r>
    </w:p>
    <w:p>
      <w:pPr>
        <w:pStyle w:val="ListBullet"/>
      </w:pPr>
      <w:r>
        <w:t>capital allocation</w:t>
      </w:r>
    </w:p>
    <w:p>
      <w:pPr>
        <w:pStyle w:val="ListBullet"/>
      </w:pPr>
      <w:r>
        <w:t>资金配置</w:t>
      </w:r>
    </w:p>
    <w:p>
      <w:pPr>
        <w:pStyle w:val="ListBullet"/>
      </w:pPr>
      <w:r>
        <w:t>exception handling and overrides</w:t>
      </w:r>
    </w:p>
    <w:p>
      <w:pPr>
        <w:pStyle w:val="ListBullet"/>
      </w:pPr>
      <w:r>
        <w:t>异常情况处理与人工干预</w:t>
      </w:r>
    </w:p>
    <w:p>
      <w:pPr>
        <w:pStyle w:val="ListBullet"/>
      </w:pPr>
      <w:r>
        <w:t>risk acceptance and accountability</w:t>
      </w:r>
    </w:p>
    <w:p>
      <w:pPr>
        <w:pStyle w:val="ListBullet"/>
      </w:pPr>
      <w:r>
        <w:t>风险承担与最终责任</w:t>
      </w:r>
    </w:p>
    <w:p>
      <w:r>
        <w:t>The goal is not autonomous trading. The goal is stronger human decision-making.</w:t>
      </w:r>
    </w:p>
    <w:p>
      <w:r>
        <w:t>目标并不是实现全自动交易，而是显著提升人的决策质量与决策效率。</w:t>
      </w:r>
    </w:p>
    <w:p>
      <w:pPr>
        <w:pStyle w:val="Heading1"/>
      </w:pPr>
      <w:r>
        <w:t>12. Decision Loop / 决策闭环</w:t>
      </w:r>
    </w:p>
    <w:p>
      <w:r>
        <w:t>The strategy should operate as a repeatable loop:</w:t>
      </w:r>
    </w:p>
    <w:p>
      <w:r>
        <w:t>策略应以一个可重复、可复盘的闭环方式运行：</w:t>
      </w:r>
    </w:p>
    <w:p>
      <w:pPr>
        <w:pStyle w:val="ListNumber"/>
      </w:pPr>
      <w:r>
        <w:t>1. News and macro agent flags regime shifts or catalysts.</w:t>
      </w:r>
    </w:p>
    <w:p>
      <w:pPr>
        <w:pStyle w:val="ListNumber"/>
      </w:pPr>
      <w:r>
        <w:t>2. Portfolio advisor identifies concentration or exposure mismatch.</w:t>
      </w:r>
    </w:p>
    <w:p>
      <w:pPr>
        <w:pStyle w:val="ListNumber"/>
      </w:pPr>
      <w:r>
        <w:t>3. Screener agent finds candidate adds, replacements, or hedges.</w:t>
      </w:r>
    </w:p>
    <w:p>
      <w:pPr>
        <w:pStyle w:val="ListNumber"/>
      </w:pPr>
      <w:r>
        <w:t>4. Portfolio manager reviews trade-offs and makes the decision.</w:t>
      </w:r>
    </w:p>
    <w:p>
      <w:pPr>
        <w:pStyle w:val="ListNumber"/>
      </w:pPr>
      <w:r>
        <w:t>5. Daily reporting records the signal, action, and resulting exposure.</w:t>
      </w:r>
    </w:p>
    <w:p>
      <w:pPr>
        <w:pStyle w:val="ListNumber"/>
      </w:pPr>
      <w:r>
        <w:t>1. 新闻与宏观 Agent 识别市场环境变化或关键催化。</w:t>
      </w:r>
    </w:p>
    <w:p>
      <w:pPr>
        <w:pStyle w:val="ListNumber"/>
      </w:pPr>
      <w:r>
        <w:t>2. 组合顾问 Agent 识别集中风险或敞口错配。</w:t>
      </w:r>
    </w:p>
    <w:p>
      <w:pPr>
        <w:pStyle w:val="ListNumber"/>
      </w:pPr>
      <w:r>
        <w:t>3. 筛选 Agent 生成新增、替换或对冲候选。</w:t>
      </w:r>
    </w:p>
    <w:p>
      <w:pPr>
        <w:pStyle w:val="ListNumber"/>
      </w:pPr>
      <w:r>
        <w:t>4. 投资经理权衡取舍后做出最终决策。</w:t>
      </w:r>
    </w:p>
    <w:p>
      <w:pPr>
        <w:pStyle w:val="ListNumber"/>
      </w:pPr>
      <w:r>
        <w:t>5. 每日报告记录信号、动作以及结果敞口。</w:t>
      </w:r>
    </w:p>
    <w:p>
      <w:pPr>
        <w:pStyle w:val="Heading1"/>
      </w:pPr>
      <w:r>
        <w:t>13. Why It Can Win / 为什么有机会胜出</w:t>
      </w:r>
    </w:p>
    <w:p>
      <w:pPr>
        <w:pStyle w:val="ListBullet"/>
      </w:pPr>
      <w:r>
        <w:t>Lower marginal research cost</w:t>
      </w:r>
    </w:p>
    <w:p>
      <w:pPr>
        <w:pStyle w:val="ListBullet"/>
      </w:pPr>
      <w:r>
        <w:t>更低的边际研究成本</w:t>
      </w:r>
    </w:p>
    <w:p>
      <w:pPr>
        <w:pStyle w:val="ListBullet"/>
      </w:pPr>
      <w:r>
        <w:t>Faster conversion from information to action</w:t>
      </w:r>
    </w:p>
    <w:p>
      <w:pPr>
        <w:pStyle w:val="ListBullet"/>
      </w:pPr>
      <w:r>
        <w:t>更快将信息转化为行动</w:t>
      </w:r>
    </w:p>
    <w:p>
      <w:pPr>
        <w:pStyle w:val="ListBullet"/>
      </w:pPr>
      <w:r>
        <w:t>Better consistency and auditability</w:t>
      </w:r>
    </w:p>
    <w:p>
      <w:pPr>
        <w:pStyle w:val="ListBullet"/>
      </w:pPr>
      <w:r>
        <w:t>更高的一致性与可审计性</w:t>
      </w:r>
    </w:p>
    <w:p>
      <w:pPr>
        <w:pStyle w:val="ListBullet"/>
      </w:pPr>
      <w:r>
        <w:t>A proprietary feedback loop built from signals, decisions, and outcomes</w:t>
      </w:r>
    </w:p>
    <w:p>
      <w:pPr>
        <w:pStyle w:val="ListBullet"/>
      </w:pPr>
      <w:r>
        <w:t>由信号、决策与结果共同构成的专有反馈闭环</w:t>
      </w:r>
    </w:p>
    <w:p>
      <w:r>
        <w:t>The edge is not a single indicator. The edge is the operating model.</w:t>
      </w:r>
    </w:p>
    <w:p>
      <w:r>
        <w:t>这种优势并不来自某一个单独指标，而是来自整个运营模型。</w:t>
      </w:r>
    </w:p>
    <w:p>
      <w:pPr>
        <w:pStyle w:val="Heading1"/>
      </w:pPr>
      <w:r>
        <w:t>14. Risk Philosophy / 风险理念</w:t>
      </w:r>
    </w:p>
    <w:p>
      <w:r>
        <w:t>AI is used for summarization, classification, screening, and recommendation generation.</w:t>
      </w:r>
    </w:p>
    <w:p>
      <w:r>
        <w:t>AI 主要用于信息总结、分类、筛选以及建议生成。</w:t>
      </w:r>
    </w:p>
    <w:p>
      <w:r>
        <w:t>AI is not used for unsupervised capital deployment or bypassing portfolio controls.</w:t>
      </w:r>
    </w:p>
    <w:p>
      <w:r>
        <w:t>AI 不用于无人监督的资金部署，也不会绕开组合风控体系。</w:t>
      </w:r>
    </w:p>
    <w:p>
      <w:r>
        <w:t>The platform is designed to automate awareness, not automate recklessness.</w:t>
      </w:r>
    </w:p>
    <w:p>
      <w:r>
        <w:t>平台要自动化的是“感知与认知能力”，而不是“冒进式决策”。</w:t>
      </w:r>
    </w:p>
    <w:p>
      <w:pPr>
        <w:pStyle w:val="Heading1"/>
      </w:pPr>
      <w:r>
        <w:t>15. Formation Path / 发展路径</w:t>
      </w:r>
    </w:p>
    <w:p>
      <w:pPr>
        <w:pStyle w:val="Heading2"/>
      </w:pPr>
      <w:r>
        <w:t>Phase 1 / 第一阶段</w:t>
      </w:r>
    </w:p>
    <w:p>
      <w:r>
        <w:t>Internal capital incubation using the platform as the daily operating core.</w:t>
      </w:r>
    </w:p>
    <w:p>
      <w:r>
        <w:t>以自有或关联资金进行孵化，验证平台作为日常投资操作核心的可行性。</w:t>
      </w:r>
    </w:p>
    <w:p>
      <w:pPr>
        <w:pStyle w:val="Heading2"/>
      </w:pPr>
      <w:r>
        <w:t>Phase 2 / 第二阶段</w:t>
      </w:r>
    </w:p>
    <w:p>
      <w:r>
        <w:t>Small external capital through a controlled structure such as friends-and-family or SMA.</w:t>
      </w:r>
    </w:p>
    <w:p>
      <w:r>
        <w:t>通过 friends-and-family、SMA 等相对可控的结构，引入小规模外部资金。</w:t>
      </w:r>
    </w:p>
    <w:p>
      <w:pPr>
        <w:pStyle w:val="Heading2"/>
      </w:pPr>
      <w:r>
        <w:t>Phase 3 / 第三阶段</w:t>
      </w:r>
    </w:p>
    <w:p>
      <w:r>
        <w:t>Institutionalization with stronger controls, reporting, and allocator-ready positioning.</w:t>
      </w:r>
    </w:p>
    <w:p>
      <w:r>
        <w:t>在更完善的风控、报告体系与募资叙事基础上，逐步走向机构化。</w:t>
      </w:r>
    </w:p>
    <w:p>
      <w:pPr>
        <w:pStyle w:val="Heading1"/>
      </w:pPr>
      <w:r>
        <w:t>16. Short Pitch / 简短介绍</w:t>
      </w:r>
    </w:p>
    <w:p>
      <w:r>
        <w:t>We are building an AI-native hedge fund: a lean investment firm where proprietary software and AI agents form the operating system for research synthesis, portfolio monitoring, and risk-aware decision support. Instead of scaling through analyst headcount, we scale through an integrated intelligence platform that helps human decision-makers observe more, react faster, and manage risk more consistently.</w:t>
      </w:r>
    </w:p>
    <w:p>
      <w:r>
        <w:t>我们正在构建一家 AI 原生对冲基金：以专有软件和 AI Agent 作为研究整合、组合监控与风险驱动决策支持的操作系统。我们的扩张路径，不是单纯依赖增加分析师人数，而是通过一体化智能平台，让投资决策者看得更全、反应更快、风控更稳，从而形成可持续积累的竞争优势。</w:t>
      </w:r>
    </w:p>
    <w:p>
      <w:pPr>
        <w:pStyle w:val="Heading1"/>
      </w:pPr>
      <w:r>
        <w:t>17. Suggested Taglines / 推荐标语</w:t>
      </w:r>
    </w:p>
    <w:p>
      <w:pPr>
        <w:pStyle w:val="ListBullet"/>
      </w:pPr>
      <w:r>
        <w:t>The hedge fund built with AI as its operating system</w:t>
      </w:r>
    </w:p>
    <w:p>
      <w:pPr>
        <w:pStyle w:val="ListBullet"/>
      </w:pPr>
      <w:r>
        <w:t>以 AI 作为操作系统构建的对冲基金</w:t>
      </w:r>
    </w:p>
    <w:p>
      <w:pPr>
        <w:pStyle w:val="ListBullet"/>
      </w:pPr>
      <w:r>
        <w:t>Software-scaled investing with human judgment at the center</w:t>
      </w:r>
    </w:p>
    <w:p>
      <w:pPr>
        <w:pStyle w:val="ListBullet"/>
      </w:pPr>
      <w:r>
        <w:t>以人为核心、以软件放大投资能力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AI-Native Hedge Fund 鈥?Bilingual Brief and Strategy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