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0000"/>
          <w:sz w:val="36"/>
        </w:rPr>
        <w:t>裁布 工序作业指导书</w:t>
      </w:r>
    </w:p>
    <w:p>
      <w:r>
        <w:rPr>
          <w:rFonts w:ascii="微软雅黑" w:hAnsi="微软雅黑" w:eastAsia="微软雅黑"/>
          <w:b w:val="0"/>
          <w:sz w:val="19"/>
        </w:rPr>
        <w:t>工序：CB 裁布 · 华煜伞业 晴雨伞标准线 · 版本 V1.0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一、工序概述</w:t>
      </w:r>
    </w:p>
    <w:p>
      <w:r>
        <w:rPr>
          <w:rFonts w:ascii="微软雅黑" w:hAnsi="微软雅黑" w:eastAsia="微软雅黑"/>
          <w:b w:val="0"/>
          <w:sz w:val="21"/>
        </w:rPr>
        <w:t>本工序为三折晴雨伞「裁布」作业环节，编号 CB。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二、作业步骤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领取伞面布料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核对色卡/材质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按版型裁剪伞面大布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标注三角片区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转下一工序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三、设备/工具</w:t>
      </w:r>
    </w:p>
    <w:p>
      <w:r>
        <w:rPr>
          <w:rFonts w:ascii="微软雅黑" w:hAnsi="微软雅黑" w:eastAsia="微软雅黑"/>
          <w:b w:val="0"/>
          <w:sz w:val="21"/>
        </w:rPr>
        <w:t>自动裁布机 / 电剪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四、质量要求</w:t>
      </w:r>
    </w:p>
    <w:p>
      <w:r>
        <w:rPr>
          <w:rFonts w:ascii="微软雅黑" w:hAnsi="微软雅黑" w:eastAsia="微软雅黑"/>
          <w:b w:val="0"/>
          <w:sz w:val="21"/>
        </w:rPr>
        <w:t>尺寸符版、无毛边、布面无疵点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五、常见不良品项</w:t>
      </w:r>
    </w:p>
    <w:p>
      <w:r>
        <w:rPr>
          <w:rFonts w:ascii="微软雅黑" w:hAnsi="微软雅黑" w:eastAsia="微软雅黑"/>
          <w:b w:val="0"/>
          <w:sz w:val="21"/>
        </w:rPr>
        <w:t>尺寸不符、布面疵点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六、安全提示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按设备操作规程作业，注意防护；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发现异常立即上报班组长，不停机带病作业。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