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华煜伞业 · 车间管理系统上线前——贵司需提供 / 配合事项清单</w:t>
      </w:r>
    </w:p>
    <w:p>
      <w:r>
        <w:rPr>
          <w:rFonts w:ascii="微软雅黑" w:hAnsi="微软雅黑" w:eastAsia="微软雅黑"/>
          <w:b w:val="0"/>
          <w:color w:val="666666"/>
          <w:sz w:val="18"/>
        </w:rPr>
        <w:t>（本清单供贵司提前准备，正式上线前我们派单核对、协助录入）</w:t>
      </w:r>
    </w:p>
    <w:p/>
    <w:p>
      <w:pPr>
        <w:spacing w:before="160"/>
      </w:pPr>
      <w:r>
        <w:rPr>
          <w:rFonts w:ascii="微软雅黑" w:hAnsi="微软雅黑" w:eastAsia="微软雅黑"/>
          <w:b/>
          <w:color w:val="1F4E79"/>
          <w:sz w:val="24"/>
        </w:rPr>
        <w:t>一、请贵司准备并提供以下基础资料（我们录入系统用）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产品清单：每款产品的【编号 + 名称 + 规格型号 + 单位】（编号要唯一，相当于产品身份证）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产品图纸 / 图片：有的话给我们，挂到系统里供工人查看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每款产品的工艺流程：从第一道到最后一道的【工序顺序】（例如 裁布→包边→…→包装）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工序名称及对应部门：每道工序由哪个班组负责（报工权限就按部门来）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部门 / 班组及人员名单：部门名称、工人和班组长的名单（用于建账号、分配权限）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计件工价表：每道工序的【单价】；如按不良品扣款，写明扣款规则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常见不良品项：生产中最常见的质量问题类别（如 尺寸不符、印花不良、车缝跳线等），用于报工时填写</w:t>
      </w:r>
    </w:p>
    <w:p>
      <w:pPr>
        <w:spacing w:before="160"/>
      </w:pPr>
      <w:r>
        <w:rPr>
          <w:rFonts w:ascii="微软雅黑" w:hAnsi="微软雅黑" w:eastAsia="微软雅黑"/>
          <w:b/>
          <w:color w:val="1F4E79"/>
          <w:sz w:val="24"/>
        </w:rPr>
        <w:t>二、现场硬件与网络（报工要能用）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PDA 或手机：车间工人用于扫码报工的设备（PDA 扫码头优先，手机需能装网页报工）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网络：车间报工点位需覆盖 WiFi / 局域网，能访问系统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看板 / 大屏（可选）：用于车间生产看板展示的大屏或电视，及摆放位置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条码 / 二维码：工单、产品的二维码打印方案（我们提供格式）</w:t>
      </w:r>
    </w:p>
    <w:p>
      <w:pPr>
        <w:spacing w:before="160"/>
      </w:pPr>
      <w:r>
        <w:rPr>
          <w:rFonts w:ascii="微软雅黑" w:hAnsi="微软雅黑" w:eastAsia="微软雅黑"/>
          <w:b/>
          <w:color w:val="1F4E79"/>
          <w:sz w:val="24"/>
        </w:rPr>
        <w:t>三、账号与权限（我们配置，请指定对接人）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指定一名管理员：负责建账号、录数据、日常维护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三类角色分工：工人＝报工、班组长＝复核、管理员＝管理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报工权限按部门划分：只有该工序对应部门的人才能给这道工序报工</w:t>
      </w:r>
    </w:p>
    <w:p>
      <w:pPr>
        <w:spacing w:before="160"/>
      </w:pPr>
      <w:r>
        <w:rPr>
          <w:rFonts w:ascii="微软雅黑" w:hAnsi="微软雅黑" w:eastAsia="微软雅黑"/>
          <w:b/>
          <w:color w:val="1F4E79"/>
          <w:sz w:val="24"/>
        </w:rPr>
        <w:t>四、上线前请贵司确认并拍板的事项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工价表：每道工序单价，请老板 / 管理签字确认（计件工资以此为准）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不良品扣款规则：哪些不良要扣款、扣多少，确认后写入系统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工序与部门对应关系：确认每道工序归哪个班组</w:t>
      </w:r>
    </w:p>
    <w:p>
      <w:pPr>
        <w:spacing w:before="160"/>
      </w:pPr>
      <w:r>
        <w:rPr>
          <w:rFonts w:ascii="微软雅黑" w:hAnsi="微软雅黑" w:eastAsia="微软雅黑"/>
          <w:b/>
          <w:color w:val="1F4E79"/>
          <w:sz w:val="24"/>
        </w:rPr>
        <w:t>五、日常使用中请注意（红线，建议培训时重点强调）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产品编号一经确定不要改、不要重复（改了会乱账）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报工数据要真实：良品数、不良数如实填写，不要虚报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班组长必须复核：工人报的工，班组长核对通过后工资才生效；被驳回的不计钱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删除有顺序：工单 → 产品 → 工艺 → 工序 → 不良品项 → 单位 → 部门；有下级数据的不能直接删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工资可追溯可重算：每一笔钱都能查到来源，发现不对可以重算，不要手工乱改</w:t>
      </w:r>
    </w:p>
    <w:p>
      <w:pPr>
        <w:spacing w:before="160"/>
      </w:pPr>
      <w:r>
        <w:rPr>
          <w:rFonts w:ascii="微软雅黑" w:hAnsi="微软雅黑" w:eastAsia="微软雅黑"/>
          <w:b/>
          <w:color w:val="1F4E79"/>
          <w:sz w:val="24"/>
        </w:rPr>
        <w:t>六、我们能提供的支持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协助建账套、录入基础资料、开通账号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现场或线上培训：工人报工、班组长复核、看板查看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提供操作手册；上线后跟进使用情况</w:t>
      </w:r>
    </w:p>
    <w:p/>
    <w:p>
      <w:r>
        <w:rPr>
          <w:rFonts w:ascii="微软雅黑" w:hAnsi="微软雅黑" w:eastAsia="微软雅黑"/>
          <w:b w:val="0"/>
          <w:color w:val="1F4E79"/>
          <w:sz w:val="20"/>
        </w:rPr>
        <w:t>如有疑问或资料准备不齐，请与我们对接人联系，我们逐项协助。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