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360"/>
        <w:jc w:val="center"/>
      </w:pPr>
      <w:r>
        <w:rPr>
          <w:rFonts w:ascii="Times New Roman" w:hAnsi="Times New Roman" w:eastAsia="黑体"/>
          <w:b/>
          <w:color w:val="000000"/>
          <w:sz w:val="36"/>
        </w:rPr>
        <w:t>质检工序作业指导书</w:t>
      </w:r>
    </w:p>
    <w:p>
      <w:pPr>
        <w:spacing w:after="240"/>
        <w:jc w:val="center"/>
      </w:pPr>
      <w:r>
        <w:rPr>
          <w:rFonts w:ascii="Times New Roman" w:hAnsi="Times New Roman" w:eastAsia="楷体"/>
          <w:b w:val="0"/>
          <w:color w:val="000000"/>
          <w:sz w:val="24"/>
        </w:rPr>
        <w:t>厨具五金厂 CJ001 · 打蛋器 DDQ-001 工艺路线（ZJ 质检）</w:t>
      </w:r>
    </w:p>
    <w:p>
      <w:pPr>
        <w:spacing w:line="360" w:lineRule="auto" w:before="0" w:after="12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本指导书用于指导打蛋器质检工序的作业、自检与质量控制。工序工艺参数为参考建议值，具体以现场实际工艺文件为准。</w:t>
      </w:r>
    </w:p>
    <w:p>
      <w:pPr>
        <w:pStyle w:val="Heading1"/>
        <w:spacing w:before="280" w:after="120"/>
      </w:pPr>
      <w:r>
        <w:rPr>
          <w:rFonts w:ascii="Times New Roman" w:hAnsi="Times New Roman" w:eastAsia="黑体"/>
          <w:b/>
          <w:color w:val="000000"/>
          <w:sz w:val="32"/>
        </w:rPr>
        <w:t>1  适用范围与作业内容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对半成品进行尺寸、外观与装配性检验，判定是否合格。</w:t>
      </w:r>
    </w:p>
    <w:p>
      <w:pPr>
        <w:pStyle w:val="Heading1"/>
        <w:spacing w:before="280" w:after="120"/>
      </w:pPr>
      <w:r>
        <w:rPr>
          <w:rFonts w:ascii="Times New Roman" w:hAnsi="Times New Roman" w:eastAsia="黑体"/>
          <w:b/>
          <w:color w:val="000000"/>
          <w:sz w:val="32"/>
        </w:rPr>
        <w:t>2  操作步骤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b w:val="0"/>
          <w:color w:val="000000"/>
          <w:sz w:val="24"/>
        </w:rPr>
        <w:t>1. 按批次抽取样件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b w:val="0"/>
          <w:color w:val="000000"/>
          <w:sz w:val="24"/>
        </w:rPr>
        <w:t>2. 测量关键尺寸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b w:val="0"/>
          <w:color w:val="000000"/>
          <w:sz w:val="24"/>
        </w:rPr>
        <w:t>3. 检查外观缺陷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b w:val="0"/>
          <w:color w:val="000000"/>
          <w:sz w:val="24"/>
        </w:rPr>
        <w:t>4. 试装配检验，记录并报工</w:t>
      </w:r>
    </w:p>
    <w:p>
      <w:pPr>
        <w:pStyle w:val="Heading1"/>
        <w:spacing w:before="280" w:after="120"/>
      </w:pPr>
      <w:r>
        <w:rPr>
          <w:rFonts w:ascii="Times New Roman" w:hAnsi="Times New Roman" w:eastAsia="黑体"/>
          <w:b/>
          <w:color w:val="000000"/>
          <w:sz w:val="32"/>
        </w:rPr>
        <w:t>3  工艺参数（参考）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cantSplit/>
          <w:tblHeader/>
        </w:trPr>
        <w:tc>
          <w:tcPr>
            <w:tcW w:type="dxa" w:w="4536"/>
            <w:shd w:val="clear" w:fill="D9D9D9"/>
            <w:vAlign w:val="center"/>
          </w:tcPr>
          <w:p>
            <w:pPr>
              <w:ind w:firstLine="0" w:left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参数</w:t>
            </w:r>
          </w:p>
        </w:tc>
        <w:tc>
          <w:tcPr>
            <w:tcW w:type="dxa" w:w="4536"/>
            <w:shd w:val="clear" w:fill="D9D9D9"/>
            <w:vAlign w:val="center"/>
          </w:tcPr>
          <w:p>
            <w:pPr>
              <w:ind w:firstLine="0" w:left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要求（参考）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检验项</w:t>
            </w:r>
          </w:p>
        </w:tc>
        <w:tc>
          <w:tcPr>
            <w:tcW w:type="dxa" w:w="4536"/>
            <w:vAlign w:val="center"/>
          </w:tcPr>
          <w:p>
            <w:pPr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尺寸 / 外观 / 装配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抽检比例</w:t>
            </w:r>
          </w:p>
        </w:tc>
        <w:tc>
          <w:tcPr>
            <w:tcW w:type="dxa" w:w="4536"/>
            <w:vAlign w:val="center"/>
          </w:tcPr>
          <w:p>
            <w:pPr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按批次抽检（参考）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量具</w:t>
            </w:r>
          </w:p>
        </w:tc>
        <w:tc>
          <w:tcPr>
            <w:tcW w:type="dxa" w:w="4536"/>
            <w:vAlign w:val="center"/>
          </w:tcPr>
          <w:p>
            <w:pPr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卡尺、检具</w:t>
            </w:r>
          </w:p>
        </w:tc>
      </w:tr>
    </w:tbl>
    <w:p>
      <w:pPr>
        <w:pStyle w:val="Heading1"/>
        <w:spacing w:before="280" w:after="120"/>
      </w:pPr>
      <w:r>
        <w:rPr>
          <w:rFonts w:ascii="Times New Roman" w:hAnsi="Times New Roman" w:eastAsia="黑体"/>
          <w:b/>
          <w:color w:val="000000"/>
          <w:sz w:val="32"/>
        </w:rPr>
        <w:t>4  质量标准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尺寸符合图纸，外观无缺陷，装配顺畅，检验记录完整。</w:t>
      </w:r>
    </w:p>
    <w:p>
      <w:pPr>
        <w:pStyle w:val="Heading1"/>
        <w:spacing w:before="280" w:after="120"/>
      </w:pPr>
      <w:r>
        <w:rPr>
          <w:rFonts w:ascii="Times New Roman" w:hAnsi="Times New Roman" w:eastAsia="黑体"/>
          <w:b/>
          <w:color w:val="000000"/>
          <w:sz w:val="32"/>
        </w:rPr>
        <w:t>5  不良品项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质检无专门不良品项；不合格件按返工或报废处理，并登记不良原因。</w:t>
      </w:r>
    </w:p>
    <w:p>
      <w:pPr>
        <w:pStyle w:val="Heading1"/>
        <w:spacing w:before="280" w:after="120"/>
      </w:pPr>
      <w:r>
        <w:rPr>
          <w:rFonts w:ascii="Times New Roman" w:hAnsi="Times New Roman" w:eastAsia="黑体"/>
          <w:b/>
          <w:color w:val="000000"/>
          <w:sz w:val="32"/>
        </w:rPr>
        <w:t>6  安全注意事项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量具轻拿轻放、定期校准；不合格品分区放置并标识。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