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840" w:rsidRPr="0082430D" w:rsidRDefault="0082430D">
      <w:pPr>
        <w:rPr>
          <w:b/>
          <w:i/>
          <w:sz w:val="36"/>
          <w:szCs w:val="36"/>
          <w:lang w:val="en-US"/>
        </w:rPr>
      </w:pPr>
      <w:r w:rsidRPr="0082430D">
        <w:rPr>
          <w:b/>
          <w:i/>
          <w:sz w:val="36"/>
          <w:szCs w:val="36"/>
          <w:lang w:val="en-US"/>
        </w:rPr>
        <w:t>Harga Bahan Bakar</w:t>
      </w:r>
    </w:p>
    <w:p w:rsidR="0082430D" w:rsidRDefault="006C7832" w:rsidP="0082430D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3EFFD3F" wp14:editId="08D336CD">
            <wp:simplePos x="0" y="0"/>
            <wp:positionH relativeFrom="column">
              <wp:posOffset>3314700</wp:posOffset>
            </wp:positionH>
            <wp:positionV relativeFrom="paragraph">
              <wp:posOffset>1473835</wp:posOffset>
            </wp:positionV>
            <wp:extent cx="5772150" cy="4105275"/>
            <wp:effectExtent l="0" t="0" r="19050" b="9525"/>
            <wp:wrapTopAndBottom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82430D">
        <w:rPr>
          <w:lang w:val="en-US"/>
        </w:rPr>
        <w:t>Keekonomian dari teknologi pembangkitan listrik dipengaruhi oleh beberapa faktor, diantaranya adalah biaya investasi atau kapital, biaya operasi dan biaya bahan bakar.</w:t>
      </w:r>
      <w:proofErr w:type="gramEnd"/>
      <w:r w:rsidR="0082430D">
        <w:rPr>
          <w:lang w:val="en-US"/>
        </w:rPr>
        <w:t xml:space="preserve"> </w:t>
      </w:r>
      <w:proofErr w:type="gramStart"/>
      <w:r w:rsidR="0082430D">
        <w:rPr>
          <w:lang w:val="en-US"/>
        </w:rPr>
        <w:t>Biaya bahan bakar sangat dipengaruhi oleh harga bahan bakar yang digunakan di masing-masing teknologi pembangkitan.</w:t>
      </w:r>
      <w:proofErr w:type="gramEnd"/>
      <w:r w:rsidR="0082430D">
        <w:rPr>
          <w:lang w:val="en-US"/>
        </w:rPr>
        <w:t xml:space="preserve"> </w:t>
      </w:r>
      <w:proofErr w:type="gramStart"/>
      <w:r w:rsidR="0082430D">
        <w:rPr>
          <w:lang w:val="en-US"/>
        </w:rPr>
        <w:t>Untuk teknologi pembangkitan listrik thermal berbasis fosil, maka jenis bahan bakar yang umumnya digunakan adalah bahan bakar minyak (BBM), gas alam dan batubara.</w:t>
      </w:r>
      <w:proofErr w:type="gramEnd"/>
      <w:r w:rsidR="0082430D">
        <w:rPr>
          <w:lang w:val="en-US"/>
        </w:rPr>
        <w:t xml:space="preserve"> </w:t>
      </w:r>
      <w:proofErr w:type="gramStart"/>
      <w:r w:rsidR="0082430D">
        <w:rPr>
          <w:lang w:val="en-US"/>
        </w:rPr>
        <w:t>Dikarenakan perubahan harga bahan bakar sangat banyak faktor yang mempengaruhinya, maka model Calculator 2050 hanya menggunakan asumsi harga rata-rata masing-masing bahan bakar tersebut selama periode pengamatan.</w:t>
      </w:r>
      <w:proofErr w:type="gramEnd"/>
    </w:p>
    <w:p w:rsidR="0082430D" w:rsidRPr="0082430D" w:rsidRDefault="0082430D" w:rsidP="0082430D">
      <w:pPr>
        <w:jc w:val="both"/>
        <w:rPr>
          <w:b/>
          <w:i/>
          <w:sz w:val="24"/>
          <w:lang w:val="en-US"/>
        </w:rPr>
      </w:pPr>
      <w:r w:rsidRPr="0082430D">
        <w:rPr>
          <w:b/>
          <w:i/>
          <w:sz w:val="24"/>
          <w:lang w:val="en-US"/>
        </w:rPr>
        <w:t>Level 1</w:t>
      </w:r>
    </w:p>
    <w:p w:rsidR="0082430D" w:rsidRDefault="0082430D" w:rsidP="0082430D">
      <w:pPr>
        <w:jc w:val="both"/>
        <w:rPr>
          <w:lang w:val="en-US"/>
        </w:rPr>
      </w:pPr>
      <w:r>
        <w:rPr>
          <w:lang w:val="en-US"/>
        </w:rPr>
        <w:t xml:space="preserve">Level 1 mengasumsikan bahwa harga rata-rata BBM berdasarkan harga minyak mentah sebesar USD 50/barrel. </w:t>
      </w:r>
      <w:proofErr w:type="gramStart"/>
      <w:r>
        <w:rPr>
          <w:lang w:val="en-US"/>
        </w:rPr>
        <w:t>Sedangkan untuk gas alam dan batubara masing-masing pada nilai USD 1/MMBTU dan USD 20/ton.</w:t>
      </w:r>
      <w:proofErr w:type="gramEnd"/>
    </w:p>
    <w:p w:rsidR="0082430D" w:rsidRPr="0082430D" w:rsidRDefault="0082430D" w:rsidP="0082430D">
      <w:pPr>
        <w:jc w:val="both"/>
        <w:rPr>
          <w:b/>
          <w:i/>
          <w:sz w:val="24"/>
          <w:lang w:val="en-US"/>
        </w:rPr>
      </w:pPr>
      <w:r w:rsidRPr="0082430D">
        <w:rPr>
          <w:b/>
          <w:i/>
          <w:sz w:val="24"/>
          <w:lang w:val="en-US"/>
        </w:rPr>
        <w:t>Level 2</w:t>
      </w:r>
    </w:p>
    <w:p w:rsidR="0082430D" w:rsidRDefault="0082430D" w:rsidP="0082430D">
      <w:pPr>
        <w:jc w:val="both"/>
        <w:rPr>
          <w:lang w:val="en-US"/>
        </w:rPr>
      </w:pPr>
      <w:proofErr w:type="gramStart"/>
      <w:r>
        <w:rPr>
          <w:lang w:val="en-US"/>
        </w:rPr>
        <w:t>Level 2</w:t>
      </w:r>
      <w:r>
        <w:rPr>
          <w:lang w:val="en-US"/>
        </w:rPr>
        <w:t xml:space="preserve"> mengasumsikan bahwa harga rata-rata BBM berdasarkan harga minyak mentah sebesar</w:t>
      </w:r>
      <w:r>
        <w:rPr>
          <w:lang w:val="en-US"/>
        </w:rPr>
        <w:t xml:space="preserve"> USD 100</w:t>
      </w:r>
      <w:r>
        <w:rPr>
          <w:lang w:val="en-US"/>
        </w:rPr>
        <w:t>/barrel.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Sedangkan untuk gas alam dan batubar</w:t>
      </w:r>
      <w:r>
        <w:rPr>
          <w:lang w:val="en-US"/>
        </w:rPr>
        <w:t>a masing-masing pada nilai USD 5/MMBTU dan USD 60</w:t>
      </w:r>
      <w:r>
        <w:rPr>
          <w:lang w:val="en-US"/>
        </w:rPr>
        <w:t>/ton.</w:t>
      </w:r>
      <w:proofErr w:type="gramEnd"/>
    </w:p>
    <w:p w:rsidR="0082430D" w:rsidRPr="0082430D" w:rsidRDefault="0082430D" w:rsidP="0082430D">
      <w:pPr>
        <w:jc w:val="both"/>
        <w:rPr>
          <w:b/>
          <w:i/>
          <w:sz w:val="24"/>
          <w:lang w:val="en-US"/>
        </w:rPr>
      </w:pPr>
      <w:r w:rsidRPr="0082430D">
        <w:rPr>
          <w:b/>
          <w:i/>
          <w:sz w:val="24"/>
          <w:lang w:val="en-US"/>
        </w:rPr>
        <w:t>Level 3</w:t>
      </w:r>
    </w:p>
    <w:p w:rsidR="0082430D" w:rsidRDefault="0082430D" w:rsidP="0082430D">
      <w:pPr>
        <w:jc w:val="both"/>
        <w:rPr>
          <w:lang w:val="en-US"/>
        </w:rPr>
      </w:pPr>
      <w:proofErr w:type="gramStart"/>
      <w:r>
        <w:rPr>
          <w:lang w:val="en-US"/>
        </w:rPr>
        <w:t>Level 3</w:t>
      </w:r>
      <w:r>
        <w:rPr>
          <w:lang w:val="en-US"/>
        </w:rPr>
        <w:t xml:space="preserve"> mengasumsikan bahwa harga rata-rata BBM berdasarkan harga minyak mentah sebesar</w:t>
      </w:r>
      <w:r w:rsidR="006C7832">
        <w:rPr>
          <w:lang w:val="en-US"/>
        </w:rPr>
        <w:t xml:space="preserve"> </w:t>
      </w:r>
      <w:r>
        <w:rPr>
          <w:lang w:val="en-US"/>
        </w:rPr>
        <w:t>USD 175</w:t>
      </w:r>
      <w:r>
        <w:rPr>
          <w:lang w:val="en-US"/>
        </w:rPr>
        <w:t>/barrel.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Sedangkan untuk gas alam dan batubara </w:t>
      </w:r>
      <w:r>
        <w:rPr>
          <w:lang w:val="en-US"/>
        </w:rPr>
        <w:lastRenderedPageBreak/>
        <w:t>masing-masing pada nilai USD 1</w:t>
      </w:r>
      <w:r>
        <w:rPr>
          <w:lang w:val="en-US"/>
        </w:rPr>
        <w:t>5/MMBTU dan USD 73</w:t>
      </w:r>
      <w:r>
        <w:rPr>
          <w:lang w:val="en-US"/>
        </w:rPr>
        <w:t>/ton.</w:t>
      </w:r>
      <w:proofErr w:type="gramEnd"/>
    </w:p>
    <w:p w:rsidR="0082430D" w:rsidRPr="0082430D" w:rsidRDefault="0082430D" w:rsidP="0082430D">
      <w:pPr>
        <w:jc w:val="both"/>
        <w:rPr>
          <w:b/>
          <w:i/>
          <w:lang w:val="en-US"/>
        </w:rPr>
      </w:pPr>
      <w:r w:rsidRPr="0082430D">
        <w:rPr>
          <w:b/>
          <w:i/>
          <w:lang w:val="en-US"/>
        </w:rPr>
        <w:t>Level 4</w:t>
      </w:r>
    </w:p>
    <w:p w:rsidR="0082430D" w:rsidRDefault="0082430D" w:rsidP="0082430D">
      <w:pPr>
        <w:jc w:val="both"/>
        <w:rPr>
          <w:lang w:val="en-US"/>
        </w:rPr>
      </w:pPr>
      <w:proofErr w:type="gramStart"/>
      <w:r>
        <w:rPr>
          <w:lang w:val="en-US"/>
        </w:rPr>
        <w:t>Level 4</w:t>
      </w:r>
      <w:r>
        <w:rPr>
          <w:lang w:val="en-US"/>
        </w:rPr>
        <w:t xml:space="preserve"> mengasumsikan bahwa harga rata-rata BBM berdasarkan harga minyak mentah sebesar USD </w:t>
      </w:r>
      <w:r>
        <w:rPr>
          <w:lang w:val="en-US"/>
        </w:rPr>
        <w:t>2</w:t>
      </w:r>
      <w:r>
        <w:rPr>
          <w:lang w:val="en-US"/>
        </w:rPr>
        <w:t>50/barrel.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Sedangkan untuk gas alam dan batubar</w:t>
      </w:r>
      <w:r>
        <w:rPr>
          <w:lang w:val="en-US"/>
        </w:rPr>
        <w:t>a masing-masing pada nilai USD 25/MMBTU dan USD 16</w:t>
      </w:r>
      <w:r>
        <w:rPr>
          <w:lang w:val="en-US"/>
        </w:rPr>
        <w:t>0/ton.</w:t>
      </w:r>
      <w:bookmarkStart w:id="0" w:name="_GoBack"/>
      <w:bookmarkEnd w:id="0"/>
      <w:proofErr w:type="gramEnd"/>
    </w:p>
    <w:p w:rsidR="0082430D" w:rsidRDefault="006C7832" w:rsidP="0082430D">
      <w:pPr>
        <w:jc w:val="both"/>
        <w:rPr>
          <w:lang w:val="en-US"/>
        </w:rPr>
      </w:pPr>
      <w:r>
        <w:rPr>
          <w:lang w:val="en-US"/>
        </w:rPr>
        <w:t xml:space="preserve">Sumber: Diolah dari </w:t>
      </w:r>
      <w:r w:rsidRPr="006C7832">
        <w:rPr>
          <w:lang w:val="en-US"/>
        </w:rPr>
        <w:t>BP Statistical Review of World Energy June 2016</w:t>
      </w:r>
    </w:p>
    <w:p w:rsidR="0082430D" w:rsidRDefault="0082430D" w:rsidP="0082430D">
      <w:pPr>
        <w:jc w:val="both"/>
        <w:rPr>
          <w:lang w:val="en-US"/>
        </w:rPr>
      </w:pPr>
    </w:p>
    <w:p w:rsidR="0082430D" w:rsidRPr="0082430D" w:rsidRDefault="0082430D" w:rsidP="0082430D">
      <w:pPr>
        <w:jc w:val="both"/>
        <w:rPr>
          <w:lang w:val="en-US"/>
        </w:rPr>
      </w:pPr>
      <w:r>
        <w:rPr>
          <w:lang w:val="en-US"/>
        </w:rPr>
        <w:lastRenderedPageBreak/>
        <w:t xml:space="preserve"> </w:t>
      </w:r>
    </w:p>
    <w:sectPr w:rsidR="0082430D" w:rsidRPr="0082430D" w:rsidSect="006C7832">
      <w:pgSz w:w="16838" w:h="11906" w:orient="landscape" w:code="9"/>
      <w:pgMar w:top="720" w:right="720" w:bottom="720" w:left="720" w:header="720" w:footer="720" w:gutter="0"/>
      <w:cols w:num="3" w:space="27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30D"/>
    <w:rsid w:val="006C7832"/>
    <w:rsid w:val="006F5840"/>
    <w:rsid w:val="0082430D"/>
    <w:rsid w:val="00FF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8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8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Harga rata-rata minyak dunia 1970 - 2015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'Crude Oil'!$B$1</c:f>
              <c:strCache>
                <c:ptCount val="1"/>
                <c:pt idx="0">
                  <c:v>Nominal USD</c:v>
                </c:pt>
              </c:strCache>
            </c:strRef>
          </c:tx>
          <c:marker>
            <c:symbol val="none"/>
          </c:marker>
          <c:cat>
            <c:numRef>
              <c:f>'Crude Oil'!$A$2:$A$47</c:f>
              <c:numCache>
                <c:formatCode>General</c:formatCode>
                <c:ptCount val="46"/>
                <c:pt idx="0">
                  <c:v>1970</c:v>
                </c:pt>
                <c:pt idx="1">
                  <c:v>1971</c:v>
                </c:pt>
                <c:pt idx="2">
                  <c:v>1972</c:v>
                </c:pt>
                <c:pt idx="3">
                  <c:v>1973</c:v>
                </c:pt>
                <c:pt idx="4">
                  <c:v>1974</c:v>
                </c:pt>
                <c:pt idx="5">
                  <c:v>1975</c:v>
                </c:pt>
                <c:pt idx="6">
                  <c:v>1976</c:v>
                </c:pt>
                <c:pt idx="7">
                  <c:v>1977</c:v>
                </c:pt>
                <c:pt idx="8">
                  <c:v>1978</c:v>
                </c:pt>
                <c:pt idx="9">
                  <c:v>1979</c:v>
                </c:pt>
                <c:pt idx="10">
                  <c:v>1980</c:v>
                </c:pt>
                <c:pt idx="11">
                  <c:v>1981</c:v>
                </c:pt>
                <c:pt idx="12">
                  <c:v>1982</c:v>
                </c:pt>
                <c:pt idx="13">
                  <c:v>1983</c:v>
                </c:pt>
                <c:pt idx="14">
                  <c:v>1984</c:v>
                </c:pt>
                <c:pt idx="15">
                  <c:v>1985</c:v>
                </c:pt>
                <c:pt idx="16">
                  <c:v>1986</c:v>
                </c:pt>
                <c:pt idx="17">
                  <c:v>1987</c:v>
                </c:pt>
                <c:pt idx="18">
                  <c:v>1988</c:v>
                </c:pt>
                <c:pt idx="19">
                  <c:v>1989</c:v>
                </c:pt>
                <c:pt idx="20">
                  <c:v>1990</c:v>
                </c:pt>
                <c:pt idx="21">
                  <c:v>1991</c:v>
                </c:pt>
                <c:pt idx="22">
                  <c:v>1992</c:v>
                </c:pt>
                <c:pt idx="23">
                  <c:v>1993</c:v>
                </c:pt>
                <c:pt idx="24">
                  <c:v>1994</c:v>
                </c:pt>
                <c:pt idx="25">
                  <c:v>1995</c:v>
                </c:pt>
                <c:pt idx="26">
                  <c:v>1996</c:v>
                </c:pt>
                <c:pt idx="27">
                  <c:v>1997</c:v>
                </c:pt>
                <c:pt idx="28">
                  <c:v>1998</c:v>
                </c:pt>
                <c:pt idx="29">
                  <c:v>1999</c:v>
                </c:pt>
                <c:pt idx="30">
                  <c:v>2000</c:v>
                </c:pt>
                <c:pt idx="31">
                  <c:v>2001</c:v>
                </c:pt>
                <c:pt idx="32">
                  <c:v>2002</c:v>
                </c:pt>
                <c:pt idx="33">
                  <c:v>2003</c:v>
                </c:pt>
                <c:pt idx="34">
                  <c:v>2004</c:v>
                </c:pt>
                <c:pt idx="35">
                  <c:v>2005</c:v>
                </c:pt>
                <c:pt idx="36">
                  <c:v>2006</c:v>
                </c:pt>
                <c:pt idx="37">
                  <c:v>2007</c:v>
                </c:pt>
                <c:pt idx="38">
                  <c:v>2008</c:v>
                </c:pt>
                <c:pt idx="39">
                  <c:v>2009</c:v>
                </c:pt>
                <c:pt idx="40">
                  <c:v>2010</c:v>
                </c:pt>
                <c:pt idx="41">
                  <c:v>2011</c:v>
                </c:pt>
                <c:pt idx="42">
                  <c:v>2012</c:v>
                </c:pt>
                <c:pt idx="43">
                  <c:v>2013</c:v>
                </c:pt>
                <c:pt idx="44">
                  <c:v>2014</c:v>
                </c:pt>
                <c:pt idx="45">
                  <c:v>2015</c:v>
                </c:pt>
              </c:numCache>
            </c:numRef>
          </c:cat>
          <c:val>
            <c:numRef>
              <c:f>'Crude Oil'!$B$2:$B$47</c:f>
              <c:numCache>
                <c:formatCode>General</c:formatCode>
                <c:ptCount val="46"/>
                <c:pt idx="0">
                  <c:v>1.8</c:v>
                </c:pt>
                <c:pt idx="1">
                  <c:v>2.2400000000000002</c:v>
                </c:pt>
                <c:pt idx="2">
                  <c:v>2.48</c:v>
                </c:pt>
                <c:pt idx="3">
                  <c:v>3.29</c:v>
                </c:pt>
                <c:pt idx="4">
                  <c:v>11.58</c:v>
                </c:pt>
                <c:pt idx="5">
                  <c:v>11.53</c:v>
                </c:pt>
                <c:pt idx="6">
                  <c:v>12.8</c:v>
                </c:pt>
                <c:pt idx="7">
                  <c:v>13.92</c:v>
                </c:pt>
                <c:pt idx="8">
                  <c:v>14.02</c:v>
                </c:pt>
                <c:pt idx="9">
                  <c:v>31.61</c:v>
                </c:pt>
                <c:pt idx="10">
                  <c:v>36.83</c:v>
                </c:pt>
                <c:pt idx="11">
                  <c:v>35.93</c:v>
                </c:pt>
                <c:pt idx="12">
                  <c:v>32.97</c:v>
                </c:pt>
                <c:pt idx="13">
                  <c:v>29.55</c:v>
                </c:pt>
                <c:pt idx="14">
                  <c:v>28.78</c:v>
                </c:pt>
                <c:pt idx="15">
                  <c:v>27.56</c:v>
                </c:pt>
                <c:pt idx="16">
                  <c:v>14.43</c:v>
                </c:pt>
                <c:pt idx="17">
                  <c:v>18.435039370078748</c:v>
                </c:pt>
                <c:pt idx="18">
                  <c:v>14.9238416988417</c:v>
                </c:pt>
                <c:pt idx="19">
                  <c:v>18.226113281250004</c:v>
                </c:pt>
                <c:pt idx="20">
                  <c:v>23.725820312500002</c:v>
                </c:pt>
                <c:pt idx="21">
                  <c:v>20.000914396887151</c:v>
                </c:pt>
                <c:pt idx="22">
                  <c:v>19.320836575875479</c:v>
                </c:pt>
                <c:pt idx="23">
                  <c:v>16.971634241245138</c:v>
                </c:pt>
                <c:pt idx="24">
                  <c:v>15.817626459143968</c:v>
                </c:pt>
                <c:pt idx="25">
                  <c:v>17.016679687499998</c:v>
                </c:pt>
                <c:pt idx="26">
                  <c:v>20.668488372093023</c:v>
                </c:pt>
                <c:pt idx="27">
                  <c:v>19.092587548638125</c:v>
                </c:pt>
                <c:pt idx="28">
                  <c:v>12.71566147859922</c:v>
                </c:pt>
                <c:pt idx="29">
                  <c:v>17.970077821011671</c:v>
                </c:pt>
                <c:pt idx="30">
                  <c:v>28.495449218749993</c:v>
                </c:pt>
                <c:pt idx="31">
                  <c:v>24.443891050583666</c:v>
                </c:pt>
                <c:pt idx="32">
                  <c:v>25.023255813953487</c:v>
                </c:pt>
                <c:pt idx="33">
                  <c:v>28.83070312500001</c:v>
                </c:pt>
                <c:pt idx="34">
                  <c:v>38.264999999999993</c:v>
                </c:pt>
                <c:pt idx="35">
                  <c:v>54.521089494163434</c:v>
                </c:pt>
                <c:pt idx="36">
                  <c:v>65.144062499999976</c:v>
                </c:pt>
                <c:pt idx="37">
                  <c:v>72.389078431372539</c:v>
                </c:pt>
                <c:pt idx="38">
                  <c:v>97.255972762645968</c:v>
                </c:pt>
                <c:pt idx="39">
                  <c:v>61.671264822134397</c:v>
                </c:pt>
                <c:pt idx="40">
                  <c:v>79.495533596837973</c:v>
                </c:pt>
                <c:pt idx="41">
                  <c:v>111.25559760956169</c:v>
                </c:pt>
                <c:pt idx="42">
                  <c:v>111.6697023809523</c:v>
                </c:pt>
                <c:pt idx="43">
                  <c:v>108.65851778656125</c:v>
                </c:pt>
                <c:pt idx="44">
                  <c:v>98.946007905138302</c:v>
                </c:pt>
                <c:pt idx="45">
                  <c:v>52.386758893280643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'Crude Oil'!$C$1</c:f>
              <c:strCache>
                <c:ptCount val="1"/>
                <c:pt idx="0">
                  <c:v>2015 USD</c:v>
                </c:pt>
              </c:strCache>
            </c:strRef>
          </c:tx>
          <c:marker>
            <c:symbol val="none"/>
          </c:marker>
          <c:cat>
            <c:numRef>
              <c:f>'Crude Oil'!$A$2:$A$47</c:f>
              <c:numCache>
                <c:formatCode>General</c:formatCode>
                <c:ptCount val="46"/>
                <c:pt idx="0">
                  <c:v>1970</c:v>
                </c:pt>
                <c:pt idx="1">
                  <c:v>1971</c:v>
                </c:pt>
                <c:pt idx="2">
                  <c:v>1972</c:v>
                </c:pt>
                <c:pt idx="3">
                  <c:v>1973</c:v>
                </c:pt>
                <c:pt idx="4">
                  <c:v>1974</c:v>
                </c:pt>
                <c:pt idx="5">
                  <c:v>1975</c:v>
                </c:pt>
                <c:pt idx="6">
                  <c:v>1976</c:v>
                </c:pt>
                <c:pt idx="7">
                  <c:v>1977</c:v>
                </c:pt>
                <c:pt idx="8">
                  <c:v>1978</c:v>
                </c:pt>
                <c:pt idx="9">
                  <c:v>1979</c:v>
                </c:pt>
                <c:pt idx="10">
                  <c:v>1980</c:v>
                </c:pt>
                <c:pt idx="11">
                  <c:v>1981</c:v>
                </c:pt>
                <c:pt idx="12">
                  <c:v>1982</c:v>
                </c:pt>
                <c:pt idx="13">
                  <c:v>1983</c:v>
                </c:pt>
                <c:pt idx="14">
                  <c:v>1984</c:v>
                </c:pt>
                <c:pt idx="15">
                  <c:v>1985</c:v>
                </c:pt>
                <c:pt idx="16">
                  <c:v>1986</c:v>
                </c:pt>
                <c:pt idx="17">
                  <c:v>1987</c:v>
                </c:pt>
                <c:pt idx="18">
                  <c:v>1988</c:v>
                </c:pt>
                <c:pt idx="19">
                  <c:v>1989</c:v>
                </c:pt>
                <c:pt idx="20">
                  <c:v>1990</c:v>
                </c:pt>
                <c:pt idx="21">
                  <c:v>1991</c:v>
                </c:pt>
                <c:pt idx="22">
                  <c:v>1992</c:v>
                </c:pt>
                <c:pt idx="23">
                  <c:v>1993</c:v>
                </c:pt>
                <c:pt idx="24">
                  <c:v>1994</c:v>
                </c:pt>
                <c:pt idx="25">
                  <c:v>1995</c:v>
                </c:pt>
                <c:pt idx="26">
                  <c:v>1996</c:v>
                </c:pt>
                <c:pt idx="27">
                  <c:v>1997</c:v>
                </c:pt>
                <c:pt idx="28">
                  <c:v>1998</c:v>
                </c:pt>
                <c:pt idx="29">
                  <c:v>1999</c:v>
                </c:pt>
                <c:pt idx="30">
                  <c:v>2000</c:v>
                </c:pt>
                <c:pt idx="31">
                  <c:v>2001</c:v>
                </c:pt>
                <c:pt idx="32">
                  <c:v>2002</c:v>
                </c:pt>
                <c:pt idx="33">
                  <c:v>2003</c:v>
                </c:pt>
                <c:pt idx="34">
                  <c:v>2004</c:v>
                </c:pt>
                <c:pt idx="35">
                  <c:v>2005</c:v>
                </c:pt>
                <c:pt idx="36">
                  <c:v>2006</c:v>
                </c:pt>
                <c:pt idx="37">
                  <c:v>2007</c:v>
                </c:pt>
                <c:pt idx="38">
                  <c:v>2008</c:v>
                </c:pt>
                <c:pt idx="39">
                  <c:v>2009</c:v>
                </c:pt>
                <c:pt idx="40">
                  <c:v>2010</c:v>
                </c:pt>
                <c:pt idx="41">
                  <c:v>2011</c:v>
                </c:pt>
                <c:pt idx="42">
                  <c:v>2012</c:v>
                </c:pt>
                <c:pt idx="43">
                  <c:v>2013</c:v>
                </c:pt>
                <c:pt idx="44">
                  <c:v>2014</c:v>
                </c:pt>
                <c:pt idx="45">
                  <c:v>2015</c:v>
                </c:pt>
              </c:numCache>
            </c:numRef>
          </c:cat>
          <c:val>
            <c:numRef>
              <c:f>'Crude Oil'!$C$2:$C$47</c:f>
              <c:numCache>
                <c:formatCode>General</c:formatCode>
                <c:ptCount val="46"/>
                <c:pt idx="0">
                  <c:v>10.981471643999999</c:v>
                </c:pt>
                <c:pt idx="1">
                  <c:v>13.092439852800002</c:v>
                </c:pt>
                <c:pt idx="2">
                  <c:v>14.054349645599999</c:v>
                </c:pt>
                <c:pt idx="3">
                  <c:v>17.552981284299999</c:v>
                </c:pt>
                <c:pt idx="4">
                  <c:v>55.689087689399997</c:v>
                </c:pt>
                <c:pt idx="5">
                  <c:v>50.802863725899996</c:v>
                </c:pt>
                <c:pt idx="6">
                  <c:v>53.304175232000006</c:v>
                </c:pt>
                <c:pt idx="7">
                  <c:v>54.405071793600001</c:v>
                </c:pt>
                <c:pt idx="8">
                  <c:v>50.965925460122691</c:v>
                </c:pt>
                <c:pt idx="9">
                  <c:v>103.19707121212122</c:v>
                </c:pt>
                <c:pt idx="10">
                  <c:v>105.93854502427185</c:v>
                </c:pt>
                <c:pt idx="11">
                  <c:v>93.685597469746966</c:v>
                </c:pt>
                <c:pt idx="12">
                  <c:v>80.978761554404144</c:v>
                </c:pt>
                <c:pt idx="13">
                  <c:v>70.319802710843376</c:v>
                </c:pt>
                <c:pt idx="14">
                  <c:v>65.653024639076037</c:v>
                </c:pt>
                <c:pt idx="15">
                  <c:v>60.708071747211896</c:v>
                </c:pt>
                <c:pt idx="16">
                  <c:v>31.205796624087593</c:v>
                </c:pt>
                <c:pt idx="17">
                  <c:v>38.46318427350176</c:v>
                </c:pt>
                <c:pt idx="18">
                  <c:v>29.90028899584869</c:v>
                </c:pt>
                <c:pt idx="19">
                  <c:v>34.837892709887903</c:v>
                </c:pt>
                <c:pt idx="20">
                  <c:v>43.025422724140014</c:v>
                </c:pt>
                <c:pt idx="21">
                  <c:v>34.810149412249636</c:v>
                </c:pt>
                <c:pt idx="22">
                  <c:v>32.639819874712757</c:v>
                </c:pt>
                <c:pt idx="23">
                  <c:v>27.837825765961245</c:v>
                </c:pt>
                <c:pt idx="24">
                  <c:v>25.296711179206479</c:v>
                </c:pt>
                <c:pt idx="25">
                  <c:v>26.46484496361483</c:v>
                </c:pt>
                <c:pt idx="26">
                  <c:v>31.222327056104525</c:v>
                </c:pt>
                <c:pt idx="27">
                  <c:v>28.194815024844235</c:v>
                </c:pt>
                <c:pt idx="28">
                  <c:v>18.48974197389877</c:v>
                </c:pt>
                <c:pt idx="29">
                  <c:v>25.565509783448974</c:v>
                </c:pt>
                <c:pt idx="30">
                  <c:v>39.22128851937515</c:v>
                </c:pt>
                <c:pt idx="31">
                  <c:v>32.713821213149068</c:v>
                </c:pt>
                <c:pt idx="32">
                  <c:v>32.967965647296275</c:v>
                </c:pt>
                <c:pt idx="33">
                  <c:v>37.137862807895111</c:v>
                </c:pt>
                <c:pt idx="34">
                  <c:v>48.011940206458441</c:v>
                </c:pt>
                <c:pt idx="35">
                  <c:v>66.167051049777257</c:v>
                </c:pt>
                <c:pt idx="36">
                  <c:v>76.588542964099702</c:v>
                </c:pt>
                <c:pt idx="37">
                  <c:v>82.749477651092391</c:v>
                </c:pt>
                <c:pt idx="38">
                  <c:v>107.06455044814795</c:v>
                </c:pt>
                <c:pt idx="39">
                  <c:v>68.133413672707277</c:v>
                </c:pt>
                <c:pt idx="40">
                  <c:v>86.408046039875984</c:v>
                </c:pt>
                <c:pt idx="41">
                  <c:v>117.22941806963667</c:v>
                </c:pt>
                <c:pt idx="42">
                  <c:v>115.28009377085714</c:v>
                </c:pt>
                <c:pt idx="43">
                  <c:v>110.55223028377506</c:v>
                </c:pt>
                <c:pt idx="44">
                  <c:v>99.063454462575038</c:v>
                </c:pt>
                <c:pt idx="45">
                  <c:v>52.386758893280643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4219008"/>
        <c:axId val="234220928"/>
      </c:lineChart>
      <c:catAx>
        <c:axId val="2342190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100"/>
            </a:pPr>
            <a:endParaRPr lang="en-US"/>
          </a:p>
        </c:txPr>
        <c:crossAx val="234220928"/>
        <c:crosses val="autoZero"/>
        <c:auto val="1"/>
        <c:lblAlgn val="ctr"/>
        <c:lblOffset val="100"/>
        <c:noMultiLvlLbl val="0"/>
      </c:catAx>
      <c:valAx>
        <c:axId val="234220928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sz="1200"/>
                </a:pPr>
                <a:r>
                  <a:rPr lang="en-US" sz="1200"/>
                  <a:t>USD/barrel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100"/>
            </a:pPr>
            <a:endParaRPr lang="en-US"/>
          </a:p>
        </c:txPr>
        <c:crossAx val="234219008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sz="11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E0EF8-2E1F-41DD-9E71-889B2FD28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bobbyatw</dc:creator>
  <cp:lastModifiedBy>bobbyatw</cp:lastModifiedBy>
  <cp:revision>4</cp:revision>
  <cp:lastPrinted>2016-08-11T07:24:00Z</cp:lastPrinted>
  <dcterms:created xsi:type="dcterms:W3CDTF">2016-08-11T05:46:00Z</dcterms:created>
  <dcterms:modified xsi:type="dcterms:W3CDTF">2016-08-11T07:25:00Z</dcterms:modified>
</cp:coreProperties>
</file>