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sz w:val="24"/>
          <w:szCs w:val="24"/>
        </w:rPr>
        <w:t xml:space="preserve"/>
      </w:r>
    </w:p>
    <w:p>
      <w:pPr>
        <w:spacing w:after="400"/>
      </w:pPr>
      <w:r>
        <w:rPr>
          <w:rFonts w:ascii="Arial" w:cs="Arial" w:eastAsia="Arial" w:hAnsi="Arial"/>
          <w:sz w:val="24"/>
          <w:szCs w:val="24"/>
        </w:rPr>
        <w:t xml:space="preserve"/>
      </w:r>
    </w:p>
    <w:p>
      <w:pPr>
        <w:spacing w:after="400"/>
      </w:pPr>
      <w:r>
        <w:rPr>
          <w:rFonts w:ascii="Arial" w:cs="Arial" w:eastAsia="Arial" w:hAnsi="Arial"/>
          <w:sz w:val="24"/>
          <w:szCs w:val="24"/>
        </w:rPr>
        <w:t xml:space="preserve"/>
      </w:r>
    </w:p>
    <w:p>
      <w:pPr>
        <w:spacing w:after="400"/>
        <w:jc w:val="center"/>
      </w:pPr>
      <w:r>
        <w:rPr>
          <w:rFonts w:ascii="Arial" w:cs="Arial" w:eastAsia="Arial" w:hAnsi="Arial"/>
          <w:b/>
          <w:bCs/>
          <w:color w:val="1B474D"/>
          <w:sz w:val="56"/>
          <w:szCs w:val="56"/>
        </w:rPr>
        <w:t xml:space="preserve">Concept-Aware Student Assessment:</w:t>
      </w:r>
    </w:p>
    <w:p>
      <w:pPr>
        <w:spacing w:after="500"/>
        <w:jc w:val="center"/>
      </w:pPr>
      <w:r>
        <w:rPr>
          <w:rFonts w:ascii="Arial" w:cs="Arial" w:eastAsia="Arial" w:hAnsi="Arial"/>
          <w:b/>
          <w:bCs/>
          <w:color w:val="1B474D"/>
          <w:sz w:val="56"/>
          <w:szCs w:val="56"/>
        </w:rPr>
        <w:t xml:space="preserve">Beyond Surface-Level Grading Through Knowledge Graph-Integrated Depth Analysis</w:t>
      </w:r>
    </w:p>
    <w:p>
      <w:pPr>
        <w:spacing w:after="100"/>
      </w:pPr>
      <w:r>
        <w:rPr>
          <w:rFonts w:ascii="Arial" w:cs="Arial" w:eastAsia="Arial" w:hAnsi="Arial"/>
          <w:sz w:val="24"/>
          <w:szCs w:val="24"/>
        </w:rPr>
        <w:t xml:space="preserve"/>
      </w:r>
    </w:p>
    <w:p>
      <w:pPr>
        <w:spacing w:after="400"/>
        <w:jc w:val="center"/>
      </w:pPr>
      <w:r>
        <w:rPr>
          <w:rFonts w:ascii="Arial" w:cs="Arial" w:eastAsia="Arial" w:hAnsi="Arial"/>
          <w:i/>
          <w:iCs/>
          <w:color w:val="555555"/>
          <w:sz w:val="36"/>
          <w:szCs w:val="36"/>
        </w:rPr>
        <w:t xml:space="preserve">A Research Proposal for Extending Automated Short Answer Grading to Evaluate Conceptual Understanding</w:t>
      </w:r>
    </w:p>
    <w:p>
      <w:pPr>
        <w:spacing w:after="400"/>
      </w:pPr>
      <w:r>
        <w:rPr>
          <w:rFonts w:ascii="Arial" w:cs="Arial" w:eastAsia="Arial" w:hAnsi="Arial"/>
          <w:sz w:val="24"/>
          <w:szCs w:val="24"/>
        </w:rPr>
        <w:t xml:space="preserve"/>
      </w:r>
    </w:p>
    <w:p>
      <w:pPr>
        <w:spacing w:after="400"/>
      </w:pPr>
      <w:r>
        <w:rPr>
          <w:rFonts w:ascii="Arial" w:cs="Arial" w:eastAsia="Arial" w:hAnsi="Arial"/>
          <w:sz w:val="24"/>
          <w:szCs w:val="24"/>
        </w:rPr>
        <w:t xml:space="preserve"/>
      </w:r>
    </w:p>
    <w:p>
      <w:pPr>
        <w:spacing w:after="200"/>
        <w:jc w:val="center"/>
      </w:pPr>
      <w:r>
        <w:rPr>
          <w:rFonts w:ascii="Arial" w:cs="Arial" w:eastAsia="Arial" w:hAnsi="Arial"/>
          <w:sz w:val="28"/>
          <w:szCs w:val="28"/>
        </w:rPr>
        <w:t xml:space="preserve">Author: </w:t>
      </w:r>
      <w:r>
        <w:rPr>
          <w:rFonts w:ascii="Arial" w:cs="Arial" w:eastAsia="Arial" w:hAnsi="Arial"/>
          <w:i/>
          <w:iCs/>
          <w:color w:val="888888"/>
          <w:sz w:val="28"/>
          <w:szCs w:val="28"/>
        </w:rPr>
        <w:t xml:space="preserve">[To be filled by researcher]</w:t>
      </w:r>
    </w:p>
    <w:p>
      <w:pPr>
        <w:spacing w:after="200"/>
        <w:jc w:val="center"/>
      </w:pPr>
      <w:r>
        <w:rPr>
          <w:rFonts w:ascii="Arial" w:cs="Arial" w:eastAsia="Arial" w:hAnsi="Arial"/>
          <w:sz w:val="28"/>
          <w:szCs w:val="28"/>
        </w:rPr>
        <w:t xml:space="preserve">Affiliation: </w:t>
      </w:r>
      <w:r>
        <w:rPr>
          <w:rFonts w:ascii="Arial" w:cs="Arial" w:eastAsia="Arial" w:hAnsi="Arial"/>
          <w:i/>
          <w:iCs/>
          <w:color w:val="888888"/>
          <w:sz w:val="28"/>
          <w:szCs w:val="28"/>
        </w:rPr>
        <w:t xml:space="preserve">[To be filled by researcher]</w:t>
      </w:r>
    </w:p>
    <w:p>
      <w:pPr>
        <w:spacing w:after="200"/>
        <w:jc w:val="center"/>
      </w:pPr>
      <w:r>
        <w:rPr>
          <w:rFonts w:ascii="Arial" w:cs="Arial" w:eastAsia="Arial" w:hAnsi="Arial"/>
          <w:sz w:val="28"/>
          <w:szCs w:val="28"/>
        </w:rPr>
        <w:t xml:space="preserve">Date: March 2026</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400" w:before="360"/>
        <w:jc w:val="left"/>
      </w:pPr>
      <w:r>
        <w:rPr>
          <w:rFonts w:ascii="Arial" w:cs="Arial" w:eastAsia="Arial" w:hAnsi="Arial"/>
          <w:b/>
          <w:bCs/>
          <w:sz w:val="56"/>
          <w:szCs w:val="5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r>
        <w:rPr>
          <w:rFonts w:ascii="Arial" w:cs="Arial" w:eastAsia="Arial" w:hAnsi="Arial"/>
          <w:sz w:val="24"/>
          <w:szCs w:val="24"/>
        </w:rPr>
        <w:t xml:space="preserve"/>
      </w:r>
    </w:p>
    <w:p>
      <w:pPr>
        <w:spacing w:after="100" w:line="276"/>
        <w:jc w:val="left"/>
      </w:pPr>
      <w:r>
        <w:rPr>
          <w:rFonts w:ascii="Arial" w:cs="Arial" w:eastAsia="Arial" w:hAnsi="Arial"/>
          <w:b w:val="false"/>
          <w:bCs w:val="false"/>
          <w:i/>
          <w:iCs/>
          <w:sz w:val="20"/>
          <w:szCs w:val="20"/>
        </w:rPr>
        <w:t xml:space="preserve">Note: To update the table of contents, open this document in Microsoft Word and press Ctrl+A then F9, or right-click the table of contents and select 'Update Field'.</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ageBreakBefore/>
        <w:spacing w:after="200" w:before="360"/>
      </w:pPr>
      <w:r>
        <w:rPr>
          <w:rFonts w:ascii="Arial" w:cs="Arial" w:eastAsia="Arial" w:hAnsi="Arial"/>
          <w:b/>
          <w:bCs/>
          <w:sz w:val="56"/>
          <w:szCs w:val="56"/>
        </w:rPr>
        <w:t xml:space="preserve">1. Executive Summary</w:t>
      </w:r>
    </w:p>
    <w:p>
      <w:pPr>
        <w:spacing w:after="200" w:line="276"/>
        <w:jc w:val="left"/>
      </w:pPr>
      <w:r>
        <w:rPr>
          <w:rFonts w:ascii="Arial" w:cs="Arial" w:eastAsia="Arial" w:hAnsi="Arial"/>
          <w:b w:val="false"/>
          <w:bCs w:val="false"/>
          <w:i w:val="false"/>
          <w:iCs w:val="false"/>
          <w:sz w:val="24"/>
          <w:szCs w:val="24"/>
        </w:rPr>
        <w:t xml:space="preserve">Automated Short Answer Grading (ASAG) has witnessed remarkable progress over the past decade, advancing from simple keyword matching techniques to sophisticated large language model (LLM)-based scoring systems. State-of-the-art systems such as NodeGrade (Fischer et al., 2025), GradeAid (del Gobbo et al., 2023), and EngSAF (Aggarwal et al., 2024) achieve impressive agreement rates with human graders on established benchmarks. However, a fundamental limitation persists across all current approaches: they measure textual similarity between student responses and reference answers without probing the depth of conceptual understanding that underlies those responses.</w:t>
      </w:r>
    </w:p>
    <w:p>
      <w:pPr>
        <w:spacing w:after="200" w:line="276"/>
        <w:jc w:val="left"/>
      </w:pPr>
      <w:r>
        <w:rPr>
          <w:rFonts w:ascii="Arial" w:cs="Arial" w:eastAsia="Arial" w:hAnsi="Arial"/>
          <w:b w:val="false"/>
          <w:bCs w:val="false"/>
          <w:i w:val="false"/>
          <w:iCs w:val="false"/>
          <w:sz w:val="24"/>
          <w:szCs w:val="24"/>
        </w:rPr>
        <w:t xml:space="preserve">This research proposal introduces a novel concept-aware assessment framework that shifts the paradigm from surface-level answer matching to depth-of-understanding analysis. The proposed system integrates three interconnected components: (1) a knowledge graph-based concept extraction and comparison pipeline that maps student mental models against expert reference structures, (2) a cognitive taxonomy classification module that assigns both Bloom's Revised Taxonomy levels and SOLO Taxonomy structural complexity levels to student responses, and (3) a misconception detection engine that identifies specific incorrect mental models rather than merely flagging wrong answers.</w:t>
      </w:r>
    </w:p>
    <w:p>
      <w:pPr>
        <w:spacing w:after="200" w:line="276"/>
        <w:jc w:val="left"/>
      </w:pPr>
      <w:r>
        <w:rPr>
          <w:rFonts w:ascii="Arial" w:cs="Arial" w:eastAsia="Arial" w:hAnsi="Arial"/>
          <w:b w:val="false"/>
          <w:bCs w:val="false"/>
          <w:i w:val="false"/>
          <w:iCs w:val="false"/>
          <w:sz w:val="24"/>
          <w:szCs w:val="24"/>
        </w:rPr>
        <w:t xml:space="preserve">The framework is designed as an extension to NodeGrade's modular graph-based architecture, implementing each analytical layer as new node types within the existing pipeline. This design choice ensures backward compatibility with current ASAG functionality while enabling educators to access deeper diagnostic insights. A Visual Natural Language Interface (V-NLI) layer enables teachers to query assessment data using natural language, generating visualizations such as concept understanding heatmaps, Bloom's level distribution charts, and misconception prevalence graphs.</w:t>
      </w:r>
    </w:p>
    <w:p>
      <w:pPr>
        <w:spacing w:after="200" w:line="276"/>
        <w:jc w:val="left"/>
      </w:pPr>
      <w:r>
        <w:rPr>
          <w:rFonts w:ascii="Arial" w:cs="Arial" w:eastAsia="Arial" w:hAnsi="Arial"/>
          <w:b w:val="false"/>
          <w:bCs w:val="false"/>
          <w:i w:val="false"/>
          <w:iCs w:val="false"/>
          <w:sz w:val="24"/>
          <w:szCs w:val="24"/>
        </w:rPr>
        <w:t xml:space="preserve">Empirical evidence motivates this work: Emirtekin and Özarslan (2025) demonstrated that LLM-human agreement drops systematically at higher Bloom's cognitive levels, revealing a "cognitive ceiling" in current automated assessment. Haycocks et al. (2024) showed that conceptual knowledge is substantially more durable than factual recall, suggesting that assessments optimizing for factual accuracy measure competencies that decay rapidly. These findings establish both the need and the opportunity for assessment systems that evaluate conceptual depth.</w:t>
      </w:r>
    </w:p>
    <w:p>
      <w:pPr>
        <w:spacing w:after="200" w:line="276"/>
        <w:jc w:val="left"/>
      </w:pPr>
      <w:r>
        <w:rPr>
          <w:rFonts w:ascii="Arial" w:cs="Arial" w:eastAsia="Arial" w:hAnsi="Arial"/>
          <w:b w:val="false"/>
          <w:bCs w:val="false"/>
          <w:i w:val="false"/>
          <w:iCs w:val="false"/>
          <w:sz w:val="24"/>
          <w:szCs w:val="24"/>
        </w:rPr>
        <w:t xml:space="preserve">The expected contributions include the first automated SOLO taxonomy classifier for free-text responses, a misconception detection module integrated with knowledge graph comparison, a concept-annotated ASAG benchmark dataset, and an educational V-NLI system purpose-built for assessment analytics. The proposed timeline spans 30 months across five phases, from foundational development through empirical evaluation and thesis completion.</w:t>
      </w:r>
    </w:p>
    <w:p>
      <w:pPr>
        <w:pStyle w:val="Heading1"/>
        <w:pageBreakBefore/>
        <w:spacing w:after="200" w:before="360"/>
      </w:pPr>
      <w:r>
        <w:rPr>
          <w:rFonts w:ascii="Arial" w:cs="Arial" w:eastAsia="Arial" w:hAnsi="Arial"/>
          <w:b/>
          <w:bCs/>
          <w:sz w:val="56"/>
          <w:szCs w:val="56"/>
        </w:rPr>
        <w:t xml:space="preserve">2. Introduction and Problem Statement</w:t>
      </w:r>
    </w:p>
    <w:p>
      <w:pPr>
        <w:pStyle w:val="Heading2"/>
        <w:spacing w:after="160" w:before="280"/>
      </w:pPr>
      <w:r>
        <w:rPr>
          <w:rFonts w:ascii="Arial" w:cs="Arial" w:eastAsia="Arial" w:hAnsi="Arial"/>
          <w:b/>
          <w:bCs/>
          <w:sz w:val="44"/>
          <w:szCs w:val="44"/>
        </w:rPr>
        <w:t xml:space="preserve">2.1 Background</w:t>
      </w:r>
    </w:p>
    <w:p>
      <w:pPr>
        <w:spacing w:after="200" w:line="276"/>
        <w:jc w:val="left"/>
      </w:pPr>
      <w:r>
        <w:rPr>
          <w:rFonts w:ascii="Arial" w:cs="Arial" w:eastAsia="Arial" w:hAnsi="Arial"/>
          <w:b w:val="false"/>
          <w:bCs w:val="false"/>
          <w:i w:val="false"/>
          <w:iCs w:val="false"/>
          <w:sz w:val="24"/>
          <w:szCs w:val="24"/>
        </w:rPr>
        <w:t xml:space="preserve">The assessment of student learning remains one of the most consequential activities in education. Accurate, timely, and informative assessment drives instructional decisions, shapes student learning trajectories, and serves as the primary mechanism through which educational institutions certify competence. Within this landscape, short-answer questions occupy a particularly valuable niche: they require students to construct their own responses rather than select from predefined options, thereby eliciting evidence of deeper cognitive processing than multiple-choice formats allow. However, the manual grading of short-answer responses represents an enormous labor burden, particularly in large-enrollment courses and standardized testing contexts.</w:t>
      </w:r>
    </w:p>
    <w:p>
      <w:pPr>
        <w:spacing w:after="200" w:line="276"/>
        <w:jc w:val="left"/>
      </w:pPr>
      <w:r>
        <w:rPr>
          <w:rFonts w:ascii="Arial" w:cs="Arial" w:eastAsia="Arial" w:hAnsi="Arial"/>
          <w:b w:val="false"/>
          <w:bCs w:val="false"/>
          <w:i w:val="false"/>
          <w:iCs w:val="false"/>
          <w:sz w:val="24"/>
          <w:szCs w:val="24"/>
        </w:rPr>
        <w:t xml:space="preserve">Automated Short Answer Grading (ASAG) has emerged as a response to this challenge, with the field evolving through several distinct technological generations. Early systems relied on keyword matching and pattern recognition, comparing student responses against predefined answer templates. The advent of distributional semantics introduced corpus-based similarity measures that could capture semantic relatedness beyond exact lexical overlap. More recently, sentence transformer models such as SBERT and cross-encoder architectures have enabled fine-grained semantic similarity computation, while large language models (LLMs) including GPT-4 have demonstrated the ability to perform holistic response evaluation with minimal task-specific training.</w:t>
      </w:r>
    </w:p>
    <w:p>
      <w:pPr>
        <w:pStyle w:val="Heading2"/>
        <w:spacing w:after="160" w:before="280"/>
      </w:pPr>
      <w:r>
        <w:rPr>
          <w:rFonts w:ascii="Arial" w:cs="Arial" w:eastAsia="Arial" w:hAnsi="Arial"/>
          <w:b/>
          <w:bCs/>
          <w:sz w:val="44"/>
          <w:szCs w:val="44"/>
        </w:rPr>
        <w:t xml:space="preserve">2.2 The Fundamental Limitation of Current ASAG</w:t>
      </w:r>
    </w:p>
    <w:p>
      <w:pPr>
        <w:spacing w:after="200" w:line="276"/>
        <w:jc w:val="left"/>
      </w:pPr>
      <w:r>
        <w:rPr>
          <w:rFonts w:ascii="Arial" w:cs="Arial" w:eastAsia="Arial" w:hAnsi="Arial"/>
          <w:b w:val="false"/>
          <w:bCs w:val="false"/>
          <w:i w:val="false"/>
          <w:iCs w:val="false"/>
          <w:sz w:val="24"/>
          <w:szCs w:val="24"/>
        </w:rPr>
        <w:t xml:space="preserve">Despite this impressive technological progression, a fundamental limitation pervades all current ASAG approaches: they measure the proximity of a student's response to a reference answer, not the depth or quality of the student's conceptual understanding. Whether the comparison mechanism is keyword overlap, cosine similarity in an embedding space, or an LLM's assessment of semantic equivalence, the underlying evaluation paradigm remains the same — determine how closely the student's text matches what an expert would say.</w:t>
      </w:r>
    </w:p>
    <w:p>
      <w:pPr>
        <w:spacing w:after="200" w:line="276"/>
        <w:jc w:val="left"/>
      </w:pPr>
      <w:r>
        <w:rPr>
          <w:rFonts w:ascii="Arial" w:cs="Arial" w:eastAsia="Arial" w:hAnsi="Arial"/>
          <w:b w:val="false"/>
          <w:bCs w:val="false"/>
          <w:i w:val="false"/>
          <w:iCs w:val="false"/>
          <w:sz w:val="24"/>
          <w:szCs w:val="24"/>
        </w:rPr>
        <w:t xml:space="preserve">This reference-matching paradigm has several critical shortcomings:</w:t>
      </w:r>
    </w:p>
    <w:p>
      <w:pPr>
        <w:pStyle w:val="ListParagraph"/>
        <w:numPr>
          <w:ilvl w:val="0"/>
          <w:numId w:val="2"/>
        </w:numPr>
        <w:spacing w:after="100" w:line="276"/>
      </w:pPr>
      <w:r>
        <w:rPr>
          <w:rFonts w:ascii="Arial" w:cs="Arial" w:eastAsia="Arial" w:hAnsi="Arial"/>
          <w:b/>
          <w:bCs/>
          <w:sz w:val="24"/>
          <w:szCs w:val="24"/>
        </w:rPr>
        <w:t xml:space="preserve">Surface equivalence without depth discrimination: </w:t>
      </w:r>
      <w:r>
        <w:rPr>
          <w:rFonts w:ascii="Arial" w:cs="Arial" w:eastAsia="Arial" w:hAnsi="Arial"/>
          <w:sz w:val="24"/>
          <w:szCs w:val="24"/>
        </w:rPr>
        <w:t xml:space="preserve">A student who memorizes a textbook definition verbatim receives the same score as a student who demonstrates deep structural understanding of the underlying concepts but phrases them differently. The system cannot distinguish between recall and comprehension.</w:t>
      </w:r>
    </w:p>
    <w:p>
      <w:pPr>
        <w:pStyle w:val="ListParagraph"/>
        <w:numPr>
          <w:ilvl w:val="0"/>
          <w:numId w:val="2"/>
        </w:numPr>
        <w:spacing w:after="100" w:line="276"/>
      </w:pPr>
      <w:r>
        <w:rPr>
          <w:rFonts w:ascii="Arial" w:cs="Arial" w:eastAsia="Arial" w:hAnsi="Arial"/>
          <w:b/>
          <w:bCs/>
          <w:sz w:val="24"/>
          <w:szCs w:val="24"/>
        </w:rPr>
        <w:t xml:space="preserve">No misconception diagnosis: </w:t>
      </w:r>
      <w:r>
        <w:rPr>
          <w:rFonts w:ascii="Arial" w:cs="Arial" w:eastAsia="Arial" w:hAnsi="Arial"/>
          <w:sz w:val="24"/>
          <w:szCs w:val="24"/>
        </w:rPr>
        <w:t xml:space="preserve">When a student provides an incorrect response, current systems can identify that the answer is wrong and assign a low score, but they cannot identify the specific misconception that led to the error. This limits the formative value of the assessment.</w:t>
      </w:r>
    </w:p>
    <w:p>
      <w:pPr>
        <w:pStyle w:val="ListParagraph"/>
        <w:numPr>
          <w:ilvl w:val="0"/>
          <w:numId w:val="2"/>
        </w:numPr>
        <w:spacing w:after="100" w:line="276"/>
      </w:pPr>
      <w:r>
        <w:rPr>
          <w:rFonts w:ascii="Arial" w:cs="Arial" w:eastAsia="Arial" w:hAnsi="Arial"/>
          <w:b/>
          <w:bCs/>
          <w:sz w:val="24"/>
          <w:szCs w:val="24"/>
        </w:rPr>
        <w:t xml:space="preserve">Cognitive level blindness: </w:t>
      </w:r>
      <w:r>
        <w:rPr>
          <w:rFonts w:ascii="Arial" w:cs="Arial" w:eastAsia="Arial" w:hAnsi="Arial"/>
          <w:sz w:val="24"/>
          <w:szCs w:val="24"/>
        </w:rPr>
        <w:t xml:space="preserve">All responses at a given similarity threshold receive equivalent scores regardless of the cognitive complexity they demonstrate. A response exhibiting analysis-level thinking is scored identically to one exhibiting mere recall, provided both achieve similar textual overlap with the reference.</w:t>
      </w:r>
    </w:p>
    <w:p>
      <w:pPr>
        <w:pStyle w:val="ListParagraph"/>
        <w:numPr>
          <w:ilvl w:val="0"/>
          <w:numId w:val="2"/>
        </w:numPr>
        <w:spacing w:after="100" w:line="276"/>
      </w:pPr>
      <w:r>
        <w:rPr>
          <w:rFonts w:ascii="Arial" w:cs="Arial" w:eastAsia="Arial" w:hAnsi="Arial"/>
          <w:b/>
          <w:bCs/>
          <w:sz w:val="24"/>
          <w:szCs w:val="24"/>
        </w:rPr>
        <w:t xml:space="preserve">Reference answer dependency: </w:t>
      </w:r>
      <w:r>
        <w:rPr>
          <w:rFonts w:ascii="Arial" w:cs="Arial" w:eastAsia="Arial" w:hAnsi="Arial"/>
          <w:sz w:val="24"/>
          <w:szCs w:val="24"/>
        </w:rPr>
        <w:t xml:space="preserve">The quality of grading is bounded by the quality and comprehensiveness of the reference answer. Alternative valid conceptualizations that are correct but differently structured may be penalized.</w:t>
      </w:r>
    </w:p>
    <w:p>
      <w:pPr>
        <w:spacing w:after="200" w:line="276"/>
        <w:jc w:val="left"/>
      </w:pPr>
      <w:r>
        <w:rPr>
          <w:rFonts w:ascii="Arial" w:cs="Arial" w:eastAsia="Arial" w:hAnsi="Arial"/>
          <w:b w:val="false"/>
          <w:bCs w:val="false"/>
          <w:i w:val="false"/>
          <w:iCs w:val="false"/>
          <w:sz w:val="24"/>
          <w:szCs w:val="24"/>
        </w:rPr>
        <w:t xml:space="preserve">Fischer et al. (2025) introduced NodeGrade, a node-graph based ASAG tool that achieves state-of-the-art performance on the SemEval benchmark by decomposing the grading process into modular, composable nodes. While NodeGrade's architecture represents a significant advance in system design — enabling flexible pipeline construction and outperforming GPT-4 on several metrics — its grading nodes still fundamentally compare student responses against reference answers. Del Gobbo et al. (2023) developed GradeAid, combining TF-IDF similarity with BERT Cross-Encoder reranking to achieve an RMSE of 0.25, yet this hybrid approach similarly operates within the reference-matching paradigm. Aggarwal et al. (2024) created EngSAF, the first ASAG dataset to include grading feedback alongside scores, with Mistral-7B achieving 75.4% accuracy — but the feedback generated still evaluates the student's answer relative to the expected response rather than probing conceptual understanding.</w:t>
      </w:r>
    </w:p>
    <w:p>
      <w:pPr>
        <w:pStyle w:val="Heading2"/>
        <w:spacing w:after="160" w:before="280"/>
      </w:pPr>
      <w:r>
        <w:rPr>
          <w:rFonts w:ascii="Arial" w:cs="Arial" w:eastAsia="Arial" w:hAnsi="Arial"/>
          <w:b/>
          <w:bCs/>
          <w:sz w:val="44"/>
          <w:szCs w:val="44"/>
        </w:rPr>
        <w:t xml:space="preserve">2.3 The Empirical Evidence for a Cognitive Ceiling</w:t>
      </w:r>
    </w:p>
    <w:p>
      <w:pPr>
        <w:spacing w:after="200" w:line="276"/>
        <w:jc w:val="left"/>
      </w:pPr>
      <w:r>
        <w:rPr>
          <w:rFonts w:ascii="Arial" w:cs="Arial" w:eastAsia="Arial" w:hAnsi="Arial"/>
          <w:b w:val="false"/>
          <w:bCs w:val="false"/>
          <w:i w:val="false"/>
          <w:iCs w:val="false"/>
          <w:sz w:val="24"/>
          <w:szCs w:val="24"/>
        </w:rPr>
        <w:t xml:space="preserve">Recent empirical work has quantified the limitations of current approaches at higher cognitive levels. Emirtekin and Özarslan (2025) conducted a systematic evaluation of LLM-based grading across Bloom's Taxonomy levels and found that LLM-human agreement drops significantly at higher cognitive levels. Specifically, Quadratic Weighted Kappa (QWK) values ranged from 0.585 to 0.640 for questions requiring evaluation and synthesis, compared to substantially higher agreement for knowledge-level and comprehension-level items. This finding establishes an empirical "cognitive ceiling" — a systematic boundary beyond which current automated grading techniques lose reliability, precisely at the cognitive levels where assessment has the greatest educational value.</w:t>
      </w:r>
    </w:p>
    <w:p>
      <w:pPr>
        <w:spacing w:after="200" w:line="276"/>
        <w:jc w:val="left"/>
      </w:pPr>
      <w:r>
        <w:rPr>
          <w:rFonts w:ascii="Arial" w:cs="Arial" w:eastAsia="Arial" w:hAnsi="Arial"/>
          <w:b w:val="false"/>
          <w:bCs w:val="false"/>
          <w:i w:val="false"/>
          <w:iCs w:val="false"/>
          <w:sz w:val="24"/>
          <w:szCs w:val="24"/>
        </w:rPr>
        <w:t xml:space="preserve">This cognitive ceiling is not merely a technical limitation awaiting better models; it reflects a fundamental mismatch between what current systems measure (textual similarity) and what higher-order cognitive tasks require (structural integration, critical evaluation, creative synthesis). As Huber and Niklaus (2025) demonstrated at COLING, when mapping LLM benchmark tasks to Bloom's Taxonomy levels, the Evaluate and Create levels have effectively zero dedicated benchmark tasks, indicating that the field has not yet seriously engaged with automated assessment at these levels.</w:t>
      </w:r>
    </w:p>
    <w:p>
      <w:pPr>
        <w:pStyle w:val="Heading2"/>
        <w:spacing w:after="160" w:before="280"/>
      </w:pPr>
      <w:r>
        <w:rPr>
          <w:rFonts w:ascii="Arial" w:cs="Arial" w:eastAsia="Arial" w:hAnsi="Arial"/>
          <w:b/>
          <w:bCs/>
          <w:sz w:val="44"/>
          <w:szCs w:val="44"/>
        </w:rPr>
        <w:t xml:space="preserve">2.4 Why Depth of Understanding Matters</w:t>
      </w:r>
    </w:p>
    <w:p>
      <w:pPr>
        <w:spacing w:after="200" w:line="276"/>
        <w:jc w:val="left"/>
      </w:pPr>
      <w:r>
        <w:rPr>
          <w:rFonts w:ascii="Arial" w:cs="Arial" w:eastAsia="Arial" w:hAnsi="Arial"/>
          <w:b w:val="false"/>
          <w:bCs w:val="false"/>
          <w:i w:val="false"/>
          <w:iCs w:val="false"/>
          <w:sz w:val="24"/>
          <w:szCs w:val="24"/>
        </w:rPr>
        <w:t xml:space="preserve">The importance of assessing conceptual depth is underscored by research on knowledge durability. Haycocks et al. (2024) demonstrated that conceptual knowledge is substantially more durable than factual recall, with factual knowledge showing significantly steeper decay curves. This finding has profound implications for assessment design: if current ASAG systems optimize for detecting factual accuracy — the very type of knowledge that decays most rapidly — they may be systematically measuring the least educationally valuable aspects of student learning.</w:t>
      </w:r>
    </w:p>
    <w:p>
      <w:pPr>
        <w:spacing w:after="200" w:line="276"/>
        <w:jc w:val="left"/>
      </w:pPr>
      <w:r>
        <w:rPr>
          <w:rFonts w:ascii="Arial" w:cs="Arial" w:eastAsia="Arial" w:hAnsi="Arial"/>
          <w:b w:val="false"/>
          <w:bCs w:val="false"/>
          <w:i w:val="false"/>
          <w:iCs w:val="false"/>
          <w:sz w:val="24"/>
          <w:szCs w:val="24"/>
        </w:rPr>
        <w:t xml:space="preserve">Conversely, assessing the structural quality of a student's conceptual understanding — the richness of connections between concepts, the appropriate hierarchical organization of knowledge, and the absence of systematic misconceptions — targets precisely the type of knowledge that persists over time and transfers across contexts.</w:t>
      </w:r>
    </w:p>
    <w:p>
      <w:pPr>
        <w:pStyle w:val="Heading2"/>
        <w:spacing w:after="160" w:before="280"/>
      </w:pPr>
      <w:r>
        <w:rPr>
          <w:rFonts w:ascii="Arial" w:cs="Arial" w:eastAsia="Arial" w:hAnsi="Arial"/>
          <w:b/>
          <w:bCs/>
          <w:sz w:val="44"/>
          <w:szCs w:val="44"/>
        </w:rPr>
        <w:t xml:space="preserve">2.5 Research Question</w:t>
      </w:r>
    </w:p>
    <w:p>
      <w:pPr>
        <w:spacing w:after="200" w:line="276"/>
        <w:jc w:val="left"/>
      </w:pPr>
      <w:r>
        <w:rPr>
          <w:rFonts w:ascii="Arial" w:cs="Arial" w:eastAsia="Arial" w:hAnsi="Arial"/>
          <w:b/>
          <w:bCs/>
          <w:i w:val="false"/>
          <w:iCs w:val="false"/>
          <w:sz w:val="24"/>
          <w:szCs w:val="24"/>
        </w:rPr>
        <w:t xml:space="preserve">This proposal addresses the following primary research question:</w:t>
      </w:r>
    </w:p>
    <w:p>
      <w:pPr>
        <w:spacing w:after="200" w:line="276"/>
        <w:ind w:left="720"/>
        <w:jc w:val="left"/>
      </w:pPr>
      <w:r>
        <w:rPr>
          <w:rFonts w:ascii="Arial" w:cs="Arial" w:eastAsia="Arial" w:hAnsi="Arial"/>
          <w:b w:val="false"/>
          <w:bCs w:val="false"/>
          <w:i/>
          <w:iCs/>
          <w:sz w:val="24"/>
          <w:szCs w:val="24"/>
        </w:rPr>
        <w:t xml:space="preserve">Can automated assessment systems be designed to evaluate the DEPTH of a student's conceptual understanding from free-text responses, rather than measuring surface similarity to a reference answer?</w:t>
      </w:r>
    </w:p>
    <w:p>
      <w:pPr>
        <w:spacing w:after="200" w:line="276"/>
        <w:jc w:val="left"/>
      </w:pPr>
      <w:r>
        <w:rPr>
          <w:rFonts w:ascii="Arial" w:cs="Arial" w:eastAsia="Arial" w:hAnsi="Arial"/>
          <w:b w:val="false"/>
          <w:bCs w:val="false"/>
          <w:i w:val="false"/>
          <w:iCs w:val="false"/>
          <w:sz w:val="24"/>
          <w:szCs w:val="24"/>
        </w:rPr>
        <w:t xml:space="preserve">This central question decomposes into several specific sub-questions:</w:t>
      </w:r>
    </w:p>
    <w:p>
      <w:pPr>
        <w:pStyle w:val="ListParagraph"/>
        <w:numPr>
          <w:ilvl w:val="0"/>
          <w:numId w:val="3"/>
        </w:numPr>
        <w:spacing w:after="100" w:line="276"/>
      </w:pPr>
      <w:r>
        <w:rPr>
          <w:rFonts w:ascii="Arial" w:cs="Arial" w:eastAsia="Arial" w:hAnsi="Arial"/>
          <w:sz w:val="24"/>
          <w:szCs w:val="24"/>
        </w:rPr>
        <w:t xml:space="preserve">Can domain concepts and their relationships be reliably extracted from student free-text responses using LLM-based techniques grounded in domain ontologies?</w:t>
      </w:r>
    </w:p>
    <w:p>
      <w:pPr>
        <w:pStyle w:val="ListParagraph"/>
        <w:numPr>
          <w:ilvl w:val="0"/>
          <w:numId w:val="3"/>
        </w:numPr>
        <w:spacing w:after="100" w:line="276"/>
      </w:pPr>
      <w:r>
        <w:rPr>
          <w:rFonts w:ascii="Arial" w:cs="Arial" w:eastAsia="Arial" w:hAnsi="Arial"/>
          <w:sz w:val="24"/>
          <w:szCs w:val="24"/>
        </w:rPr>
        <w:t xml:space="preserve">Can the depth of understanding be automatically classified according to established cognitive taxonomies (Bloom's Revised Taxonomy and SOLO Taxonomy)?</w:t>
      </w:r>
    </w:p>
    <w:p>
      <w:pPr>
        <w:pStyle w:val="ListParagraph"/>
        <w:numPr>
          <w:ilvl w:val="0"/>
          <w:numId w:val="3"/>
        </w:numPr>
        <w:spacing w:after="100" w:line="276"/>
      </w:pPr>
      <w:r>
        <w:rPr>
          <w:rFonts w:ascii="Arial" w:cs="Arial" w:eastAsia="Arial" w:hAnsi="Arial"/>
          <w:sz w:val="24"/>
          <w:szCs w:val="24"/>
        </w:rPr>
        <w:t xml:space="preserve">Can specific student misconceptions be identified by comparing student-generated concept structures against expert reference knowledge graphs?</w:t>
      </w:r>
    </w:p>
    <w:p>
      <w:pPr>
        <w:pStyle w:val="ListParagraph"/>
        <w:numPr>
          <w:ilvl w:val="0"/>
          <w:numId w:val="3"/>
        </w:numPr>
        <w:spacing w:after="100" w:line="276"/>
      </w:pPr>
      <w:r>
        <w:rPr>
          <w:rFonts w:ascii="Arial" w:cs="Arial" w:eastAsia="Arial" w:hAnsi="Arial"/>
          <w:sz w:val="24"/>
          <w:szCs w:val="24"/>
        </w:rPr>
        <w:t xml:space="preserve">Can the resulting concept-level assessment data be made accessible to educators through a natural language visualization interface?</w:t>
      </w:r>
    </w:p>
    <w:p>
      <w:pPr>
        <w:pStyle w:val="ListParagraph"/>
        <w:numPr>
          <w:ilvl w:val="0"/>
          <w:numId w:val="3"/>
        </w:numPr>
        <w:spacing w:after="100" w:line="276"/>
      </w:pPr>
      <w:r>
        <w:rPr>
          <w:rFonts w:ascii="Arial" w:cs="Arial" w:eastAsia="Arial" w:hAnsi="Arial"/>
          <w:sz w:val="24"/>
          <w:szCs w:val="24"/>
        </w:rPr>
        <w:t xml:space="preserve">Can these capabilities be integrated as modular extensions to an existing ASAG architecture (NodeGrade) without degrading baseline grading performance?</w:t>
      </w:r>
    </w:p>
    <w:p>
      <w:pPr>
        <w:pStyle w:val="Heading1"/>
        <w:pageBreakBefore/>
        <w:spacing w:after="200" w:before="360"/>
      </w:pPr>
      <w:r>
        <w:rPr>
          <w:rFonts w:ascii="Arial" w:cs="Arial" w:eastAsia="Arial" w:hAnsi="Arial"/>
          <w:b/>
          <w:bCs/>
          <w:sz w:val="56"/>
          <w:szCs w:val="56"/>
        </w:rPr>
        <w:t xml:space="preserve">3. Literature Review</w:t>
      </w:r>
    </w:p>
    <w:p>
      <w:pPr>
        <w:pStyle w:val="Heading2"/>
        <w:spacing w:after="160" w:before="280"/>
      </w:pPr>
      <w:r>
        <w:rPr>
          <w:rFonts w:ascii="Arial" w:cs="Arial" w:eastAsia="Arial" w:hAnsi="Arial"/>
          <w:b/>
          <w:bCs/>
          <w:sz w:val="44"/>
          <w:szCs w:val="44"/>
        </w:rPr>
        <w:t xml:space="preserve">3.1 Automatic Short Answer Grading: State of the Art</w:t>
      </w:r>
    </w:p>
    <w:p>
      <w:pPr>
        <w:spacing w:after="200" w:line="276"/>
        <w:jc w:val="left"/>
      </w:pPr>
      <w:r>
        <w:rPr>
          <w:rFonts w:ascii="Arial" w:cs="Arial" w:eastAsia="Arial" w:hAnsi="Arial"/>
          <w:b w:val="false"/>
          <w:bCs w:val="false"/>
          <w:i w:val="false"/>
          <w:iCs w:val="false"/>
          <w:sz w:val="24"/>
          <w:szCs w:val="24"/>
        </w:rPr>
        <w:t xml:space="preserve">The field of Automatic Short Answer Grading has evolved through several distinct technological paradigms, each building upon the limitations of its predecessor. This section traces that evolution and identifies the persistent limitation that motivates the current proposal.</w:t>
      </w:r>
    </w:p>
    <w:p>
      <w:pPr>
        <w:pStyle w:val="Heading3"/>
        <w:spacing w:after="120" w:before="240"/>
      </w:pPr>
      <w:r>
        <w:rPr>
          <w:rFonts w:ascii="Arial" w:cs="Arial" w:eastAsia="Arial" w:hAnsi="Arial"/>
          <w:b/>
          <w:bCs/>
          <w:sz w:val="36"/>
          <w:szCs w:val="36"/>
        </w:rPr>
        <w:t xml:space="preserve">3.1.1 Evolution of ASAG Approaches</w:t>
      </w:r>
    </w:p>
    <w:p>
      <w:pPr>
        <w:spacing w:after="200" w:line="276"/>
        <w:jc w:val="left"/>
      </w:pPr>
      <w:r>
        <w:rPr>
          <w:rFonts w:ascii="Arial" w:cs="Arial" w:eastAsia="Arial" w:hAnsi="Arial"/>
          <w:b w:val="false"/>
          <w:bCs w:val="false"/>
          <w:i w:val="false"/>
          <w:iCs w:val="false"/>
          <w:sz w:val="24"/>
          <w:szCs w:val="24"/>
        </w:rPr>
        <w:t xml:space="preserve">The earliest ASAG systems employed keyword matching and pattern recognition, comparing student responses against predefined answer templates containing expected terms and phrases. While computationally simple, these approaches suffered from high false-negative rates — correct responses using synonyms or paraphrases were systematically penalized. Corpus-based similarity measures introduced greater flexibility by leveraging distributional semantics to capture semantic relatedness beyond exact lexical overlap. Techniques such as Latent Semantic Analysis (LSA) and TF-IDF-weighted cosine similarity could recognize that "photosynthesis converts light energy" and "plants transform solar radiation" express related ideas.</w:t>
      </w:r>
    </w:p>
    <w:p>
      <w:pPr>
        <w:spacing w:after="200" w:line="276"/>
        <w:jc w:val="left"/>
      </w:pPr>
      <w:r>
        <w:rPr>
          <w:rFonts w:ascii="Arial" w:cs="Arial" w:eastAsia="Arial" w:hAnsi="Arial"/>
          <w:b w:val="false"/>
          <w:bCs w:val="false"/>
          <w:i w:val="false"/>
          <w:iCs w:val="false"/>
          <w:sz w:val="24"/>
          <w:szCs w:val="24"/>
        </w:rPr>
        <w:t xml:space="preserve">The introduction of sentence transformer models marked a significant leap forward. Models such as SBERT (Sentence-BERT) encode entire sentences into dense vector representations, enabling fine-grained semantic similarity computation that captures meaning at the utterance level rather than the word level. Cross-encoder architectures further improved accuracy by jointly encoding the student response and reference answer, allowing the model to attend to fine-grained interactions between the two texts.</w:t>
      </w:r>
    </w:p>
    <w:p>
      <w:pPr>
        <w:spacing w:after="200" w:line="276"/>
        <w:jc w:val="left"/>
      </w:pPr>
      <w:r>
        <w:rPr>
          <w:rFonts w:ascii="Arial" w:cs="Arial" w:eastAsia="Arial" w:hAnsi="Arial"/>
          <w:b w:val="false"/>
          <w:bCs w:val="false"/>
          <w:i w:val="false"/>
          <w:iCs w:val="false"/>
          <w:sz w:val="24"/>
          <w:szCs w:val="24"/>
        </w:rPr>
        <w:t xml:space="preserve">Most recently, large language models (LLMs) have demonstrated impressive ASAG capabilities. These models can perform holistic response evaluation using few-shot or zero-shot prompting, leveraging their vast pre-trained knowledge to assess response quality without task-specific fine-tuning.</w:t>
      </w:r>
    </w:p>
    <w:p>
      <w:pPr>
        <w:pStyle w:val="Heading3"/>
        <w:spacing w:after="120" w:before="240"/>
      </w:pPr>
      <w:r>
        <w:rPr>
          <w:rFonts w:ascii="Arial" w:cs="Arial" w:eastAsia="Arial" w:hAnsi="Arial"/>
          <w:b/>
          <w:bCs/>
          <w:sz w:val="36"/>
          <w:szCs w:val="36"/>
        </w:rPr>
        <w:t xml:space="preserve">3.1.2 Key Systems</w:t>
      </w:r>
    </w:p>
    <w:p>
      <w:pPr>
        <w:spacing w:after="200" w:line="276"/>
        <w:jc w:val="left"/>
      </w:pPr>
      <w:r>
        <w:rPr>
          <w:rFonts w:ascii="Arial" w:cs="Arial" w:eastAsia="Arial" w:hAnsi="Arial"/>
          <w:b/>
          <w:bCs/>
          <w:sz w:val="24"/>
          <w:szCs w:val="24"/>
        </w:rPr>
        <w:t xml:space="preserve">NodeGrade (Fischer et al., 2025)</w:t>
      </w:r>
      <w:r>
        <w:rPr>
          <w:rFonts w:ascii="Arial" w:cs="Arial" w:eastAsia="Arial" w:hAnsi="Arial"/>
          <w:sz w:val="24"/>
          <w:szCs w:val="24"/>
        </w:rPr>
        <w:t xml:space="preserve"> introduced a node-graph based modular pipeline architecture for ASAG. The system decomposes the grading process into configurable nodes — each responsible for a specific sub-task such as text preprocessing, similarity computation, or score calibration — connected in a directed acyclic graph. This modularity enables flexible pipeline construction and experimentation with different grading strategies. NodeGrade outperforms GPT-4 on the SemEval benchmark, demonstrating that structured pipeline approaches can surpass monolithic LLM scoring. Critically, NodeGrade's extensible architecture provides a natural integration point for the concept-aware extensions proposed in this research.</w:t>
      </w:r>
    </w:p>
    <w:p>
      <w:pPr>
        <w:spacing w:after="200" w:line="276"/>
        <w:jc w:val="left"/>
      </w:pPr>
      <w:r>
        <w:rPr>
          <w:rFonts w:ascii="Arial" w:cs="Arial" w:eastAsia="Arial" w:hAnsi="Arial"/>
          <w:b/>
          <w:bCs/>
          <w:sz w:val="24"/>
          <w:szCs w:val="24"/>
        </w:rPr>
        <w:t xml:space="preserve">GradeAid (del Gobbo et al., 2023)</w:t>
      </w:r>
      <w:r>
        <w:rPr>
          <w:rFonts w:ascii="Arial" w:cs="Arial" w:eastAsia="Arial" w:hAnsi="Arial"/>
          <w:sz w:val="24"/>
          <w:szCs w:val="24"/>
        </w:rPr>
        <w:t xml:space="preserve"> implements a hybrid approach combining TF-IDF similarity scoring with a BERT Cross-Encoder reranker. The system first computes coarse-grained similarity using TF-IDF vectors, then refines the assessment using a cross-encoder that jointly processes the student answer and reference answer. This two-stage architecture achieves an RMSE of 0.25 on its evaluation benchmark, demonstrating that combining traditional and neural approaches can yield competitive performance.</w:t>
      </w:r>
    </w:p>
    <w:p>
      <w:pPr>
        <w:spacing w:after="200" w:line="276"/>
        <w:jc w:val="left"/>
      </w:pPr>
      <w:r>
        <w:rPr>
          <w:rFonts w:ascii="Arial" w:cs="Arial" w:eastAsia="Arial" w:hAnsi="Arial"/>
          <w:b/>
          <w:bCs/>
          <w:sz w:val="24"/>
          <w:szCs w:val="24"/>
        </w:rPr>
        <w:t xml:space="preserve">EngSAF (Aggarwal et al., 2024)</w:t>
      </w:r>
      <w:r>
        <w:rPr>
          <w:rFonts w:ascii="Arial" w:cs="Arial" w:eastAsia="Arial" w:hAnsi="Arial"/>
          <w:sz w:val="24"/>
          <w:szCs w:val="24"/>
        </w:rPr>
        <w:t xml:space="preserve"> represents an important advance in ASAG dataset construction, being the first dataset to include qualitative grading feedback alongside numerical scores. The dataset enables research on generating explanatory feedback rather than mere scores. Using Mistral-7B, the system achieves 75.4% accuracy on grading tasks while also producing natural language feedback that explains score assignments.</w:t>
      </w:r>
    </w:p>
    <w:p>
      <w:pPr>
        <w:pStyle w:val="Heading3"/>
        <w:spacing w:after="120" w:before="240"/>
      </w:pPr>
      <w:r>
        <w:rPr>
          <w:rFonts w:ascii="Arial" w:cs="Arial" w:eastAsia="Arial" w:hAnsi="Arial"/>
          <w:b/>
          <w:bCs/>
          <w:sz w:val="36"/>
          <w:szCs w:val="36"/>
        </w:rPr>
        <w:t xml:space="preserve">3.1.3 Recent Benchmarks and Advances</w:t>
      </w:r>
    </w:p>
    <w:p>
      <w:pPr>
        <w:spacing w:after="200" w:line="276"/>
        <w:jc w:val="left"/>
      </w:pPr>
      <w:r>
        <w:rPr>
          <w:rFonts w:ascii="Arial" w:cs="Arial" w:eastAsia="Arial" w:hAnsi="Arial"/>
          <w:b w:val="false"/>
          <w:bCs w:val="false"/>
          <w:i w:val="false"/>
          <w:iCs w:val="false"/>
          <w:sz w:val="24"/>
          <w:szCs w:val="24"/>
        </w:rPr>
        <w:t xml:space="preserve">The ASAG2024 benchmark (Meyer et al., 2024) established a unified evaluation framework spanning seven established ASAG datasets. This comprehensive benchmark revealed that while LLMs reach new state-of-the-art performance on many individual datasets, they still fall short of expert human graders on the most challenging items. The benchmark provides a standardized basis for comparing future systems, including the concept-aware framework proposed here.</w:t>
      </w:r>
    </w:p>
    <w:p>
      <w:pPr>
        <w:spacing w:after="200" w:line="276"/>
        <w:jc w:val="left"/>
      </w:pPr>
      <w:r>
        <w:rPr>
          <w:rFonts w:ascii="Arial" w:cs="Arial" w:eastAsia="Arial" w:hAnsi="Arial"/>
          <w:b w:val="false"/>
          <w:bCs w:val="false"/>
          <w:i w:val="false"/>
          <w:iCs w:val="false"/>
          <w:sz w:val="24"/>
          <w:szCs w:val="24"/>
        </w:rPr>
        <w:t xml:space="preserve">Several recent advances have pushed the boundaries of conventional ASAG. Gobrecht et al. (2024) demonstrated that their AI grading model produces 44% less error than human re-graders, challenging the assumption that human scoring is the gold standard. Krisnawati et al. (2025) addressed the cross-prompt generalization challenge, developing methods that maintain grading accuracy when applied to question types not seen during training. Joseph and Varghese (2025) proposed a BERT+GRU hybrid architecture that combines contextual embeddings with sequential modeling for improved score prediction. Sil et al. (2025) introduced MMSAF, extending ASAG to multimodal inputs including diagrams and equations alongside text.</w:t>
      </w:r>
    </w:p>
    <w:p>
      <w:pPr>
        <w:spacing w:after="200" w:line="276"/>
        <w:jc w:val="left"/>
      </w:pPr>
      <w:r>
        <w:rPr>
          <w:rFonts w:ascii="Arial" w:cs="Arial" w:eastAsia="Arial" w:hAnsi="Arial"/>
          <w:b w:val="false"/>
          <w:bCs w:val="false"/>
          <w:i w:val="false"/>
          <w:iCs w:val="false"/>
          <w:sz w:val="24"/>
          <w:szCs w:val="24"/>
        </w:rPr>
        <w:t xml:space="preserve">Chi and Zhu (2025) developed LLMarking, which decomposes reference answers into key points and scores student responses against each point individually. This approach produces more explainable scoring by attributing grades to specific content elements. Zhao et al. (2025) demonstrated that RAG-based few-shot example selection significantly outperforms random selection for LLM grading, with GPT-4o achieving the best accuracy-to-cost balance.</w:t>
      </w:r>
    </w:p>
    <w:p>
      <w:pPr>
        <w:pStyle w:val="Heading3"/>
        <w:spacing w:after="120" w:before="240"/>
      </w:pPr>
      <w:r>
        <w:rPr>
          <w:rFonts w:ascii="Arial" w:cs="Arial" w:eastAsia="Arial" w:hAnsi="Arial"/>
          <w:b/>
          <w:bCs/>
          <w:sz w:val="36"/>
          <w:szCs w:val="36"/>
        </w:rPr>
        <w:t xml:space="preserve">3.1.4 Core Limitation</w:t>
      </w:r>
    </w:p>
    <w:p>
      <w:pPr>
        <w:spacing w:after="200" w:line="276"/>
        <w:jc w:val="left"/>
      </w:pPr>
      <w:r>
        <w:rPr>
          <w:rFonts w:ascii="Arial" w:cs="Arial" w:eastAsia="Arial" w:hAnsi="Arial"/>
          <w:b/>
          <w:bCs/>
          <w:sz w:val="24"/>
          <w:szCs w:val="24"/>
        </w:rPr>
        <w:t xml:space="preserve">Across this entire trajectory — from keyword matching through LLM-based scoring — a fundamental limitation persists: </w:t>
      </w:r>
      <w:r>
        <w:rPr>
          <w:rFonts w:ascii="Arial" w:cs="Arial" w:eastAsia="Arial" w:hAnsi="Arial"/>
          <w:sz w:val="24"/>
          <w:szCs w:val="24"/>
        </w:rPr>
        <w:t xml:space="preserve">all methods measure the proximity of a student's response to a reference answer. None assess the depth, structure, or quality of the conceptual understanding that produced the response. A student who has memorized a textbook definition receives the same treatment as a student who demonstrates rich conceptual integration, provided both achieve similar textual similarity to the reference. This limitation is not merely theoretical; it manifests in the empirical cognitive ceiling documented by Emirtekin and Özarslan (2025) and the benchmark gaps identified by Huber and Niklaus (2025).</w:t>
      </w:r>
    </w:p>
    <w:p>
      <w:pPr>
        <w:pStyle w:val="Heading2"/>
        <w:spacing w:after="160" w:before="280"/>
      </w:pPr>
      <w:r>
        <w:rPr>
          <w:rFonts w:ascii="Arial" w:cs="Arial" w:eastAsia="Arial" w:hAnsi="Arial"/>
          <w:b/>
          <w:bCs/>
          <w:sz w:val="44"/>
          <w:szCs w:val="44"/>
        </w:rPr>
        <w:t xml:space="preserve">3.2 Cognitive Taxonomies for Assessment</w:t>
      </w:r>
    </w:p>
    <w:p>
      <w:pPr>
        <w:spacing w:after="200" w:line="276"/>
        <w:jc w:val="left"/>
      </w:pPr>
      <w:r>
        <w:rPr>
          <w:rFonts w:ascii="Arial" w:cs="Arial" w:eastAsia="Arial" w:hAnsi="Arial"/>
          <w:b w:val="false"/>
          <w:bCs w:val="false"/>
          <w:i w:val="false"/>
          <w:iCs w:val="false"/>
          <w:sz w:val="24"/>
          <w:szCs w:val="24"/>
        </w:rPr>
        <w:t xml:space="preserve">Cognitive taxonomies provide structured frameworks for classifying the depth and quality of thinking demonstrated in educational contexts. Two taxonomies are particularly relevant to this proposal: Bloom's Revised Taxonomy, which classifies the cognitive demands of assessment tasks, and the SOLO Taxonomy, which classifies the structural quality of student responses.</w:t>
      </w:r>
    </w:p>
    <w:p>
      <w:pPr>
        <w:pStyle w:val="Heading3"/>
        <w:spacing w:after="120" w:before="240"/>
      </w:pPr>
      <w:r>
        <w:rPr>
          <w:rFonts w:ascii="Arial" w:cs="Arial" w:eastAsia="Arial" w:hAnsi="Arial"/>
          <w:b/>
          <w:bCs/>
          <w:sz w:val="36"/>
          <w:szCs w:val="36"/>
        </w:rPr>
        <w:t xml:space="preserve">3.2.1 Bloom's Revised Taxonomy</w:t>
      </w:r>
    </w:p>
    <w:p>
      <w:pPr>
        <w:spacing w:after="200" w:line="276"/>
        <w:jc w:val="left"/>
      </w:pPr>
      <w:r>
        <w:rPr>
          <w:rFonts w:ascii="Arial" w:cs="Arial" w:eastAsia="Arial" w:hAnsi="Arial"/>
          <w:b w:val="false"/>
          <w:bCs w:val="false"/>
          <w:i w:val="false"/>
          <w:iCs w:val="false"/>
          <w:sz w:val="24"/>
          <w:szCs w:val="24"/>
        </w:rPr>
        <w:t xml:space="preserve">Anderson and Krathwohl (2001) revised the original Bloom's Taxonomy to create a two-dimensional framework. The Cognitive Process Dimension comprises six levels of increasing complexity: Remember, Understand, Apply, Analyze, Evaluate, and Create. The Knowledge Dimension categorizes content into four types: Factual, Conceptual, Procedural, and Metacognitive. This two-dimensional structure enables precise classification of educational objectives — for example, "analyzing conceptual knowledge" occupies a different cell than "remembering factual knowledge."</w:t>
      </w:r>
    </w:p>
    <w:p>
      <w:pPr>
        <w:spacing w:after="200" w:line="276"/>
        <w:jc w:val="left"/>
      </w:pPr>
      <w:r>
        <w:rPr>
          <w:rFonts w:ascii="Arial" w:cs="Arial" w:eastAsia="Arial" w:hAnsi="Arial"/>
          <w:b w:val="false"/>
          <w:bCs w:val="false"/>
          <w:i w:val="false"/>
          <w:iCs w:val="false"/>
          <w:sz w:val="24"/>
          <w:szCs w:val="24"/>
        </w:rPr>
        <w:t xml:space="preserve">Bloom's Revised Taxonomy has become the dominant framework for curriculum design and assessment alignment worldwide. Its strength lies in providing a shared vocabulary for discussing cognitive complexity. However, a critical limitation for automated assessment is that Bloom's classifies the task (the question) rather than the response. A question designed at the "Analyze" level may receive a response at the "Remember" level if the student merely recalls a previously encountered analysis without generating new analytical thinking. This task-oriented nature means Bloom's alone cannot assess the cognitive quality of individual student responses.</w:t>
      </w:r>
    </w:p>
    <w:p>
      <w:pPr>
        <w:pStyle w:val="Heading3"/>
        <w:spacing w:after="120" w:before="240"/>
      </w:pPr>
      <w:r>
        <w:rPr>
          <w:rFonts w:ascii="Arial" w:cs="Arial" w:eastAsia="Arial" w:hAnsi="Arial"/>
          <w:b/>
          <w:bCs/>
          <w:sz w:val="36"/>
          <w:szCs w:val="36"/>
        </w:rPr>
        <w:t xml:space="preserve">3.2.2 SOLO Taxonomy</w:t>
      </w:r>
    </w:p>
    <w:p>
      <w:pPr>
        <w:spacing w:after="200" w:line="276"/>
        <w:jc w:val="left"/>
      </w:pPr>
      <w:r>
        <w:rPr>
          <w:rFonts w:ascii="Arial" w:cs="Arial" w:eastAsia="Arial" w:hAnsi="Arial"/>
          <w:b w:val="false"/>
          <w:bCs w:val="false"/>
          <w:i w:val="false"/>
          <w:iCs w:val="false"/>
          <w:sz w:val="24"/>
          <w:szCs w:val="24"/>
        </w:rPr>
        <w:t xml:space="preserve">The Structure of Observed Learning Outcomes (SOLO) Taxonomy, developed by Biggs and Collis (1982), addresses precisely the limitation of Bloom's by classifying the structural quality of actual student responses rather than the design intent of assessment tasks. SOLO defines five levels:</w:t>
      </w:r>
    </w:p>
    <w:p>
      <w:pPr>
        <w:pStyle w:val="ListParagraph"/>
        <w:numPr>
          <w:ilvl w:val="0"/>
          <w:numId w:val="2"/>
        </w:numPr>
        <w:spacing w:after="100" w:line="276"/>
      </w:pPr>
      <w:r>
        <w:rPr>
          <w:rFonts w:ascii="Arial" w:cs="Arial" w:eastAsia="Arial" w:hAnsi="Arial"/>
          <w:b/>
          <w:bCs/>
          <w:sz w:val="24"/>
          <w:szCs w:val="24"/>
        </w:rPr>
        <w:t xml:space="preserve">Prestructural: </w:t>
      </w:r>
      <w:r>
        <w:rPr>
          <w:rFonts w:ascii="Arial" w:cs="Arial" w:eastAsia="Arial" w:hAnsi="Arial"/>
          <w:sz w:val="24"/>
          <w:szCs w:val="24"/>
        </w:rPr>
        <w:t xml:space="preserve">The response misses the point entirely or provides irrelevant information. No meaningful engagement with the question.</w:t>
      </w:r>
    </w:p>
    <w:p>
      <w:pPr>
        <w:pStyle w:val="ListParagraph"/>
        <w:numPr>
          <w:ilvl w:val="0"/>
          <w:numId w:val="2"/>
        </w:numPr>
        <w:spacing w:after="100" w:line="276"/>
      </w:pPr>
      <w:r>
        <w:rPr>
          <w:rFonts w:ascii="Arial" w:cs="Arial" w:eastAsia="Arial" w:hAnsi="Arial"/>
          <w:b/>
          <w:bCs/>
          <w:sz w:val="24"/>
          <w:szCs w:val="24"/>
        </w:rPr>
        <w:t xml:space="preserve">Unistructural: </w:t>
      </w:r>
      <w:r>
        <w:rPr>
          <w:rFonts w:ascii="Arial" w:cs="Arial" w:eastAsia="Arial" w:hAnsi="Arial"/>
          <w:sz w:val="24"/>
          <w:szCs w:val="24"/>
        </w:rPr>
        <w:t xml:space="preserve">The response addresses one relevant aspect of the question. A single concept is identified but not related to others.</w:t>
      </w:r>
    </w:p>
    <w:p>
      <w:pPr>
        <w:pStyle w:val="ListParagraph"/>
        <w:numPr>
          <w:ilvl w:val="0"/>
          <w:numId w:val="2"/>
        </w:numPr>
        <w:spacing w:after="100" w:line="276"/>
      </w:pPr>
      <w:r>
        <w:rPr>
          <w:rFonts w:ascii="Arial" w:cs="Arial" w:eastAsia="Arial" w:hAnsi="Arial"/>
          <w:b/>
          <w:bCs/>
          <w:sz w:val="24"/>
          <w:szCs w:val="24"/>
        </w:rPr>
        <w:t xml:space="preserve">Multistructural: </w:t>
      </w:r>
      <w:r>
        <w:rPr>
          <w:rFonts w:ascii="Arial" w:cs="Arial" w:eastAsia="Arial" w:hAnsi="Arial"/>
          <w:sz w:val="24"/>
          <w:szCs w:val="24"/>
        </w:rPr>
        <w:t xml:space="preserve">Multiple relevant aspects are addressed but treated independently, without integration. The response reads as a list of separate points.</w:t>
      </w:r>
    </w:p>
    <w:p>
      <w:pPr>
        <w:pStyle w:val="ListParagraph"/>
        <w:numPr>
          <w:ilvl w:val="0"/>
          <w:numId w:val="2"/>
        </w:numPr>
        <w:spacing w:after="100" w:line="276"/>
      </w:pPr>
      <w:r>
        <w:rPr>
          <w:rFonts w:ascii="Arial" w:cs="Arial" w:eastAsia="Arial" w:hAnsi="Arial"/>
          <w:b/>
          <w:bCs/>
          <w:sz w:val="24"/>
          <w:szCs w:val="24"/>
        </w:rPr>
        <w:t xml:space="preserve">Relational: </w:t>
      </w:r>
      <w:r>
        <w:rPr>
          <w:rFonts w:ascii="Arial" w:cs="Arial" w:eastAsia="Arial" w:hAnsi="Arial"/>
          <w:sz w:val="24"/>
          <w:szCs w:val="24"/>
        </w:rPr>
        <w:t xml:space="preserve">Multiple aspects are integrated into a coherent whole. The student demonstrates understanding of relationships between concepts and constructs an organized argument.</w:t>
      </w:r>
    </w:p>
    <w:p>
      <w:pPr>
        <w:pStyle w:val="ListParagraph"/>
        <w:numPr>
          <w:ilvl w:val="0"/>
          <w:numId w:val="2"/>
        </w:numPr>
        <w:spacing w:after="100" w:line="276"/>
      </w:pPr>
      <w:r>
        <w:rPr>
          <w:rFonts w:ascii="Arial" w:cs="Arial" w:eastAsia="Arial" w:hAnsi="Arial"/>
          <w:b/>
          <w:bCs/>
          <w:sz w:val="24"/>
          <w:szCs w:val="24"/>
        </w:rPr>
        <w:t xml:space="preserve">Extended Abstract: </w:t>
      </w:r>
      <w:r>
        <w:rPr>
          <w:rFonts w:ascii="Arial" w:cs="Arial" w:eastAsia="Arial" w:hAnsi="Arial"/>
          <w:sz w:val="24"/>
          <w:szCs w:val="24"/>
        </w:rPr>
        <w:t xml:space="preserve">The response goes beyond the immediate context, generalizing principles, hypothesizing, or reflecting on the knowledge structure itself. Concepts are integrated and extended.</w:t>
      </w:r>
    </w:p>
    <w:p>
      <w:pPr>
        <w:spacing w:after="200" w:line="276"/>
        <w:jc w:val="left"/>
      </w:pPr>
      <w:r>
        <w:rPr>
          <w:rFonts w:ascii="Arial" w:cs="Arial" w:eastAsia="Arial" w:hAnsi="Arial"/>
          <w:b w:val="false"/>
          <w:bCs w:val="false"/>
          <w:i w:val="false"/>
          <w:iCs w:val="false"/>
          <w:sz w:val="24"/>
          <w:szCs w:val="24"/>
        </w:rPr>
        <w:t xml:space="preserve">The SOLO Taxonomy is fundamentally response-adaptive — it evaluates what the student actually produced, not what the question intended to elicit. This makes it uniquely suited to automated assessment of conceptual depth: a system that can reliably classify SOLO levels can distinguish between a student who lists three facts in isolation (Multistructural) and one who integrates those facts into a coherent explanation (Relational).</w:t>
      </w:r>
    </w:p>
    <w:p>
      <w:pPr>
        <w:spacing w:after="200" w:line="276"/>
        <w:jc w:val="left"/>
      </w:pPr>
      <w:r>
        <w:rPr>
          <w:rFonts w:ascii="Arial" w:cs="Arial" w:eastAsia="Arial" w:hAnsi="Arial"/>
          <w:b w:val="false"/>
          <w:bCs w:val="false"/>
          <w:i w:val="false"/>
          <w:iCs w:val="false"/>
          <w:sz w:val="24"/>
          <w:szCs w:val="24"/>
        </w:rPr>
        <w:t xml:space="preserve">Fernandez and Guzon (2025) developed a SOLO-based rubric for assessing calculus problem-solving responses, achieving inter-rater reliability with weighted kappa values of 0.659 to 0.667. Their analysis revealed that 63% of student responses fell at the Multistructural level or below, indicating that most students demonstrate limited conceptual integration even when the task demands it. Critically, this classification was performed entirely manually — no automated SOLO classification system exists for free-text educational responses.</w:t>
      </w:r>
    </w:p>
    <w:p>
      <w:pPr>
        <w:pStyle w:val="Heading3"/>
        <w:spacing w:after="120" w:before="240"/>
      </w:pPr>
      <w:r>
        <w:rPr>
          <w:rFonts w:ascii="Arial" w:cs="Arial" w:eastAsia="Arial" w:hAnsi="Arial"/>
          <w:b/>
          <w:bCs/>
          <w:sz w:val="36"/>
          <w:szCs w:val="36"/>
        </w:rPr>
        <w:t xml:space="preserve">3.2.3 Webb's Depth of Knowledge and Integrated Frameworks</w:t>
      </w:r>
    </w:p>
    <w:p>
      <w:pPr>
        <w:spacing w:after="200" w:line="276"/>
        <w:jc w:val="left"/>
      </w:pPr>
      <w:r>
        <w:rPr>
          <w:rFonts w:ascii="Arial" w:cs="Arial" w:eastAsia="Arial" w:hAnsi="Arial"/>
          <w:b w:val="false"/>
          <w:bCs w:val="false"/>
          <w:i w:val="false"/>
          <w:iCs w:val="false"/>
          <w:sz w:val="24"/>
          <w:szCs w:val="24"/>
        </w:rPr>
        <w:t xml:space="preserve">Webb's Depth of Knowledge (DOK) framework provides a complementary perspective, classifying cognitive complexity independently of content difficulty. DOK distinguishes between recall (Level 1), skill/concept application (Level 2), strategic thinking (Level 3), and extended thinking (Level 4). Unlike Bloom's, DOK explicitly separates the complexity of the cognitive process from the difficulty of the content.</w:t>
      </w:r>
    </w:p>
    <w:p>
      <w:pPr>
        <w:spacing w:after="200" w:line="276"/>
        <w:jc w:val="left"/>
      </w:pPr>
      <w:r>
        <w:rPr>
          <w:rFonts w:ascii="Arial" w:cs="Arial" w:eastAsia="Arial" w:hAnsi="Arial"/>
          <w:b w:val="false"/>
          <w:bCs w:val="false"/>
          <w:i w:val="false"/>
          <w:iCs w:val="false"/>
          <w:sz w:val="24"/>
          <w:szCs w:val="24"/>
        </w:rPr>
        <w:t xml:space="preserve">The EduEval framework (2025) represents the most ambitious integration effort, combining Bloom's Taxonomy levels with Webb's DOK into a six-dimensional evaluation framework. This integrated approach acknowledges that no single taxonomy captures all relevant dimensions of cognitive quality, and that multi-taxonomy assessment provides richer diagnostic information.</w:t>
      </w:r>
    </w:p>
    <w:p>
      <w:pPr>
        <w:pStyle w:val="Heading2"/>
        <w:spacing w:after="160" w:before="280"/>
      </w:pPr>
      <w:r>
        <w:rPr>
          <w:rFonts w:ascii="Arial" w:cs="Arial" w:eastAsia="Arial" w:hAnsi="Arial"/>
          <w:b/>
          <w:bCs/>
          <w:sz w:val="44"/>
          <w:szCs w:val="44"/>
        </w:rPr>
        <w:t xml:space="preserve">3.3 LLM-Based Cognitive Level Classification</w:t>
      </w:r>
    </w:p>
    <w:p>
      <w:pPr>
        <w:spacing w:after="200" w:line="276"/>
        <w:jc w:val="left"/>
      </w:pPr>
      <w:r>
        <w:rPr>
          <w:rFonts w:ascii="Arial" w:cs="Arial" w:eastAsia="Arial" w:hAnsi="Arial"/>
          <w:b w:val="false"/>
          <w:bCs w:val="false"/>
          <w:i w:val="false"/>
          <w:iCs w:val="false"/>
          <w:sz w:val="24"/>
          <w:szCs w:val="24"/>
        </w:rPr>
        <w:t xml:space="preserve">Recent research has begun exploring the use of large language models for classifying the cognitive level of educational content, though primarily for question classification rather than response assessment.</w:t>
      </w:r>
    </w:p>
    <w:p>
      <w:pPr>
        <w:spacing w:after="200" w:line="276"/>
        <w:jc w:val="left"/>
      </w:pPr>
      <w:r>
        <w:rPr>
          <w:rFonts w:ascii="Arial" w:cs="Arial" w:eastAsia="Arial" w:hAnsi="Arial"/>
          <w:b/>
          <w:bCs/>
          <w:sz w:val="24"/>
          <w:szCs w:val="24"/>
        </w:rPr>
        <w:t xml:space="preserve">Cohn et al. (2024)</w:t>
      </w:r>
      <w:r>
        <w:rPr>
          <w:rFonts w:ascii="Arial" w:cs="Arial" w:eastAsia="Arial" w:hAnsi="Arial"/>
          <w:sz w:val="24"/>
          <w:szCs w:val="24"/>
        </w:rPr>
        <w:t xml:space="preserve"> presented foundational work at AAAI demonstrating that Chain-of-Thought (CoT) prompting with GPT-4 can classify Bloom's Taxonomy levels with high reliability. By combining CoT prompting with active learning for example selection, they achieved Quadratic Weighted Kappa (QWK) values of 0.87 to 0.95, approaching expert human inter-rater reliability. This work established that LLMs can perform nuanced cognitive level classification when properly prompted.</w:t>
      </w:r>
    </w:p>
    <w:p>
      <w:pPr>
        <w:spacing w:after="200" w:line="276"/>
        <w:jc w:val="left"/>
      </w:pPr>
      <w:r>
        <w:rPr>
          <w:rFonts w:ascii="Arial" w:cs="Arial" w:eastAsia="Arial" w:hAnsi="Arial"/>
          <w:b/>
          <w:bCs/>
          <w:sz w:val="24"/>
          <w:szCs w:val="24"/>
        </w:rPr>
        <w:t xml:space="preserve">Cohn et al. (2025)</w:t>
      </w:r>
      <w:r>
        <w:rPr>
          <w:rFonts w:ascii="Arial" w:cs="Arial" w:eastAsia="Arial" w:hAnsi="Arial"/>
          <w:sz w:val="24"/>
          <w:szCs w:val="24"/>
        </w:rPr>
        <w:t xml:space="preserve"> extended this work with CoTAL (Chain-of-Thought with Active Learning), demonstrating scoring improvements of up to 38.9% over baseline approaches. Importantly, CoTAL generalizes across science, computing, and engineering domains, suggesting that the underlying approach captures domain-general cognitive patterns rather than domain-specific surface features.</w:t>
      </w:r>
    </w:p>
    <w:p>
      <w:pPr>
        <w:spacing w:after="200" w:line="276"/>
        <w:jc w:val="left"/>
      </w:pPr>
      <w:r>
        <w:rPr>
          <w:rFonts w:ascii="Arial" w:cs="Arial" w:eastAsia="Arial" w:hAnsi="Arial"/>
          <w:b/>
          <w:bCs/>
          <w:sz w:val="24"/>
          <w:szCs w:val="24"/>
        </w:rPr>
        <w:t xml:space="preserve">Huber and Niklaus (2025)</w:t>
      </w:r>
      <w:r>
        <w:rPr>
          <w:rFonts w:ascii="Arial" w:cs="Arial" w:eastAsia="Arial" w:hAnsi="Arial"/>
          <w:sz w:val="24"/>
          <w:szCs w:val="24"/>
        </w:rPr>
        <w:t xml:space="preserve">, presented at COLING, mapped existing LLM benchmark tasks to Bloom's Taxonomy levels and discovered a striking gap: the Evaluate and Create levels have effectively zero dedicated benchmark tasks. This finding highlights both the difficulty of automated assessment at higher cognitive levels and the urgent need for research specifically targeting these levels — precisely the goal of this proposal.</w:t>
      </w:r>
    </w:p>
    <w:p>
      <w:pPr>
        <w:spacing w:after="200" w:line="276"/>
        <w:jc w:val="left"/>
      </w:pPr>
      <w:r>
        <w:rPr>
          <w:rFonts w:ascii="Arial" w:cs="Arial" w:eastAsia="Arial" w:hAnsi="Arial"/>
          <w:b/>
          <w:bCs/>
          <w:sz w:val="24"/>
          <w:szCs w:val="24"/>
        </w:rPr>
        <w:t xml:space="preserve">Emirtekin and Özarslan (2025)</w:t>
      </w:r>
      <w:r>
        <w:rPr>
          <w:rFonts w:ascii="Arial" w:cs="Arial" w:eastAsia="Arial" w:hAnsi="Arial"/>
          <w:sz w:val="24"/>
          <w:szCs w:val="24"/>
        </w:rPr>
        <w:t xml:space="preserve"> provided the most direct empirical evidence motivating this work. Their systematic evaluation demonstrated that LLM-human agreement drops at higher Bloom's cognitive levels, with QWK values of 0.585 to 0.640 for evaluation and synthesis items. This "cognitive ceiling" indicates that current LLM-based approaches lose reliability precisely where assessment has the greatest educational value.</w:t>
      </w:r>
    </w:p>
    <w:p>
      <w:pPr>
        <w:spacing w:after="200" w:line="276"/>
        <w:jc w:val="left"/>
      </w:pPr>
      <w:r>
        <w:rPr>
          <w:rFonts w:ascii="Arial" w:cs="Arial" w:eastAsia="Arial" w:hAnsi="Arial"/>
          <w:b w:val="false"/>
          <w:bCs w:val="false"/>
          <w:i w:val="false"/>
          <w:iCs w:val="false"/>
          <w:sz w:val="24"/>
          <w:szCs w:val="24"/>
        </w:rPr>
        <w:t xml:space="preserve">Zhao et al. (2025) showed that RAG-based few-shot selection outperforms random example selection for LLM grading, with GPT-4o providing the best accuracy-to-cost balance. Chi and Zhu (2025) developed LLMarking, which decomposes answers into key points for more explainable scoring. While these advances improve the reliability and interpretability of LLM-based grading, they remain within the reference-matching paradigm and do not address cognitive depth assessment.</w:t>
      </w:r>
    </w:p>
    <w:p>
      <w:pPr>
        <w:pStyle w:val="Heading2"/>
        <w:spacing w:after="160" w:before="280"/>
      </w:pPr>
      <w:r>
        <w:rPr>
          <w:rFonts w:ascii="Arial" w:cs="Arial" w:eastAsia="Arial" w:hAnsi="Arial"/>
          <w:b/>
          <w:bCs/>
          <w:sz w:val="44"/>
          <w:szCs w:val="44"/>
        </w:rPr>
        <w:t xml:space="preserve">3.4 Knowledge Graphs and Concept Maps in Education</w:t>
      </w:r>
    </w:p>
    <w:p>
      <w:pPr>
        <w:spacing w:after="200" w:line="276"/>
        <w:jc w:val="left"/>
      </w:pPr>
      <w:r>
        <w:rPr>
          <w:rFonts w:ascii="Arial" w:cs="Arial" w:eastAsia="Arial" w:hAnsi="Arial"/>
          <w:b w:val="false"/>
          <w:bCs w:val="false"/>
          <w:i w:val="false"/>
          <w:iCs w:val="false"/>
          <w:sz w:val="24"/>
          <w:szCs w:val="24"/>
        </w:rPr>
        <w:t xml:space="preserve">Knowledge graphs and concept maps provide structural representations of knowledge that capture not just individual concepts but the relationships between them. This structural representation is essential for assessing conceptual depth, as understanding is characterized not by the number of concepts a student can name but by the quality and organization of connections between concepts.</w:t>
      </w:r>
    </w:p>
    <w:p>
      <w:pPr>
        <w:pStyle w:val="Heading3"/>
        <w:spacing w:after="120" w:before="240"/>
      </w:pPr>
      <w:r>
        <w:rPr>
          <w:rFonts w:ascii="Arial" w:cs="Arial" w:eastAsia="Arial" w:hAnsi="Arial"/>
          <w:b/>
          <w:bCs/>
          <w:sz w:val="36"/>
          <w:szCs w:val="36"/>
        </w:rPr>
        <w:t xml:space="preserve">3.4.1 Knowledge Graph Fundamentals and Educational Applications</w:t>
      </w:r>
    </w:p>
    <w:p>
      <w:pPr>
        <w:spacing w:after="200" w:line="276"/>
        <w:jc w:val="left"/>
      </w:pPr>
      <w:r>
        <w:rPr>
          <w:rFonts w:ascii="Arial" w:cs="Arial" w:eastAsia="Arial" w:hAnsi="Arial"/>
          <w:b w:val="false"/>
          <w:bCs w:val="false"/>
          <w:i w:val="false"/>
          <w:iCs w:val="false"/>
          <w:sz w:val="24"/>
          <w:szCs w:val="24"/>
        </w:rPr>
        <w:t xml:space="preserve">A knowledge graph consists of nodes (representing concepts or entities), edges (representing relationships between concepts), and properties (attributes of nodes and edges). In educational contexts, knowledge graphs can represent domain knowledge structures, curriculum organizations, and student mental models.</w:t>
      </w:r>
    </w:p>
    <w:p>
      <w:pPr>
        <w:spacing w:after="200" w:line="276"/>
        <w:jc w:val="left"/>
      </w:pPr>
      <w:r>
        <w:rPr>
          <w:rFonts w:ascii="Arial" w:cs="Arial" w:eastAsia="Arial" w:hAnsi="Arial"/>
          <w:b w:val="false"/>
          <w:bCs w:val="false"/>
          <w:i w:val="false"/>
          <w:iCs w:val="false"/>
          <w:sz w:val="24"/>
          <w:szCs w:val="24"/>
        </w:rPr>
        <w:t xml:space="preserve">Yu et al. (2021) demonstrated the scalability of educational knowledge graphs by constructing a MOOC-scale knowledge graph encompassing 9,312 courses and 24,188 concepts. This work established that automated knowledge graph construction from educational content is feasible at scale, a prerequisite for the concept extraction pipeline proposed in this research.</w:t>
      </w:r>
    </w:p>
    <w:p>
      <w:pPr>
        <w:spacing w:after="200" w:line="276"/>
        <w:jc w:val="left"/>
      </w:pPr>
      <w:r>
        <w:rPr>
          <w:rFonts w:ascii="Arial" w:cs="Arial" w:eastAsia="Arial" w:hAnsi="Arial"/>
          <w:b w:val="false"/>
          <w:bCs w:val="false"/>
          <w:i w:val="false"/>
          <w:iCs w:val="false"/>
          <w:sz w:val="24"/>
          <w:szCs w:val="24"/>
        </w:rPr>
        <w:t xml:space="preserve">Zhang (2025) achieved remarkable results by applying Graph Neural Networks (GNNs) to knowledge graph representations for writing assessment, reaching 97.2% accuracy. While writing assessment differs from short-answer grading, this result demonstrates that graph-structured knowledge representations can support highly accurate automated assessment.</w:t>
      </w:r>
    </w:p>
    <w:p>
      <w:pPr>
        <w:spacing w:after="200" w:line="276"/>
        <w:jc w:val="left"/>
      </w:pPr>
      <w:r>
        <w:rPr>
          <w:rFonts w:ascii="Arial" w:cs="Arial" w:eastAsia="Arial" w:hAnsi="Arial"/>
          <w:b w:val="false"/>
          <w:bCs w:val="false"/>
          <w:i w:val="false"/>
          <w:iCs w:val="false"/>
          <w:sz w:val="24"/>
          <w:szCs w:val="24"/>
        </w:rPr>
        <w:t xml:space="preserve">Graphusion (Yang et al., 2024) introduced an LLM-assisted knowledge graph construction method with the TutorQA benchmark for evaluating knowledge graph quality in educational contexts. This work directly addresses a key challenge for this proposal: constructing accurate domain knowledge graphs that can serve as reference structures for student response evaluation.</w:t>
      </w:r>
    </w:p>
    <w:p>
      <w:pPr>
        <w:pStyle w:val="Heading3"/>
        <w:spacing w:after="120" w:before="240"/>
      </w:pPr>
      <w:r>
        <w:rPr>
          <w:rFonts w:ascii="Arial" w:cs="Arial" w:eastAsia="Arial" w:hAnsi="Arial"/>
          <w:b/>
          <w:bCs/>
          <w:sz w:val="36"/>
          <w:szCs w:val="36"/>
        </w:rPr>
        <w:t xml:space="preserve">3.4.2 Concept Maps in Education</w:t>
      </w:r>
    </w:p>
    <w:p>
      <w:pPr>
        <w:spacing w:after="200" w:line="276"/>
        <w:jc w:val="left"/>
      </w:pPr>
      <w:r>
        <w:rPr>
          <w:rFonts w:ascii="Arial" w:cs="Arial" w:eastAsia="Arial" w:hAnsi="Arial"/>
          <w:b w:val="false"/>
          <w:bCs w:val="false"/>
          <w:i w:val="false"/>
          <w:iCs w:val="false"/>
          <w:sz w:val="24"/>
          <w:szCs w:val="24"/>
        </w:rPr>
        <w:t xml:space="preserve">Concept maps — visual representations of knowledge showing concepts connected by labeled relationships — have a long history in educational assessment and instruction. İzci and Açıkgöz Akkoç (2023) conducted a meta-analysis of 78 studies examining the effectiveness of concept mapping in education, finding a large effect size (Cohen's d = 1.08) for concept mapping on student learning outcomes. This strong evidence base supports the use of concept-level representations as both assessment tools and learning aids.</w:t>
      </w:r>
    </w:p>
    <w:p>
      <w:pPr>
        <w:spacing w:after="200" w:line="276"/>
        <w:jc w:val="left"/>
      </w:pPr>
      <w:r>
        <w:rPr>
          <w:rFonts w:ascii="Arial" w:cs="Arial" w:eastAsia="Arial" w:hAnsi="Arial"/>
          <w:b w:val="false"/>
          <w:bCs w:val="false"/>
          <w:i w:val="false"/>
          <w:iCs w:val="false"/>
          <w:sz w:val="24"/>
          <w:szCs w:val="24"/>
        </w:rPr>
        <w:t xml:space="preserve">Bleckmann and Friege (2023) advanced automated concept map evaluation using machine learning, training Support Vector Classifiers (SVC) to evaluate concept map quality. Their work demonstrates that machine learning approaches can reliably assess structural properties of concept representations.</w:t>
      </w:r>
    </w:p>
    <w:p>
      <w:pPr>
        <w:spacing w:after="200" w:line="276"/>
        <w:jc w:val="left"/>
      </w:pPr>
      <w:r>
        <w:rPr>
          <w:rFonts w:ascii="Arial" w:cs="Arial" w:eastAsia="Arial" w:hAnsi="Arial"/>
          <w:b w:val="false"/>
          <w:bCs w:val="false"/>
          <w:i w:val="false"/>
          <w:iCs w:val="false"/>
          <w:sz w:val="24"/>
          <w:szCs w:val="24"/>
        </w:rPr>
        <w:t xml:space="preserve">The Kit-Build concept map framework (Pailai et al., 2018) introduced a particularly relevant diagnostic approach: a two-dimensional space mapping correctness against confidence. This framework enables identification of students who are confidently wrong (holding strong misconceptions) versus those who are uncertain but correct (developing understanding). Abraham et al. (2025) extended concept map analysis using network analysis techniques and graph similarity measures, providing mathematical tools for comparing student concept structures against expert references.</w:t>
      </w:r>
    </w:p>
    <w:p>
      <w:pPr>
        <w:pStyle w:val="Heading3"/>
        <w:spacing w:after="120" w:before="240"/>
      </w:pPr>
      <w:r>
        <w:rPr>
          <w:rFonts w:ascii="Arial" w:cs="Arial" w:eastAsia="Arial" w:hAnsi="Arial"/>
          <w:b/>
          <w:bCs/>
          <w:sz w:val="36"/>
          <w:szCs w:val="36"/>
        </w:rPr>
        <w:t xml:space="preserve">3.4.3 Graph Neural Networks for Concept Dependencies</w:t>
      </w:r>
    </w:p>
    <w:p>
      <w:pPr>
        <w:spacing w:after="200" w:line="276"/>
        <w:jc w:val="left"/>
      </w:pPr>
      <w:r>
        <w:rPr>
          <w:rFonts w:ascii="Arial" w:cs="Arial" w:eastAsia="Arial" w:hAnsi="Arial"/>
          <w:b w:val="false"/>
          <w:bCs w:val="false"/>
          <w:i w:val="false"/>
          <w:iCs w:val="false"/>
          <w:sz w:val="24"/>
          <w:szCs w:val="24"/>
        </w:rPr>
        <w:t xml:space="preserve">Graph Neural Networks (GNNs) have emerged as powerful tools for modeling concept dependencies in educational knowledge structures. Fu and Fang (2025) developed CA-GNCD (Concept-Aware Graph Neural Cognitive Diagnosis), which models the hierarchical relationships between concepts to improve student knowledge state estimation. Göhler and Yadav (2024) proposed unsupervised approaches for learning concept dependency structures directly from student performance data, eliminating the need for manually specified prerequisite relationships.</w:t>
      </w:r>
    </w:p>
    <w:p>
      <w:pPr>
        <w:spacing w:after="200" w:line="276"/>
        <w:jc w:val="left"/>
      </w:pPr>
      <w:r>
        <w:rPr>
          <w:rFonts w:ascii="Arial" w:cs="Arial" w:eastAsia="Arial" w:hAnsi="Arial"/>
          <w:b w:val="false"/>
          <w:bCs w:val="false"/>
          <w:i w:val="false"/>
          <w:iCs w:val="false"/>
          <w:sz w:val="24"/>
          <w:szCs w:val="24"/>
        </w:rPr>
        <w:t xml:space="preserve">These GNN-based approaches provide the computational machinery needed for the knowledge graph comparison layer proposed in this research, enabling automated analysis of structural similarities and differences between student and expert concept graphs.</w:t>
      </w:r>
    </w:p>
    <w:p>
      <w:pPr>
        <w:pStyle w:val="Heading2"/>
        <w:spacing w:after="160" w:before="280"/>
      </w:pPr>
      <w:r>
        <w:rPr>
          <w:rFonts w:ascii="Arial" w:cs="Arial" w:eastAsia="Arial" w:hAnsi="Arial"/>
          <w:b/>
          <w:bCs/>
          <w:sz w:val="44"/>
          <w:szCs w:val="44"/>
        </w:rPr>
        <w:t xml:space="preserve">3.5 Misconception Detection</w:t>
      </w:r>
    </w:p>
    <w:p>
      <w:pPr>
        <w:spacing w:after="200" w:line="276"/>
        <w:jc w:val="left"/>
      </w:pPr>
      <w:r>
        <w:rPr>
          <w:rFonts w:ascii="Arial" w:cs="Arial" w:eastAsia="Arial" w:hAnsi="Arial"/>
          <w:b w:val="false"/>
          <w:bCs w:val="false"/>
          <w:i w:val="false"/>
          <w:iCs w:val="false"/>
          <w:sz w:val="24"/>
          <w:szCs w:val="24"/>
        </w:rPr>
        <w:t xml:space="preserve">Identifying and characterizing student misconceptions is a core goal of formative assessment. Misconceptions — systematically incorrect mental models — are distinct from random errors in that they reflect coherent but wrong reasoning that interferes with future learning if not addressed.</w:t>
      </w:r>
    </w:p>
    <w:p>
      <w:pPr>
        <w:spacing w:after="200" w:line="276"/>
        <w:jc w:val="left"/>
      </w:pPr>
      <w:r>
        <w:rPr>
          <w:rFonts w:ascii="Arial" w:cs="Arial" w:eastAsia="Arial" w:hAnsi="Arial"/>
          <w:b w:val="false"/>
          <w:bCs w:val="false"/>
          <w:i w:val="false"/>
          <w:iCs w:val="false"/>
          <w:sz w:val="24"/>
          <w:szCs w:val="24"/>
        </w:rPr>
        <w:t xml:space="preserve">Anintia et al. (2017) used three-tier multiple-choice questions (combining content selection, confidence rating, and reasoning explanation) to diagnose misconceptions, finding that 31.53% of students held active misconceptions in the studied domain. While this approach requires purpose-built MCQ instruments, it demonstrates the prevalence and importance of misconception diagnosis.</w:t>
      </w:r>
    </w:p>
    <w:p>
      <w:pPr>
        <w:spacing w:after="200" w:line="276"/>
        <w:jc w:val="left"/>
      </w:pPr>
      <w:r>
        <w:rPr>
          <w:rFonts w:ascii="Arial" w:cs="Arial" w:eastAsia="Arial" w:hAnsi="Arial"/>
          <w:b w:val="false"/>
          <w:bCs w:val="false"/>
          <w:i w:val="false"/>
          <w:iCs w:val="false"/>
          <w:sz w:val="24"/>
          <w:szCs w:val="24"/>
        </w:rPr>
        <w:t xml:space="preserve">Li et al. (2023) developed the AERA framework (Assessment of Educational Responses with AI), presented at EMNLP, which distills ChatGPT's assessment capabilities into more efficient models while preserving explainability. Their approach improved QWK by 11% over raw ChatGPT scoring while generating natural language explanations for assessments. This framework provides a model for integrating explanation generation into automated assessment pipelines.</w:t>
      </w:r>
    </w:p>
    <w:p>
      <w:pPr>
        <w:spacing w:after="200" w:line="276"/>
        <w:jc w:val="left"/>
      </w:pPr>
      <w:r>
        <w:rPr>
          <w:rFonts w:ascii="Arial" w:cs="Arial" w:eastAsia="Arial" w:hAnsi="Arial"/>
          <w:b w:val="false"/>
          <w:bCs w:val="false"/>
          <w:i w:val="false"/>
          <w:iCs w:val="false"/>
          <w:sz w:val="24"/>
          <w:szCs w:val="24"/>
        </w:rPr>
        <w:t xml:space="preserve">Somers et al. (2021) demonstrated that NLP techniques can identify conceptual understanding patterns with 91-99% accuracy using fewer than 100 training samples. This finding is particularly encouraging for the current proposal, suggesting that concept-level classification may require substantially less training data than traditional ASAG systems.</w:t>
      </w:r>
    </w:p>
    <w:p>
      <w:pPr>
        <w:pStyle w:val="Heading2"/>
        <w:spacing w:after="160" w:before="280"/>
      </w:pPr>
      <w:r>
        <w:rPr>
          <w:rFonts w:ascii="Arial" w:cs="Arial" w:eastAsia="Arial" w:hAnsi="Arial"/>
          <w:b/>
          <w:bCs/>
          <w:sz w:val="44"/>
          <w:szCs w:val="44"/>
        </w:rPr>
        <w:t xml:space="preserve">3.6 Research Gaps</w:t>
      </w:r>
    </w:p>
    <w:p>
      <w:pPr>
        <w:spacing w:after="200" w:line="276"/>
        <w:jc w:val="left"/>
      </w:pPr>
      <w:r>
        <w:rPr>
          <w:rFonts w:ascii="Arial" w:cs="Arial" w:eastAsia="Arial" w:hAnsi="Arial"/>
          <w:b w:val="false"/>
          <w:bCs w:val="false"/>
          <w:i w:val="false"/>
          <w:iCs w:val="false"/>
          <w:sz w:val="24"/>
          <w:szCs w:val="24"/>
        </w:rPr>
        <w:t xml:space="preserve">The following table summarizes the key research gaps identified through this literature review, along with the current state of knowledge and the proposed contributions of this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Gap</w:t>
            </w:r>
          </w:p>
        </w:tc>
        <w:tc>
          <w:tcPr>
            <w:tcW w:type="dxa" w:w="348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Current State</w:t>
            </w:r>
          </w:p>
        </w:tc>
        <w:tc>
          <w:tcPr>
            <w:tcW w:type="dxa" w:w="408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Proposed Contribution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No automated SOLO classification</w:t>
            </w:r>
          </w:p>
        </w:tc>
        <w:tc>
          <w:tcPr>
            <w:tcW w:type="dxa" w:w="34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Manual classification only (Fernandez &amp; Guzon, 2025); weighted κ = 0.659–0.667 between human raters</w:t>
            </w:r>
          </w:p>
        </w:tc>
        <w:tc>
          <w:tcPr>
            <w:tcW w:type="dxa" w:w="4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Automated SOLO classifier using LLM reasoning combined with knowledge graph structural analysis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Concept extraction from answers</w:t>
            </w:r>
          </w:p>
        </w:tc>
        <w:tc>
          <w:tcPr>
            <w:tcW w:type="dxa" w:w="34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Generic NER and keyphrase extraction methods not grounded in domain ontologies</w:t>
            </w:r>
          </w:p>
        </w:tc>
        <w:tc>
          <w:tcPr>
            <w:tcW w:type="dxa" w:w="4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Domain-grounded concept extraction pipeline with ontology-based validation and relation extraction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Misconception detection in ASAG</w:t>
            </w:r>
          </w:p>
        </w:tc>
        <w:tc>
          <w:tcPr>
            <w:tcW w:type="dxa" w:w="34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Current systems output scores only; no specific misconception identification</w:t>
            </w:r>
          </w:p>
        </w:tc>
        <w:tc>
          <w:tcPr>
            <w:tcW w:type="dxa" w:w="4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Specific misconception category identification through knowledge graph edge comparison against misconception taxonomies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V-NLI for educational assessment</w:t>
            </w:r>
          </w:p>
        </w:tc>
        <w:tc>
          <w:tcPr>
            <w:tcW w:type="dxa" w:w="34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Generic data visualization tools (NL4DV, Chat2VIS) not designed for educational contexts</w:t>
            </w:r>
          </w:p>
        </w:tc>
        <w:tc>
          <w:tcPr>
            <w:tcW w:type="dxa" w:w="4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Purpose-built educational V-NLI supporting rubric, Bloom's, SOLO, and misconception vocabulary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No concept-level benchmarks</w:t>
            </w:r>
          </w:p>
        </w:tc>
        <w:tc>
          <w:tcPr>
            <w:tcW w:type="dxa" w:w="34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ASAP-SAS and SemEval lack concept-level annotations; evaluation limited to holistic scores</w:t>
            </w:r>
          </w:p>
        </w:tc>
        <w:tc>
          <w:tcPr>
            <w:tcW w:type="dxa" w:w="4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Concept-annotated ASAG dataset with per-response concept, relationship, Bloom's, SOLO, and misconception labels</w:t>
            </w:r>
          </w:p>
        </w:tc>
      </w:tr>
    </w:tbl>
    <w:p>
      <w:pPr>
        <w:spacing w:after="100"/>
      </w:pPr>
      <w:r>
        <w:rPr>
          <w:rFonts w:ascii="Arial" w:cs="Arial" w:eastAsia="Arial" w:hAnsi="Arial"/>
          <w:sz w:val="24"/>
          <w:szCs w:val="24"/>
        </w:rPr>
        <w:t xml:space="preserve"/>
      </w:r>
    </w:p>
    <w:p>
      <w:pPr>
        <w:spacing w:after="200" w:line="276"/>
        <w:jc w:val="center"/>
      </w:pPr>
      <w:r>
        <w:rPr>
          <w:rFonts w:ascii="Arial" w:cs="Arial" w:eastAsia="Arial" w:hAnsi="Arial"/>
          <w:b w:val="false"/>
          <w:bCs w:val="false"/>
          <w:i/>
          <w:iCs/>
          <w:sz w:val="20"/>
          <w:szCs w:val="20"/>
        </w:rPr>
        <w:t xml:space="preserve">Table 1: Summary of identified research gaps, current state, and proposed contributions.</w:t>
      </w:r>
    </w:p>
    <w:p>
      <w:pPr>
        <w:spacing w:after="100"/>
      </w:pPr>
      <w:r>
        <w:rPr>
          <w:rFonts w:ascii="Arial" w:cs="Arial" w:eastAsia="Arial" w:hAnsi="Arial"/>
          <w:sz w:val="24"/>
          <w:szCs w:val="24"/>
        </w:rPr>
        <w:t xml:space="preserve"/>
      </w:r>
    </w:p>
    <w:p>
      <w:pPr>
        <w:spacing w:after="200" w:line="276"/>
        <w:jc w:val="left"/>
      </w:pPr>
      <w:r>
        <w:rPr>
          <w:rFonts w:ascii="Arial" w:cs="Arial" w:eastAsia="Arial" w:hAnsi="Arial"/>
          <w:b w:val="false"/>
          <w:bCs w:val="false"/>
          <w:i w:val="false"/>
          <w:iCs w:val="false"/>
          <w:sz w:val="24"/>
          <w:szCs w:val="24"/>
        </w:rPr>
        <w:t xml:space="preserve">These gaps collectively define the research space addressed by this proposal. The proposed framework aims to bridge the divide between textual similarity-based grading and genuine conceptual depth assessment, leveraging recent advances in LLM-based cognitive classification, knowledge graph construction, and educational NLP to create a system that provides educators with actionable insights into student understanding.</w:t>
      </w:r>
    </w:p>
    <w:p>
      <w:pPr>
        <w:pStyle w:val="Heading1"/>
        <w:pageBreakBefore/>
        <w:spacing w:after="200" w:before="360"/>
      </w:pPr>
      <w:r>
        <w:rPr>
          <w:rFonts w:ascii="Arial" w:cs="Arial" w:eastAsia="Arial" w:hAnsi="Arial"/>
          <w:b/>
          <w:bCs/>
          <w:sz w:val="56"/>
          <w:szCs w:val="56"/>
        </w:rPr>
        <w:t xml:space="preserve">4. Research Objectives</w:t>
      </w:r>
    </w:p>
    <w:p>
      <w:pPr>
        <w:pStyle w:val="Heading2"/>
        <w:spacing w:after="160" w:before="280"/>
      </w:pPr>
      <w:r>
        <w:rPr>
          <w:rFonts w:ascii="Arial" w:cs="Arial" w:eastAsia="Arial" w:hAnsi="Arial"/>
          <w:b/>
          <w:bCs/>
          <w:sz w:val="44"/>
          <w:szCs w:val="44"/>
        </w:rPr>
        <w:t xml:space="preserve">4.1 Primary Objective</w:t>
      </w:r>
    </w:p>
    <w:p>
      <w:pPr>
        <w:spacing w:after="200" w:line="276"/>
        <w:jc w:val="left"/>
      </w:pPr>
      <w:r>
        <w:rPr>
          <w:rFonts w:ascii="Arial" w:cs="Arial" w:eastAsia="Arial" w:hAnsi="Arial"/>
          <w:b/>
          <w:bCs/>
          <w:i w:val="false"/>
          <w:iCs w:val="false"/>
          <w:sz w:val="24"/>
          <w:szCs w:val="24"/>
        </w:rPr>
        <w:t xml:space="preserve">Develop and evaluate a concept-aware ASAG framework that assesses the depth and quality of student conceptual understanding from free-text responses, integrating knowledge graph comparison, cognitive taxonomy classification, and misconception detection.</w:t>
      </w:r>
    </w:p>
    <w:p>
      <w:pPr>
        <w:spacing w:after="200" w:line="276"/>
        <w:jc w:val="left"/>
      </w:pPr>
      <w:r>
        <w:rPr>
          <w:rFonts w:ascii="Arial" w:cs="Arial" w:eastAsia="Arial" w:hAnsi="Arial"/>
          <w:b w:val="false"/>
          <w:bCs w:val="false"/>
          <w:i w:val="false"/>
          <w:iCs w:val="false"/>
          <w:sz w:val="24"/>
          <w:szCs w:val="24"/>
        </w:rPr>
        <w:t xml:space="preserve">This framework will shift the automated assessment paradigm from measuring surface-level textual similarity to evaluating the structural quality, cognitive depth, and conceptual accuracy of student knowledge as expressed in their written responses.</w:t>
      </w:r>
    </w:p>
    <w:p>
      <w:pPr>
        <w:pStyle w:val="Heading2"/>
        <w:spacing w:after="160" w:before="280"/>
      </w:pPr>
      <w:r>
        <w:rPr>
          <w:rFonts w:ascii="Arial" w:cs="Arial" w:eastAsia="Arial" w:hAnsi="Arial"/>
          <w:b/>
          <w:bCs/>
          <w:sz w:val="44"/>
          <w:szCs w:val="44"/>
        </w:rPr>
        <w:t xml:space="preserve">4.2 Specific Objectives</w:t>
      </w:r>
    </w:p>
    <w:p>
      <w:pPr>
        <w:pStyle w:val="ListParagraph"/>
        <w:numPr>
          <w:ilvl w:val="0"/>
          <w:numId w:val="4"/>
        </w:numPr>
        <w:spacing w:after="100" w:line="276"/>
      </w:pPr>
      <w:r>
        <w:rPr>
          <w:rFonts w:ascii="Arial" w:cs="Arial" w:eastAsia="Arial" w:hAnsi="Arial"/>
          <w:b/>
          <w:bCs/>
          <w:sz w:val="24"/>
          <w:szCs w:val="24"/>
        </w:rPr>
        <w:t xml:space="preserve">Design a Concept Extraction Pipeline </w:t>
      </w:r>
      <w:r>
        <w:rPr>
          <w:rFonts w:ascii="Arial" w:cs="Arial" w:eastAsia="Arial" w:hAnsi="Arial"/>
          <w:sz w:val="24"/>
          <w:szCs w:val="24"/>
        </w:rPr>
        <w:t xml:space="preserve">that extracts domain concepts and their relationships from student free-text answers using LLM-based Named Entity Recognition (NER) and ontology-guided validation. The pipeline will produce structured concept sub-graphs representing each student's expressed knowledge, grounded in established domain ontologies to ensure that extracted concepts are educationally meaningful rather than generic linguistic entities.</w:t>
      </w:r>
    </w:p>
    <w:p>
      <w:pPr>
        <w:pStyle w:val="ListParagraph"/>
        <w:numPr>
          <w:ilvl w:val="0"/>
          <w:numId w:val="4"/>
        </w:numPr>
        <w:spacing w:after="100" w:line="276"/>
      </w:pPr>
      <w:r>
        <w:rPr>
          <w:rFonts w:ascii="Arial" w:cs="Arial" w:eastAsia="Arial" w:hAnsi="Arial"/>
          <w:b/>
          <w:bCs/>
          <w:sz w:val="24"/>
          <w:szCs w:val="24"/>
        </w:rPr>
        <w:t xml:space="preserve">Develop a Depth-of-Understanding Classifier </w:t>
      </w:r>
      <w:r>
        <w:rPr>
          <w:rFonts w:ascii="Arial" w:cs="Arial" w:eastAsia="Arial" w:hAnsi="Arial"/>
          <w:sz w:val="24"/>
          <w:szCs w:val="24"/>
        </w:rPr>
        <w:t xml:space="preserve">that assigns both Bloom's Revised Taxonomy cognitive level and SOLO Taxonomy structural complexity level to each student response. This dual-taxonomy classification provides complementary perspectives: Bloom's level indicates the cognitive process demonstrated (e.g., analysis vs. recall), while SOLO level indicates the structural quality of concept integration (e.g., relational vs. multistructural). The classifier will use Chain-of-Thought prompting following the methodology established by Cohn et al. (2024) combined with structural analysis of the extracted concept graph.</w:t>
      </w:r>
    </w:p>
    <w:p>
      <w:pPr>
        <w:pStyle w:val="ListParagraph"/>
        <w:numPr>
          <w:ilvl w:val="0"/>
          <w:numId w:val="4"/>
        </w:numPr>
        <w:spacing w:after="100" w:line="276"/>
      </w:pPr>
      <w:r>
        <w:rPr>
          <w:rFonts w:ascii="Arial" w:cs="Arial" w:eastAsia="Arial" w:hAnsi="Arial"/>
          <w:b/>
          <w:bCs/>
          <w:sz w:val="24"/>
          <w:szCs w:val="24"/>
        </w:rPr>
        <w:t xml:space="preserve">Build a Misconception Detection Module </w:t>
      </w:r>
      <w:r>
        <w:rPr>
          <w:rFonts w:ascii="Arial" w:cs="Arial" w:eastAsia="Arial" w:hAnsi="Arial"/>
          <w:sz w:val="24"/>
          <w:szCs w:val="24"/>
        </w:rPr>
        <w:t xml:space="preserve">that identifies specific incorrect mental models by comparing student concept graphs against expert reference knowledge graphs. Rather than merely flagging incorrect responses, the module will categorize misconceptions according to established misconception taxonomies, distinguish between systematic misconceptions (appearing consistently across related questions) and isolated errors, and generate natural language explanations of detected misconceptions suitable for student feedback.</w:t>
      </w:r>
    </w:p>
    <w:p>
      <w:pPr>
        <w:pStyle w:val="ListParagraph"/>
        <w:numPr>
          <w:ilvl w:val="0"/>
          <w:numId w:val="4"/>
        </w:numPr>
        <w:spacing w:after="100" w:line="276"/>
      </w:pPr>
      <w:r>
        <w:rPr>
          <w:rFonts w:ascii="Arial" w:cs="Arial" w:eastAsia="Arial" w:hAnsi="Arial"/>
          <w:b/>
          <w:bCs/>
          <w:sz w:val="24"/>
          <w:szCs w:val="24"/>
        </w:rPr>
        <w:t xml:space="preserve">Create a V-NLI Visualization Layer for educators </w:t>
      </w:r>
      <w:r>
        <w:rPr>
          <w:rFonts w:ascii="Arial" w:cs="Arial" w:eastAsia="Arial" w:hAnsi="Arial"/>
          <w:sz w:val="24"/>
          <w:szCs w:val="24"/>
        </w:rPr>
        <w:t xml:space="preserve">that enables natural language queries over concept-level assessment data. Teachers will be able to pose questions such as "Show which concepts are most misunderstood in Class 3B" or "Compare the Bloom's level distribution between this semester and last" and receive appropriate visualizations. The V-NLI layer will support educational assessment vocabulary including rubric terminology, cognitive taxonomy levels, and misconception categories.</w:t>
      </w:r>
    </w:p>
    <w:p>
      <w:pPr>
        <w:pStyle w:val="ListParagraph"/>
        <w:numPr>
          <w:ilvl w:val="0"/>
          <w:numId w:val="4"/>
        </w:numPr>
        <w:spacing w:after="100" w:line="276"/>
      </w:pPr>
      <w:r>
        <w:rPr>
          <w:rFonts w:ascii="Arial" w:cs="Arial" w:eastAsia="Arial" w:hAnsi="Arial"/>
          <w:b/>
          <w:bCs/>
          <w:sz w:val="24"/>
          <w:szCs w:val="24"/>
        </w:rPr>
        <w:t xml:space="preserve">Implement and validate the framework as new node types within NodeGrade's extensible graph architecture. </w:t>
      </w:r>
      <w:r>
        <w:rPr>
          <w:rFonts w:ascii="Arial" w:cs="Arial" w:eastAsia="Arial" w:hAnsi="Arial"/>
          <w:sz w:val="24"/>
          <w:szCs w:val="24"/>
        </w:rPr>
        <w:t xml:space="preserve">Each analytical component will be implemented as a composable node that can be added to existing NodeGrade grading pipelines, ensuring backward compatibility with standard ASAG functionality while enabling deeper diagnostic analysis when desired.</w:t>
      </w:r>
    </w:p>
    <w:p>
      <w:pPr>
        <w:pStyle w:val="Heading1"/>
        <w:pageBreakBefore/>
        <w:spacing w:after="200" w:before="360"/>
      </w:pPr>
      <w:r>
        <w:rPr>
          <w:rFonts w:ascii="Arial" w:cs="Arial" w:eastAsia="Arial" w:hAnsi="Arial"/>
          <w:b/>
          <w:bCs/>
          <w:sz w:val="56"/>
          <w:szCs w:val="56"/>
        </w:rPr>
        <w:t xml:space="preserve">5. Proposed Methodology</w:t>
      </w:r>
    </w:p>
    <w:p>
      <w:pPr>
        <w:pStyle w:val="Heading2"/>
        <w:spacing w:after="160" w:before="280"/>
      </w:pPr>
      <w:r>
        <w:rPr>
          <w:rFonts w:ascii="Arial" w:cs="Arial" w:eastAsia="Arial" w:hAnsi="Arial"/>
          <w:b/>
          <w:bCs/>
          <w:sz w:val="44"/>
          <w:szCs w:val="44"/>
        </w:rPr>
        <w:t xml:space="preserve">5.1 Research Design</w:t>
      </w:r>
    </w:p>
    <w:p>
      <w:pPr>
        <w:spacing w:after="200" w:line="276"/>
        <w:jc w:val="left"/>
      </w:pPr>
      <w:r>
        <w:rPr>
          <w:rFonts w:ascii="Arial" w:cs="Arial" w:eastAsia="Arial" w:hAnsi="Arial"/>
          <w:b w:val="false"/>
          <w:bCs w:val="false"/>
          <w:i w:val="false"/>
          <w:iCs w:val="false"/>
          <w:sz w:val="24"/>
          <w:szCs w:val="24"/>
        </w:rPr>
        <w:t xml:space="preserve">This research adopts a Design Science Research (DSR) methodology, which is appropriate for studies that develop and evaluate IT artifacts to solve identified problems. DSR proceeds through iterative cycles of problem identification, artifact design, development, demonstration, and evaluation, with each cycle informed by the knowledge base of existing theory and practice.</w:t>
      </w:r>
    </w:p>
    <w:p>
      <w:pPr>
        <w:spacing w:after="200" w:line="276"/>
        <w:jc w:val="left"/>
      </w:pPr>
      <w:r>
        <w:rPr>
          <w:rFonts w:ascii="Arial" w:cs="Arial" w:eastAsia="Arial" w:hAnsi="Arial"/>
          <w:b w:val="false"/>
          <w:bCs w:val="false"/>
          <w:i w:val="false"/>
          <w:iCs w:val="false"/>
          <w:sz w:val="24"/>
          <w:szCs w:val="24"/>
        </w:rPr>
        <w:t xml:space="preserve">The research design is mixed-methods, combining:</w:t>
      </w:r>
    </w:p>
    <w:p>
      <w:pPr>
        <w:pStyle w:val="ListParagraph"/>
        <w:numPr>
          <w:ilvl w:val="0"/>
          <w:numId w:val="2"/>
        </w:numPr>
        <w:spacing w:after="100" w:line="276"/>
      </w:pPr>
      <w:r>
        <w:rPr>
          <w:rFonts w:ascii="Arial" w:cs="Arial" w:eastAsia="Arial" w:hAnsi="Arial"/>
          <w:b/>
          <w:bCs/>
          <w:sz w:val="24"/>
          <w:szCs w:val="24"/>
        </w:rPr>
        <w:t xml:space="preserve">System development: </w:t>
      </w:r>
      <w:r>
        <w:rPr>
          <w:rFonts w:ascii="Arial" w:cs="Arial" w:eastAsia="Arial" w:hAnsi="Arial"/>
          <w:sz w:val="24"/>
          <w:szCs w:val="24"/>
        </w:rPr>
        <w:t xml:space="preserve">Design, implementation, and iterative refinement of the concept-aware assessment framework, following software engineering best practices.</w:t>
      </w:r>
    </w:p>
    <w:p>
      <w:pPr>
        <w:pStyle w:val="ListParagraph"/>
        <w:numPr>
          <w:ilvl w:val="0"/>
          <w:numId w:val="2"/>
        </w:numPr>
        <w:spacing w:after="100" w:line="276"/>
      </w:pPr>
      <w:r>
        <w:rPr>
          <w:rFonts w:ascii="Arial" w:cs="Arial" w:eastAsia="Arial" w:hAnsi="Arial"/>
          <w:b/>
          <w:bCs/>
          <w:sz w:val="24"/>
          <w:szCs w:val="24"/>
        </w:rPr>
        <w:t xml:space="preserve">Quantitative evaluation: </w:t>
      </w:r>
      <w:r>
        <w:rPr>
          <w:rFonts w:ascii="Arial" w:cs="Arial" w:eastAsia="Arial" w:hAnsi="Arial"/>
          <w:sz w:val="24"/>
          <w:szCs w:val="24"/>
        </w:rPr>
        <w:t xml:space="preserve">Computational experiments measuring system accuracy, precision, recall, and agreement with human expert judgments across multiple metrics and datasets.</w:t>
      </w:r>
    </w:p>
    <w:p>
      <w:pPr>
        <w:pStyle w:val="ListParagraph"/>
        <w:numPr>
          <w:ilvl w:val="0"/>
          <w:numId w:val="2"/>
        </w:numPr>
        <w:spacing w:after="100" w:line="276"/>
      </w:pPr>
      <w:r>
        <w:rPr>
          <w:rFonts w:ascii="Arial" w:cs="Arial" w:eastAsia="Arial" w:hAnsi="Arial"/>
          <w:b/>
          <w:bCs/>
          <w:sz w:val="24"/>
          <w:szCs w:val="24"/>
        </w:rPr>
        <w:t xml:space="preserve">Qualitative evaluation: </w:t>
      </w:r>
      <w:r>
        <w:rPr>
          <w:rFonts w:ascii="Arial" w:cs="Arial" w:eastAsia="Arial" w:hAnsi="Arial"/>
          <w:sz w:val="24"/>
          <w:szCs w:val="24"/>
        </w:rPr>
        <w:t xml:space="preserve">Expert reviews of concept-level feedback quality and educator assessments of V-NLI visualization utility through structured interviews and think-aloud protocols.</w:t>
      </w:r>
    </w:p>
    <w:p>
      <w:pPr>
        <w:spacing w:after="200" w:line="276"/>
        <w:jc w:val="left"/>
      </w:pPr>
      <w:r>
        <w:rPr>
          <w:rFonts w:ascii="Arial" w:cs="Arial" w:eastAsia="Arial" w:hAnsi="Arial"/>
          <w:b w:val="false"/>
          <w:bCs w:val="false"/>
          <w:i w:val="false"/>
          <w:iCs w:val="false"/>
          <w:sz w:val="24"/>
          <w:szCs w:val="24"/>
        </w:rPr>
        <w:t xml:space="preserve">This mixed-methods approach ensures that the system is evaluated not only on technical metrics but also on its practical utility for educational stakeholders.</w:t>
      </w:r>
    </w:p>
    <w:p>
      <w:pPr>
        <w:pStyle w:val="Heading2"/>
        <w:spacing w:after="160" w:before="280"/>
      </w:pPr>
      <w:r>
        <w:rPr>
          <w:rFonts w:ascii="Arial" w:cs="Arial" w:eastAsia="Arial" w:hAnsi="Arial"/>
          <w:b/>
          <w:bCs/>
          <w:sz w:val="44"/>
          <w:szCs w:val="44"/>
        </w:rPr>
        <w:t xml:space="preserve">5.2 Proposed System Architecture</w:t>
      </w:r>
    </w:p>
    <w:p>
      <w:pPr>
        <w:spacing w:after="200" w:line="276"/>
        <w:jc w:val="left"/>
      </w:pPr>
      <w:r>
        <w:rPr>
          <w:rFonts w:ascii="Arial" w:cs="Arial" w:eastAsia="Arial" w:hAnsi="Arial"/>
          <w:b w:val="false"/>
          <w:bCs w:val="false"/>
          <w:i w:val="false"/>
          <w:iCs w:val="false"/>
          <w:sz w:val="24"/>
          <w:szCs w:val="24"/>
        </w:rPr>
        <w:t xml:space="preserve">The proposed system architecture consists of five interconnected layers, each addressing a specific aspect of concept-aware assessment. The layers are designed to operate both independently (enabling component-level evaluation) and in concert (providing holistic concept-aware assessment). The architecture is presented below, followed by detailed descriptions of each layer.</w:t>
      </w:r>
    </w:p>
    <w:p>
      <w:pPr>
        <w:spacing w:after="100"/>
      </w:pPr>
      <w:r>
        <w:rPr>
          <w:rFonts w:ascii="Arial" w:cs="Arial" w:eastAsia="Arial" w:hAnsi="Arial"/>
          <w:sz w:val="24"/>
          <w:szCs w:val="24"/>
        </w:rPr>
        <w:t xml:space="preserve"/>
      </w:r>
    </w:p>
    <w:p>
      <w:pPr>
        <w:spacing w:after="200" w:line="276"/>
        <w:jc w:val="center"/>
      </w:pPr>
      <w:r>
        <w:rPr>
          <w:rFonts w:ascii="Arial" w:cs="Arial" w:eastAsia="Arial" w:hAnsi="Arial"/>
          <w:b/>
          <w:bCs/>
          <w:i w:val="false"/>
          <w:iCs w:val="false"/>
          <w:sz w:val="24"/>
          <w:szCs w:val="24"/>
        </w:rPr>
        <w:t xml:space="preserve">SYSTEM ARCHITECTURE OVERVIEW</w:t>
      </w:r>
    </w:p>
    <w:p>
      <w:pPr>
        <w:spacing w:after="200" w:line="276"/>
        <w:jc w:val="center"/>
      </w:pPr>
      <w:r>
        <w:rPr>
          <w:rFonts w:ascii="Arial" w:cs="Arial" w:eastAsia="Arial" w:hAnsi="Arial"/>
          <w:b w:val="false"/>
          <w:bCs w:val="false"/>
          <w:i w:val="false"/>
          <w:iCs w:val="false"/>
          <w:sz w:val="18"/>
          <w:szCs w:val="18"/>
        </w:rPr>
        <w:t xml:space="preserve">─────────────────────────────────────────────────────────</w:t>
      </w:r>
    </w:p>
    <w:p>
      <w:pPr>
        <w:spacing w:after="50"/>
      </w:pPr>
      <w:r>
        <w:rPr>
          <w:rFonts w:ascii="Arial" w:cs="Arial" w:eastAsia="Arial" w:hAnsi="Arial"/>
          <w:sz w:val="24"/>
          <w:szCs w:val="24"/>
        </w:rPr>
        <w:t xml:space="preserve"/>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Layer 5: V-NLI Visualization Interface                        │</w:t>
      </w:r>
    </w:p>
    <w:p>
      <w:pPr>
        <w:spacing w:after="200" w:line="276"/>
        <w:ind w:left="360"/>
        <w:jc w:val="left"/>
      </w:pPr>
      <w:r>
        <w:rPr>
          <w:rFonts w:ascii="Arial" w:cs="Arial" w:eastAsia="Arial" w:hAnsi="Arial"/>
          <w:b w:val="false"/>
          <w:bCs w:val="false"/>
          <w:i w:val="false"/>
          <w:iCs w:val="false"/>
          <w:sz w:val="18"/>
          <w:szCs w:val="18"/>
        </w:rPr>
        <w:t xml:space="preserve">│  [Natural Language Query] → [Educational Query Parser]          │</w:t>
      </w:r>
    </w:p>
    <w:p>
      <w:pPr>
        <w:spacing w:after="200" w:line="276"/>
        <w:ind w:left="360"/>
        <w:jc w:val="left"/>
      </w:pPr>
      <w:r>
        <w:rPr>
          <w:rFonts w:ascii="Arial" w:cs="Arial" w:eastAsia="Arial" w:hAnsi="Arial"/>
          <w:b w:val="false"/>
          <w:bCs w:val="false"/>
          <w:i w:val="false"/>
          <w:iCs w:val="false"/>
          <w:sz w:val="18"/>
          <w:szCs w:val="18"/>
        </w:rPr>
        <w:t xml:space="preserve">│  → [Visualization Generator] → [Interactive Dashboard]          │</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Layer 4: Misconception Detection                               │</w:t>
      </w:r>
    </w:p>
    <w:p>
      <w:pPr>
        <w:spacing w:after="200" w:line="276"/>
        <w:ind w:left="360"/>
        <w:jc w:val="left"/>
      </w:pPr>
      <w:r>
        <w:rPr>
          <w:rFonts w:ascii="Arial" w:cs="Arial" w:eastAsia="Arial" w:hAnsi="Arial"/>
          <w:b w:val="false"/>
          <w:bCs w:val="false"/>
          <w:i w:val="false"/>
          <w:iCs w:val="false"/>
          <w:sz w:val="18"/>
          <w:szCs w:val="18"/>
        </w:rPr>
        <w:t xml:space="preserve">│  [Incorrect Edges] → [Misconception Taxonomy] → [Classification]│</w:t>
      </w:r>
    </w:p>
    <w:p>
      <w:pPr>
        <w:spacing w:after="200" w:line="276"/>
        <w:ind w:left="360"/>
        <w:jc w:val="left"/>
      </w:pPr>
      <w:r>
        <w:rPr>
          <w:rFonts w:ascii="Arial" w:cs="Arial" w:eastAsia="Arial" w:hAnsi="Arial"/>
          <w:b w:val="false"/>
          <w:bCs w:val="false"/>
          <w:i w:val="false"/>
          <w:iCs w:val="false"/>
          <w:sz w:val="18"/>
          <w:szCs w:val="18"/>
        </w:rPr>
        <w:t xml:space="preserve">│  → [Confidence Estimation] → [NL Explanation]                   │</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Layer 3: Cognitive Depth Classification                        │</w:t>
      </w:r>
    </w:p>
    <w:p>
      <w:pPr>
        <w:spacing w:after="200" w:line="276"/>
        <w:ind w:left="360"/>
        <w:jc w:val="left"/>
      </w:pPr>
      <w:r>
        <w:rPr>
          <w:rFonts w:ascii="Arial" w:cs="Arial" w:eastAsia="Arial" w:hAnsi="Arial"/>
          <w:b w:val="false"/>
          <w:bCs w:val="false"/>
          <w:i w:val="false"/>
          <w:iCs w:val="false"/>
          <w:sz w:val="18"/>
          <w:szCs w:val="18"/>
        </w:rPr>
        <w:t xml:space="preserve">│  [Bloom's CoT Classifier] + [SOLO Structural Analyzer]         │</w:t>
      </w:r>
    </w:p>
    <w:p>
      <w:pPr>
        <w:spacing w:after="200" w:line="276"/>
        <w:ind w:left="360"/>
        <w:jc w:val="left"/>
      </w:pPr>
      <w:r>
        <w:rPr>
          <w:rFonts w:ascii="Arial" w:cs="Arial" w:eastAsia="Arial" w:hAnsi="Arial"/>
          <w:b w:val="false"/>
          <w:bCs w:val="false"/>
          <w:i w:val="false"/>
          <w:iCs w:val="false"/>
          <w:sz w:val="18"/>
          <w:szCs w:val="18"/>
        </w:rPr>
        <w:t xml:space="preserve">│  → [Combined Depth Score] → [Cognitive Profile]                 │</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Layer 2: Knowledge Graph Comparison                            │</w:t>
      </w:r>
    </w:p>
    <w:p>
      <w:pPr>
        <w:spacing w:after="200" w:line="276"/>
        <w:ind w:left="360"/>
        <w:jc w:val="left"/>
      </w:pPr>
      <w:r>
        <w:rPr>
          <w:rFonts w:ascii="Arial" w:cs="Arial" w:eastAsia="Arial" w:hAnsi="Arial"/>
          <w:b w:val="false"/>
          <w:bCs w:val="false"/>
          <w:i w:val="false"/>
          <w:iCs w:val="false"/>
          <w:sz w:val="18"/>
          <w:szCs w:val="18"/>
        </w:rPr>
        <w:t xml:space="preserve">│  [Student Sub-Graph] ←→ [Expert Reference Graph]               │</w:t>
      </w:r>
    </w:p>
    <w:p>
      <w:pPr>
        <w:spacing w:after="200" w:line="276"/>
        <w:ind w:left="360"/>
        <w:jc w:val="left"/>
      </w:pPr>
      <w:r>
        <w:rPr>
          <w:rFonts w:ascii="Arial" w:cs="Arial" w:eastAsia="Arial" w:hAnsi="Arial"/>
          <w:b w:val="false"/>
          <w:bCs w:val="false"/>
          <w:i w:val="false"/>
          <w:iCs w:val="false"/>
          <w:sz w:val="18"/>
          <w:szCs w:val="18"/>
        </w:rPr>
        <w:t xml:space="preserve">│  → [Graph Alignment] → [Gap Analysis Report]                    │</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Layer 1: Concept Extraction Pipeline                           │</w:t>
      </w:r>
    </w:p>
    <w:p>
      <w:pPr>
        <w:spacing w:after="200" w:line="276"/>
        <w:ind w:left="360"/>
        <w:jc w:val="left"/>
      </w:pPr>
      <w:r>
        <w:rPr>
          <w:rFonts w:ascii="Arial" w:cs="Arial" w:eastAsia="Arial" w:hAnsi="Arial"/>
          <w:b w:val="false"/>
          <w:bCs w:val="false"/>
          <w:i w:val="false"/>
          <w:iCs w:val="false"/>
          <w:sz w:val="18"/>
          <w:szCs w:val="18"/>
        </w:rPr>
        <w:t xml:space="preserve">│  [Student Answer + Question + Ontology] → [NER + LLM Extract]  │</w:t>
      </w:r>
    </w:p>
    <w:p>
      <w:pPr>
        <w:spacing w:after="200" w:line="276"/>
        <w:ind w:left="360"/>
        <w:jc w:val="left"/>
      </w:pPr>
      <w:r>
        <w:rPr>
          <w:rFonts w:ascii="Arial" w:cs="Arial" w:eastAsia="Arial" w:hAnsi="Arial"/>
          <w:b w:val="false"/>
          <w:bCs w:val="false"/>
          <w:i w:val="false"/>
          <w:iCs w:val="false"/>
          <w:sz w:val="18"/>
          <w:szCs w:val="18"/>
        </w:rPr>
        <w:t xml:space="preserve">│  → [Ontology Validation] → [Relation Extraction]                │</w:t>
      </w:r>
    </w:p>
    <w:p>
      <w:pPr>
        <w:spacing w:after="200" w:line="276"/>
        <w:ind w:left="360"/>
        <w:jc w:val="left"/>
      </w:pPr>
      <w:r>
        <w:rPr>
          <w:rFonts w:ascii="Arial" w:cs="Arial" w:eastAsia="Arial" w:hAnsi="Arial"/>
          <w:b w:val="false"/>
          <w:bCs w:val="false"/>
          <w:i w:val="false"/>
          <w:iCs w:val="false"/>
          <w:sz w:val="18"/>
          <w:szCs w:val="18"/>
        </w:rPr>
        <w:t xml:space="preserve">│  → [Student Concept Sub-Graph]                                  │</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w:t>
      </w:r>
    </w:p>
    <w:p>
      <w:pPr>
        <w:spacing w:after="200" w:line="276"/>
        <w:ind w:left="360"/>
        <w:jc w:val="left"/>
      </w:pPr>
      <w:r>
        <w:rPr>
          <w:rFonts w:ascii="Arial" w:cs="Arial" w:eastAsia="Arial" w:hAnsi="Arial"/>
          <w:b w:val="false"/>
          <w:bCs w:val="false"/>
          <w:i w:val="false"/>
          <w:iCs w:val="false"/>
          <w:sz w:val="18"/>
          <w:szCs w:val="18"/>
        </w:rPr>
        <w:t xml:space="preserve">│  NodeGrade Base Architecture (Fischer et al., 2025)             │</w:t>
      </w:r>
    </w:p>
    <w:p>
      <w:pPr>
        <w:spacing w:after="200" w:line="276"/>
        <w:ind w:left="360"/>
        <w:jc w:val="left"/>
      </w:pPr>
      <w:r>
        <w:rPr>
          <w:rFonts w:ascii="Arial" w:cs="Arial" w:eastAsia="Arial" w:hAnsi="Arial"/>
          <w:b w:val="false"/>
          <w:bCs w:val="false"/>
          <w:i w:val="false"/>
          <w:iCs w:val="false"/>
          <w:sz w:val="18"/>
          <w:szCs w:val="18"/>
        </w:rPr>
        <w:t xml:space="preserve">─────────────────────────────────────────────────────────────────</w:t>
      </w:r>
    </w:p>
    <w:p>
      <w:pPr>
        <w:spacing w:after="50"/>
      </w:pPr>
      <w:r>
        <w:rPr>
          <w:rFonts w:ascii="Arial" w:cs="Arial" w:eastAsia="Arial" w:hAnsi="Arial"/>
          <w:sz w:val="24"/>
          <w:szCs w:val="24"/>
        </w:rPr>
        <w:t xml:space="preserve"/>
      </w:r>
    </w:p>
    <w:p>
      <w:pPr>
        <w:spacing w:after="200" w:line="276"/>
        <w:jc w:val="center"/>
      </w:pPr>
      <w:r>
        <w:rPr>
          <w:rFonts w:ascii="Arial" w:cs="Arial" w:eastAsia="Arial" w:hAnsi="Arial"/>
          <w:b w:val="false"/>
          <w:bCs w:val="false"/>
          <w:i/>
          <w:iCs/>
          <w:sz w:val="20"/>
          <w:szCs w:val="20"/>
        </w:rPr>
        <w:t xml:space="preserve">Figure 1: Five-layer system architecture for concept-aware student assessment, built on top of the NodeGrade base architecture.</w:t>
      </w:r>
    </w:p>
    <w:p>
      <w:pPr>
        <w:spacing w:after="100"/>
      </w:pPr>
      <w:r>
        <w:rPr>
          <w:rFonts w:ascii="Arial" w:cs="Arial" w:eastAsia="Arial" w:hAnsi="Arial"/>
          <w:sz w:val="24"/>
          <w:szCs w:val="24"/>
        </w:rPr>
        <w:t xml:space="preserve"/>
      </w:r>
    </w:p>
    <w:p>
      <w:pPr>
        <w:pStyle w:val="Heading3"/>
        <w:spacing w:after="120" w:before="240"/>
      </w:pPr>
      <w:r>
        <w:rPr>
          <w:rFonts w:ascii="Arial" w:cs="Arial" w:eastAsia="Arial" w:hAnsi="Arial"/>
          <w:b/>
          <w:bCs/>
          <w:sz w:val="36"/>
          <w:szCs w:val="36"/>
        </w:rPr>
        <w:t xml:space="preserve">Layer 1 — Concept Extraction Pipeline</w:t>
      </w:r>
    </w:p>
    <w:p>
      <w:pPr>
        <w:spacing w:after="200" w:line="276"/>
        <w:jc w:val="left"/>
      </w:pPr>
      <w:r>
        <w:rPr>
          <w:rFonts w:ascii="Arial" w:cs="Arial" w:eastAsia="Arial" w:hAnsi="Arial"/>
          <w:b w:val="false"/>
          <w:bCs w:val="false"/>
          <w:i w:val="false"/>
          <w:iCs w:val="false"/>
          <w:sz w:val="24"/>
          <w:szCs w:val="24"/>
        </w:rPr>
        <w:t xml:space="preserve">The Concept Extraction Pipeline transforms unstructured student free-text responses into structured concept sub-graphs suitable for computational analysis.</w:t>
      </w:r>
    </w:p>
    <w:p>
      <w:pPr>
        <w:spacing w:after="200" w:line="276"/>
        <w:jc w:val="left"/>
      </w:pPr>
      <w:r>
        <w:rPr>
          <w:rFonts w:ascii="Arial" w:cs="Arial" w:eastAsia="Arial" w:hAnsi="Arial"/>
          <w:b/>
          <w:bCs/>
          <w:sz w:val="24"/>
          <w:szCs w:val="24"/>
        </w:rPr>
        <w:t xml:space="preserve">Input: </w:t>
      </w:r>
      <w:r>
        <w:rPr>
          <w:rFonts w:ascii="Arial" w:cs="Arial" w:eastAsia="Arial" w:hAnsi="Arial"/>
          <w:sz w:val="24"/>
          <w:szCs w:val="24"/>
        </w:rPr>
        <w:t xml:space="preserve">Student free-text answer, the assessment question, and a domain ontology specifying the concepts and relationships relevant to the topic.</w:t>
      </w:r>
    </w:p>
    <w:p>
      <w:pPr>
        <w:spacing w:after="200" w:line="276"/>
        <w:jc w:val="left"/>
      </w:pPr>
      <w:r>
        <w:rPr>
          <w:rFonts w:ascii="Arial" w:cs="Arial" w:eastAsia="Arial" w:hAnsi="Arial"/>
          <w:b/>
          <w:bCs/>
          <w:sz w:val="24"/>
          <w:szCs w:val="24"/>
        </w:rPr>
        <w:t xml:space="preserve">NER-based Concept Identification: </w:t>
      </w:r>
      <w:r>
        <w:rPr>
          <w:rFonts w:ascii="Arial" w:cs="Arial" w:eastAsia="Arial" w:hAnsi="Arial"/>
          <w:sz w:val="24"/>
          <w:szCs w:val="24"/>
        </w:rPr>
        <w:t xml:space="preserve">The pipeline begins with concept identification using either a fine-tuned domain-specific BERT model or LLM-based extraction. The system identifies domain-relevant concepts mentioned in the student's response, distinguishing between scientific/technical concepts and general language. For example, in a biology response, the system would identify "mitochondria," "ATP," "cellular respiration," and "electron transport chain" as domain concepts while ignoring general terms.</w:t>
      </w:r>
    </w:p>
    <w:p>
      <w:pPr>
        <w:spacing w:after="200" w:line="276"/>
        <w:jc w:val="left"/>
      </w:pPr>
      <w:r>
        <w:rPr>
          <w:rFonts w:ascii="Arial" w:cs="Arial" w:eastAsia="Arial" w:hAnsi="Arial"/>
          <w:b/>
          <w:bCs/>
          <w:sz w:val="24"/>
          <w:szCs w:val="24"/>
        </w:rPr>
        <w:t xml:space="preserve">Ontology-Guided Validation: </w:t>
      </w:r>
      <w:r>
        <w:rPr>
          <w:rFonts w:ascii="Arial" w:cs="Arial" w:eastAsia="Arial" w:hAnsi="Arial"/>
          <w:sz w:val="24"/>
          <w:szCs w:val="24"/>
        </w:rPr>
        <w:t xml:space="preserve">Extracted concepts are mapped to nodes in the reference domain ontology. This validation step serves multiple purposes: it normalizes concept mentions (mapping synonyms and abbreviations to canonical forms), filters out false positives (terms that appear domain-relevant but are not part of the ontology), and identifies the granularity level at which the student is engaging with the domain (e.g., mentioning high-level categories vs. specific instances).</w:t>
      </w:r>
    </w:p>
    <w:p>
      <w:pPr>
        <w:spacing w:after="200" w:line="276"/>
        <w:jc w:val="left"/>
      </w:pPr>
      <w:r>
        <w:rPr>
          <w:rFonts w:ascii="Arial" w:cs="Arial" w:eastAsia="Arial" w:hAnsi="Arial"/>
          <w:b/>
          <w:bCs/>
          <w:sz w:val="24"/>
          <w:szCs w:val="24"/>
        </w:rPr>
        <w:t xml:space="preserve">Relation Extraction: </w:t>
      </w:r>
      <w:r>
        <w:rPr>
          <w:rFonts w:ascii="Arial" w:cs="Arial" w:eastAsia="Arial" w:hAnsi="Arial"/>
          <w:sz w:val="24"/>
          <w:szCs w:val="24"/>
        </w:rPr>
        <w:t xml:space="preserve">The pipeline extracts relationships between identified concepts using a combination of dependency parsing for syntactically expressed relationships and LLM-based triple extraction for semantically implied relationships. Each extracted relationship is represented as a (concept, relationship_type, concept) triple — for example, (mitochondria, performs, cellular_respiration) or (ATP, is_produced_by, oxidative_phosphorylation).</w:t>
      </w:r>
    </w:p>
    <w:p>
      <w:pPr>
        <w:spacing w:after="200" w:line="276"/>
        <w:jc w:val="left"/>
      </w:pPr>
      <w:r>
        <w:rPr>
          <w:rFonts w:ascii="Arial" w:cs="Arial" w:eastAsia="Arial" w:hAnsi="Arial"/>
          <w:b/>
          <w:bCs/>
          <w:sz w:val="24"/>
          <w:szCs w:val="24"/>
        </w:rPr>
        <w:t xml:space="preserve">Output: </w:t>
      </w:r>
      <w:r>
        <w:rPr>
          <w:rFonts w:ascii="Arial" w:cs="Arial" w:eastAsia="Arial" w:hAnsi="Arial"/>
          <w:sz w:val="24"/>
          <w:szCs w:val="24"/>
        </w:rPr>
        <w:t xml:space="preserve">A student concept sub-graph consisting of validated concept nodes connected by typed relationship edges, representing the student's expressed understanding as captured in their response.</w:t>
      </w:r>
    </w:p>
    <w:p>
      <w:pPr>
        <w:pStyle w:val="Heading3"/>
        <w:spacing w:after="120" w:before="240"/>
      </w:pPr>
      <w:r>
        <w:rPr>
          <w:rFonts w:ascii="Arial" w:cs="Arial" w:eastAsia="Arial" w:hAnsi="Arial"/>
          <w:b/>
          <w:bCs/>
          <w:sz w:val="36"/>
          <w:szCs w:val="36"/>
        </w:rPr>
        <w:t xml:space="preserve">Layer 2 — Knowledge Graph Comparison</w:t>
      </w:r>
    </w:p>
    <w:p>
      <w:pPr>
        <w:spacing w:after="200" w:line="276"/>
        <w:jc w:val="left"/>
      </w:pPr>
      <w:r>
        <w:rPr>
          <w:rFonts w:ascii="Arial" w:cs="Arial" w:eastAsia="Arial" w:hAnsi="Arial"/>
          <w:b w:val="false"/>
          <w:bCs w:val="false"/>
          <w:i w:val="false"/>
          <w:iCs w:val="false"/>
          <w:sz w:val="24"/>
          <w:szCs w:val="24"/>
        </w:rPr>
        <w:t xml:space="preserve">The Knowledge Graph Comparison layer evaluates student understanding by comparing their concept sub-graph against an expert reference knowledge graph.</w:t>
      </w:r>
    </w:p>
    <w:p>
      <w:pPr>
        <w:spacing w:after="200" w:line="276"/>
        <w:jc w:val="left"/>
      </w:pPr>
      <w:r>
        <w:rPr>
          <w:rFonts w:ascii="Arial" w:cs="Arial" w:eastAsia="Arial" w:hAnsi="Arial"/>
          <w:b/>
          <w:bCs/>
          <w:sz w:val="24"/>
          <w:szCs w:val="24"/>
        </w:rPr>
        <w:t xml:space="preserve">Expert Reference Graph Construction: </w:t>
      </w:r>
      <w:r>
        <w:rPr>
          <w:rFonts w:ascii="Arial" w:cs="Arial" w:eastAsia="Arial" w:hAnsi="Arial"/>
          <w:sz w:val="24"/>
          <w:szCs w:val="24"/>
        </w:rPr>
        <w:t xml:space="preserve">For each question or topic, an expert reference knowledge graph is constructed collaboratively with domain experts, with semi-automated assistance from LLMs following the Graphusion methodology (Yang et al., 2024). The expert graph represents the complete set of concepts and relationships that constitute a thorough understanding of the topic.</w:t>
      </w:r>
    </w:p>
    <w:p>
      <w:pPr>
        <w:spacing w:after="200" w:line="276"/>
        <w:jc w:val="left"/>
      </w:pPr>
      <w:r>
        <w:rPr>
          <w:rFonts w:ascii="Arial" w:cs="Arial" w:eastAsia="Arial" w:hAnsi="Arial"/>
          <w:b/>
          <w:bCs/>
          <w:sz w:val="24"/>
          <w:szCs w:val="24"/>
        </w:rPr>
        <w:t xml:space="preserve">Graph Alignment: </w:t>
      </w:r>
      <w:r>
        <w:rPr>
          <w:rFonts w:ascii="Arial" w:cs="Arial" w:eastAsia="Arial" w:hAnsi="Arial"/>
          <w:sz w:val="24"/>
          <w:szCs w:val="24"/>
        </w:rPr>
        <w:t xml:space="preserve">The student's concept sub-graph is aligned onto the expert graph using node matching (concept identity) and edge matching (relationship correspondence). Alignment accounts for partial matches, where the student expresses a relationship that is approximately but not exactly correct.</w:t>
      </w:r>
    </w:p>
    <w:p>
      <w:pPr>
        <w:spacing w:after="200" w:line="276"/>
        <w:jc w:val="left"/>
      </w:pPr>
      <w:r>
        <w:rPr>
          <w:rFonts w:ascii="Arial" w:cs="Arial" w:eastAsia="Arial" w:hAnsi="Arial"/>
          <w:b/>
          <w:bCs/>
          <w:sz w:val="24"/>
          <w:szCs w:val="24"/>
        </w:rPr>
        <w:t xml:space="preserve">Gap Analysis: </w:t>
      </w:r>
      <w:r>
        <w:rPr>
          <w:rFonts w:ascii="Arial" w:cs="Arial" w:eastAsia="Arial" w:hAnsi="Arial"/>
          <w:sz w:val="24"/>
          <w:szCs w:val="24"/>
        </w:rPr>
        <w:t xml:space="preserve">The alignment produces a structured gap report identifying:</w:t>
      </w:r>
    </w:p>
    <w:p>
      <w:pPr>
        <w:pStyle w:val="ListParagraph"/>
        <w:numPr>
          <w:ilvl w:val="0"/>
          <w:numId w:val="2"/>
        </w:numPr>
        <w:spacing w:after="100" w:line="276"/>
      </w:pPr>
      <w:r>
        <w:rPr>
          <w:rFonts w:ascii="Arial" w:cs="Arial" w:eastAsia="Arial" w:hAnsi="Arial"/>
          <w:b/>
          <w:bCs/>
          <w:sz w:val="24"/>
          <w:szCs w:val="24"/>
        </w:rPr>
        <w:t xml:space="preserve">Missing nodes (knowledge gaps): </w:t>
      </w:r>
      <w:r>
        <w:rPr>
          <w:rFonts w:ascii="Arial" w:cs="Arial" w:eastAsia="Arial" w:hAnsi="Arial"/>
          <w:sz w:val="24"/>
          <w:szCs w:val="24"/>
        </w:rPr>
        <w:t xml:space="preserve">Concepts present in the expert graph but absent from the student's response, indicating topics the student did not address.</w:t>
      </w:r>
    </w:p>
    <w:p>
      <w:pPr>
        <w:pStyle w:val="ListParagraph"/>
        <w:numPr>
          <w:ilvl w:val="0"/>
          <w:numId w:val="2"/>
        </w:numPr>
        <w:spacing w:after="100" w:line="276"/>
      </w:pPr>
      <w:r>
        <w:rPr>
          <w:rFonts w:ascii="Arial" w:cs="Arial" w:eastAsia="Arial" w:hAnsi="Arial"/>
          <w:b/>
          <w:bCs/>
          <w:sz w:val="24"/>
          <w:szCs w:val="24"/>
        </w:rPr>
        <w:t xml:space="preserve">Wrong edges (misconceptions): </w:t>
      </w:r>
      <w:r>
        <w:rPr>
          <w:rFonts w:ascii="Arial" w:cs="Arial" w:eastAsia="Arial" w:hAnsi="Arial"/>
          <w:sz w:val="24"/>
          <w:szCs w:val="24"/>
        </w:rPr>
        <w:t xml:space="preserve">Relationships in the student graph that contradict the expert graph, indicating incorrect beliefs about how concepts relate.</w:t>
      </w:r>
    </w:p>
    <w:p>
      <w:pPr>
        <w:pStyle w:val="ListParagraph"/>
        <w:numPr>
          <w:ilvl w:val="0"/>
          <w:numId w:val="2"/>
        </w:numPr>
        <w:spacing w:after="100" w:line="276"/>
      </w:pPr>
      <w:r>
        <w:rPr>
          <w:rFonts w:ascii="Arial" w:cs="Arial" w:eastAsia="Arial" w:hAnsi="Arial"/>
          <w:b/>
          <w:bCs/>
          <w:sz w:val="24"/>
          <w:szCs w:val="24"/>
        </w:rPr>
        <w:t xml:space="preserve">Isolated nodes (surface recall): </w:t>
      </w:r>
      <w:r>
        <w:rPr>
          <w:rFonts w:ascii="Arial" w:cs="Arial" w:eastAsia="Arial" w:hAnsi="Arial"/>
          <w:sz w:val="24"/>
          <w:szCs w:val="24"/>
        </w:rPr>
        <w:t xml:space="preserve">Concepts mentioned by the student but not connected to other concepts, indicating factual recall without conceptual integration.</w:t>
      </w:r>
    </w:p>
    <w:p>
      <w:pPr>
        <w:pStyle w:val="ListParagraph"/>
        <w:numPr>
          <w:ilvl w:val="0"/>
          <w:numId w:val="2"/>
        </w:numPr>
        <w:spacing w:after="100" w:line="276"/>
      </w:pPr>
      <w:r>
        <w:rPr>
          <w:rFonts w:ascii="Arial" w:cs="Arial" w:eastAsia="Arial" w:hAnsi="Arial"/>
          <w:b/>
          <w:bCs/>
          <w:sz w:val="24"/>
          <w:szCs w:val="24"/>
        </w:rPr>
        <w:t xml:space="preserve">Correct integrated structures (deep understanding): </w:t>
      </w:r>
      <w:r>
        <w:rPr>
          <w:rFonts w:ascii="Arial" w:cs="Arial" w:eastAsia="Arial" w:hAnsi="Arial"/>
          <w:sz w:val="24"/>
          <w:szCs w:val="24"/>
        </w:rPr>
        <w:t xml:space="preserve">Sub-graphs where the student's structure matches the expert structure, indicating genuine conceptual understanding.</w:t>
      </w:r>
    </w:p>
    <w:p>
      <w:pPr>
        <w:pStyle w:val="Heading3"/>
        <w:spacing w:after="120" w:before="240"/>
      </w:pPr>
      <w:r>
        <w:rPr>
          <w:rFonts w:ascii="Arial" w:cs="Arial" w:eastAsia="Arial" w:hAnsi="Arial"/>
          <w:b/>
          <w:bCs/>
          <w:sz w:val="36"/>
          <w:szCs w:val="36"/>
        </w:rPr>
        <w:t xml:space="preserve">Layer 3 — Cognitive Depth Classification</w:t>
      </w:r>
    </w:p>
    <w:p>
      <w:pPr>
        <w:spacing w:after="200" w:line="276"/>
        <w:jc w:val="left"/>
      </w:pPr>
      <w:r>
        <w:rPr>
          <w:rFonts w:ascii="Arial" w:cs="Arial" w:eastAsia="Arial" w:hAnsi="Arial"/>
          <w:b w:val="false"/>
          <w:bCs w:val="false"/>
          <w:i w:val="false"/>
          <w:iCs w:val="false"/>
          <w:sz w:val="24"/>
          <w:szCs w:val="24"/>
        </w:rPr>
        <w:t xml:space="preserve">The Cognitive Depth Classification layer assigns cognitive taxonomy levels to each student response, providing standardized measures of thinking depth.</w:t>
      </w:r>
    </w:p>
    <w:p>
      <w:pPr>
        <w:spacing w:after="200" w:line="276"/>
        <w:jc w:val="left"/>
      </w:pPr>
      <w:r>
        <w:rPr>
          <w:rFonts w:ascii="Arial" w:cs="Arial" w:eastAsia="Arial" w:hAnsi="Arial"/>
          <w:b/>
          <w:bCs/>
          <w:sz w:val="24"/>
          <w:szCs w:val="24"/>
        </w:rPr>
        <w:t xml:space="preserve">Bloom's Level Classifier: </w:t>
      </w:r>
      <w:r>
        <w:rPr>
          <w:rFonts w:ascii="Arial" w:cs="Arial" w:eastAsia="Arial" w:hAnsi="Arial"/>
          <w:sz w:val="24"/>
          <w:szCs w:val="24"/>
        </w:rPr>
        <w:t xml:space="preserve">Following the Chain-of-Thought prompting methodology established by Cohn et al. (2024), the system classifies the highest Bloom's Revised Taxonomy level demonstrated in the student's response. The CoT approach prompts the LLM to first identify evidence of each cognitive level present in the response, then determine the highest level supported by sufficient evidence. This approach achieved QWK of 0.87–0.95 in prior work.</w:t>
      </w:r>
    </w:p>
    <w:p>
      <w:pPr>
        <w:spacing w:after="200" w:line="276"/>
        <w:jc w:val="left"/>
      </w:pPr>
      <w:r>
        <w:rPr>
          <w:rFonts w:ascii="Arial" w:cs="Arial" w:eastAsia="Arial" w:hAnsi="Arial"/>
          <w:b/>
          <w:bCs/>
          <w:sz w:val="24"/>
          <w:szCs w:val="24"/>
        </w:rPr>
        <w:t xml:space="preserve">SOLO Level Classifier: </w:t>
      </w:r>
      <w:r>
        <w:rPr>
          <w:rFonts w:ascii="Arial" w:cs="Arial" w:eastAsia="Arial" w:hAnsi="Arial"/>
          <w:sz w:val="24"/>
          <w:szCs w:val="24"/>
        </w:rPr>
        <w:t xml:space="preserve">The SOLO classification leverages the structural properties of the extracted concept sub-graph. Concept count (the number of distinct validated concepts) provides a measure of capacity, while integration quality (the density and correctness of inter-concept relationships) provides a measure of the relating operation. These structural features are combined with textual analysis to classify responses into the five SOLO levels. This represents a novel contribution, as no automated SOLO classifier currently exists for free-text educational responses.</w:t>
      </w:r>
    </w:p>
    <w:p>
      <w:pPr>
        <w:spacing w:after="200" w:line="276"/>
        <w:jc w:val="left"/>
      </w:pPr>
      <w:r>
        <w:rPr>
          <w:rFonts w:ascii="Arial" w:cs="Arial" w:eastAsia="Arial" w:hAnsi="Arial"/>
          <w:b/>
          <w:bCs/>
          <w:sz w:val="24"/>
          <w:szCs w:val="24"/>
        </w:rPr>
        <w:t xml:space="preserve">Combined Depth Score: </w:t>
      </w:r>
      <w:r>
        <w:rPr>
          <w:rFonts w:ascii="Arial" w:cs="Arial" w:eastAsia="Arial" w:hAnsi="Arial"/>
          <w:sz w:val="24"/>
          <w:szCs w:val="24"/>
        </w:rPr>
        <w:t xml:space="preserve">The Bloom's and SOLO classifications are integrated into a combined cognitive depth profile that captures both the type of thinking (Bloom's) and the structural quality (SOLO) demonstrated in the response. This dual-taxonomy profile provides richer diagnostic information than either taxonomy alone.</w:t>
      </w:r>
    </w:p>
    <w:p>
      <w:pPr>
        <w:pStyle w:val="Heading3"/>
        <w:spacing w:after="120" w:before="240"/>
      </w:pPr>
      <w:r>
        <w:rPr>
          <w:rFonts w:ascii="Arial" w:cs="Arial" w:eastAsia="Arial" w:hAnsi="Arial"/>
          <w:b/>
          <w:bCs/>
          <w:sz w:val="36"/>
          <w:szCs w:val="36"/>
        </w:rPr>
        <w:t xml:space="preserve">Layer 4 — Misconception Detection</w:t>
      </w:r>
    </w:p>
    <w:p>
      <w:pPr>
        <w:spacing w:after="200" w:line="276"/>
        <w:jc w:val="left"/>
      </w:pPr>
      <w:r>
        <w:rPr>
          <w:rFonts w:ascii="Arial" w:cs="Arial" w:eastAsia="Arial" w:hAnsi="Arial"/>
          <w:b w:val="false"/>
          <w:bCs w:val="false"/>
          <w:i w:val="false"/>
          <w:iCs w:val="false"/>
          <w:sz w:val="24"/>
          <w:szCs w:val="24"/>
        </w:rPr>
        <w:t xml:space="preserve">The Misconception Detection layer moves beyond identifying wrong answers to characterizing the specific incorrect mental models that produce errors.</w:t>
      </w:r>
    </w:p>
    <w:p>
      <w:pPr>
        <w:pStyle w:val="ListParagraph"/>
        <w:numPr>
          <w:ilvl w:val="0"/>
          <w:numId w:val="2"/>
        </w:numPr>
        <w:spacing w:after="100" w:line="276"/>
      </w:pPr>
      <w:r>
        <w:rPr>
          <w:rFonts w:ascii="Arial" w:cs="Arial" w:eastAsia="Arial" w:hAnsi="Arial"/>
          <w:b/>
          <w:bCs/>
          <w:sz w:val="24"/>
          <w:szCs w:val="24"/>
        </w:rPr>
        <w:t xml:space="preserve">Edge Comparison: </w:t>
      </w:r>
      <w:r>
        <w:rPr>
          <w:rFonts w:ascii="Arial" w:cs="Arial" w:eastAsia="Arial" w:hAnsi="Arial"/>
          <w:sz w:val="24"/>
          <w:szCs w:val="24"/>
        </w:rPr>
        <w:t xml:space="preserve">Incorrect edges in the student's concept graph (relationships that contradict the expert graph) are compared against a domain-specific misconception taxonomy. Known misconception patterns are encoded as characteristic incorrect edge patterns, enabling the system to recognize common misunderstandings.</w:t>
      </w:r>
    </w:p>
    <w:p>
      <w:pPr>
        <w:pStyle w:val="ListParagraph"/>
        <w:numPr>
          <w:ilvl w:val="0"/>
          <w:numId w:val="2"/>
        </w:numPr>
        <w:spacing w:after="100" w:line="276"/>
      </w:pPr>
      <w:r>
        <w:rPr>
          <w:rFonts w:ascii="Arial" w:cs="Arial" w:eastAsia="Arial" w:hAnsi="Arial"/>
          <w:b/>
          <w:bCs/>
          <w:sz w:val="24"/>
          <w:szCs w:val="24"/>
        </w:rPr>
        <w:t xml:space="preserve">Misconception Classification: </w:t>
      </w:r>
      <w:r>
        <w:rPr>
          <w:rFonts w:ascii="Arial" w:cs="Arial" w:eastAsia="Arial" w:hAnsi="Arial"/>
          <w:sz w:val="24"/>
          <w:szCs w:val="24"/>
        </w:rPr>
        <w:t xml:space="preserve">Detected misconceptions are classified as systematic (the same error appears across related questions, indicating a deep-seated incorrect mental model) or isolated (the error appears in a single context, suggesting a momentary confusion or gap).</w:t>
      </w:r>
    </w:p>
    <w:p>
      <w:pPr>
        <w:pStyle w:val="ListParagraph"/>
        <w:numPr>
          <w:ilvl w:val="0"/>
          <w:numId w:val="2"/>
        </w:numPr>
        <w:spacing w:after="100" w:line="276"/>
      </w:pPr>
      <w:r>
        <w:rPr>
          <w:rFonts w:ascii="Arial" w:cs="Arial" w:eastAsia="Arial" w:hAnsi="Arial"/>
          <w:b/>
          <w:bCs/>
          <w:sz w:val="24"/>
          <w:szCs w:val="24"/>
        </w:rPr>
        <w:t xml:space="preserve">Natural Language Explanation: </w:t>
      </w:r>
      <w:r>
        <w:rPr>
          <w:rFonts w:ascii="Arial" w:cs="Arial" w:eastAsia="Arial" w:hAnsi="Arial"/>
          <w:sz w:val="24"/>
          <w:szCs w:val="24"/>
        </w:rPr>
        <w:t xml:space="preserve">For each detected misconception, the system generates a natural language explanation using an LLM, describing what the student appears to believe, why it is incorrect, and what the correct understanding would be.</w:t>
      </w:r>
    </w:p>
    <w:p>
      <w:pPr>
        <w:pStyle w:val="ListParagraph"/>
        <w:numPr>
          <w:ilvl w:val="0"/>
          <w:numId w:val="2"/>
        </w:numPr>
        <w:spacing w:after="100" w:line="276"/>
      </w:pPr>
      <w:r>
        <w:rPr>
          <w:rFonts w:ascii="Arial" w:cs="Arial" w:eastAsia="Arial" w:hAnsi="Arial"/>
          <w:b/>
          <w:bCs/>
          <w:sz w:val="24"/>
          <w:szCs w:val="24"/>
        </w:rPr>
        <w:t xml:space="preserve">Confidence Estimation: </w:t>
      </w:r>
      <w:r>
        <w:rPr>
          <w:rFonts w:ascii="Arial" w:cs="Arial" w:eastAsia="Arial" w:hAnsi="Arial"/>
          <w:sz w:val="24"/>
          <w:szCs w:val="24"/>
        </w:rPr>
        <w:t xml:space="preserve">Each misconception detection includes a confidence score indicating how certain the system is about the identification. This allows educators to prioritize high-confidence detections for immediate action while flagging uncertain cases for manual review.</w:t>
      </w:r>
    </w:p>
    <w:p>
      <w:pPr>
        <w:pStyle w:val="Heading3"/>
        <w:spacing w:after="120" w:before="240"/>
      </w:pPr>
      <w:r>
        <w:rPr>
          <w:rFonts w:ascii="Arial" w:cs="Arial" w:eastAsia="Arial" w:hAnsi="Arial"/>
          <w:b/>
          <w:bCs/>
          <w:sz w:val="36"/>
          <w:szCs w:val="36"/>
        </w:rPr>
        <w:t xml:space="preserve">Layer 5 — V-NLI Visualization</w:t>
      </w:r>
    </w:p>
    <w:p>
      <w:pPr>
        <w:spacing w:after="200" w:line="276"/>
        <w:jc w:val="left"/>
      </w:pPr>
      <w:r>
        <w:rPr>
          <w:rFonts w:ascii="Arial" w:cs="Arial" w:eastAsia="Arial" w:hAnsi="Arial"/>
          <w:b w:val="false"/>
          <w:bCs w:val="false"/>
          <w:i w:val="false"/>
          <w:iCs w:val="false"/>
          <w:sz w:val="24"/>
          <w:szCs w:val="24"/>
        </w:rPr>
        <w:t xml:space="preserve">The V-NLI (Visual Natural Language Interface) layer makes concept-level assessment data accessible to educators through natural language interaction.</w:t>
      </w:r>
    </w:p>
    <w:p>
      <w:pPr>
        <w:spacing w:after="200" w:line="276"/>
        <w:jc w:val="left"/>
      </w:pPr>
      <w:r>
        <w:rPr>
          <w:rFonts w:ascii="Arial" w:cs="Arial" w:eastAsia="Arial" w:hAnsi="Arial"/>
          <w:b/>
          <w:bCs/>
          <w:sz w:val="24"/>
          <w:szCs w:val="24"/>
        </w:rPr>
        <w:t xml:space="preserve">Educational Query Parser: </w:t>
      </w:r>
      <w:r>
        <w:rPr>
          <w:rFonts w:ascii="Arial" w:cs="Arial" w:eastAsia="Arial" w:hAnsi="Arial"/>
          <w:sz w:val="24"/>
          <w:szCs w:val="24"/>
        </w:rPr>
        <w:t xml:space="preserve">The query parser understands educational assessment vocabulary, including rubric terminology ("mastery," "developing," "beginning"), cognitive taxonomy references ("Bloom's analysis level," "SOLO relational"), and misconception categories. This domain-specific parsing distinguishes the system from generic data visualization tools such as NL4DV (Narechania et al., 2020) and Chat2VIS (Maddigan &amp; Susnjak, 2023).</w:t>
      </w:r>
    </w:p>
    <w:p>
      <w:pPr>
        <w:spacing w:after="200" w:line="276"/>
        <w:jc w:val="left"/>
      </w:pPr>
      <w:r>
        <w:rPr>
          <w:rFonts w:ascii="Arial" w:cs="Arial" w:eastAsia="Arial" w:hAnsi="Arial"/>
          <w:b/>
          <w:bCs/>
          <w:sz w:val="24"/>
          <w:szCs w:val="24"/>
        </w:rPr>
        <w:t xml:space="preserve">Visualization Types: </w:t>
      </w:r>
      <w:r>
        <w:rPr>
          <w:rFonts w:ascii="Arial" w:cs="Arial" w:eastAsia="Arial" w:hAnsi="Arial"/>
          <w:sz w:val="24"/>
          <w:szCs w:val="24"/>
        </w:rPr>
        <w:t xml:space="preserve">The system supports multiple visualization types tailored to educational assessment needs:</w:t>
      </w:r>
    </w:p>
    <w:p>
      <w:pPr>
        <w:pStyle w:val="ListParagraph"/>
        <w:numPr>
          <w:ilvl w:val="0"/>
          <w:numId w:val="2"/>
        </w:numPr>
        <w:spacing w:after="100" w:line="276"/>
      </w:pPr>
      <w:r>
        <w:rPr>
          <w:rFonts w:ascii="Arial" w:cs="Arial" w:eastAsia="Arial" w:hAnsi="Arial"/>
          <w:b/>
          <w:bCs/>
          <w:sz w:val="24"/>
          <w:szCs w:val="24"/>
        </w:rPr>
        <w:t xml:space="preserve">Concept map overlay: </w:t>
      </w:r>
      <w:r>
        <w:rPr>
          <w:rFonts w:ascii="Arial" w:cs="Arial" w:eastAsia="Arial" w:hAnsi="Arial"/>
          <w:sz w:val="24"/>
          <w:szCs w:val="24"/>
        </w:rPr>
        <w:t xml:space="preserve">Student concept graphs overlaid on expert reference graphs, with color-coding for correct, missing, and incorrect elements.</w:t>
      </w:r>
    </w:p>
    <w:p>
      <w:pPr>
        <w:pStyle w:val="ListParagraph"/>
        <w:numPr>
          <w:ilvl w:val="0"/>
          <w:numId w:val="2"/>
        </w:numPr>
        <w:spacing w:after="100" w:line="276"/>
      </w:pPr>
      <w:r>
        <w:rPr>
          <w:rFonts w:ascii="Arial" w:cs="Arial" w:eastAsia="Arial" w:hAnsi="Arial"/>
          <w:b/>
          <w:bCs/>
          <w:sz w:val="24"/>
          <w:szCs w:val="24"/>
        </w:rPr>
        <w:t xml:space="preserve">Bloom's distribution chart: </w:t>
      </w:r>
      <w:r>
        <w:rPr>
          <w:rFonts w:ascii="Arial" w:cs="Arial" w:eastAsia="Arial" w:hAnsi="Arial"/>
          <w:sz w:val="24"/>
          <w:szCs w:val="24"/>
        </w:rPr>
        <w:t xml:space="preserve">Distribution of cognitive levels across a class, cohort, or time period.</w:t>
      </w:r>
    </w:p>
    <w:p>
      <w:pPr>
        <w:pStyle w:val="ListParagraph"/>
        <w:numPr>
          <w:ilvl w:val="0"/>
          <w:numId w:val="2"/>
        </w:numPr>
        <w:spacing w:after="100" w:line="276"/>
      </w:pPr>
      <w:r>
        <w:rPr>
          <w:rFonts w:ascii="Arial" w:cs="Arial" w:eastAsia="Arial" w:hAnsi="Arial"/>
          <w:b/>
          <w:bCs/>
          <w:sz w:val="24"/>
          <w:szCs w:val="24"/>
        </w:rPr>
        <w:t xml:space="preserve">Misconception heatmap: </w:t>
      </w:r>
      <w:r>
        <w:rPr>
          <w:rFonts w:ascii="Arial" w:cs="Arial" w:eastAsia="Arial" w:hAnsi="Arial"/>
          <w:sz w:val="24"/>
          <w:szCs w:val="24"/>
        </w:rPr>
        <w:t xml:space="preserve">Heat map showing misconception prevalence by concept and student group.</w:t>
      </w:r>
    </w:p>
    <w:p>
      <w:pPr>
        <w:pStyle w:val="ListParagraph"/>
        <w:numPr>
          <w:ilvl w:val="0"/>
          <w:numId w:val="2"/>
        </w:numPr>
        <w:spacing w:after="100" w:line="276"/>
      </w:pPr>
      <w:r>
        <w:rPr>
          <w:rFonts w:ascii="Arial" w:cs="Arial" w:eastAsia="Arial" w:hAnsi="Arial"/>
          <w:b/>
          <w:bCs/>
          <w:sz w:val="24"/>
          <w:szCs w:val="24"/>
        </w:rPr>
        <w:t xml:space="preserve">Learning trajectory graph: </w:t>
      </w:r>
      <w:r>
        <w:rPr>
          <w:rFonts w:ascii="Arial" w:cs="Arial" w:eastAsia="Arial" w:hAnsi="Arial"/>
          <w:sz w:val="24"/>
          <w:szCs w:val="24"/>
        </w:rPr>
        <w:t xml:space="preserve">Temporal visualization showing how student conceptual understanding develops over time.</w:t>
      </w:r>
    </w:p>
    <w:p>
      <w:pPr>
        <w:pStyle w:val="ListParagraph"/>
        <w:numPr>
          <w:ilvl w:val="0"/>
          <w:numId w:val="2"/>
        </w:numPr>
        <w:spacing w:after="100" w:line="276"/>
      </w:pPr>
      <w:r>
        <w:rPr>
          <w:rFonts w:ascii="Arial" w:cs="Arial" w:eastAsia="Arial" w:hAnsi="Arial"/>
          <w:b/>
          <w:bCs/>
          <w:sz w:val="24"/>
          <w:szCs w:val="24"/>
        </w:rPr>
        <w:t xml:space="preserve">Concept co-occurrence matrix: </w:t>
      </w:r>
      <w:r>
        <w:rPr>
          <w:rFonts w:ascii="Arial" w:cs="Arial" w:eastAsia="Arial" w:hAnsi="Arial"/>
          <w:sz w:val="24"/>
          <w:szCs w:val="24"/>
        </w:rPr>
        <w:t xml:space="preserve">Matrix showing which concepts students tend to connect (or fail to connect), revealing integration patterns.</w:t>
      </w:r>
    </w:p>
    <w:p>
      <w:pPr>
        <w:pStyle w:val="Heading2"/>
        <w:spacing w:after="160" w:before="280"/>
      </w:pPr>
      <w:r>
        <w:rPr>
          <w:rFonts w:ascii="Arial" w:cs="Arial" w:eastAsia="Arial" w:hAnsi="Arial"/>
          <w:b/>
          <w:bCs/>
          <w:sz w:val="44"/>
          <w:szCs w:val="44"/>
        </w:rPr>
        <w:t xml:space="preserve">5.3 NodeGrade Integration</w:t>
      </w:r>
    </w:p>
    <w:p>
      <w:pPr>
        <w:spacing w:after="200" w:line="276"/>
        <w:jc w:val="left"/>
      </w:pPr>
      <w:r>
        <w:rPr>
          <w:rFonts w:ascii="Arial" w:cs="Arial" w:eastAsia="Arial" w:hAnsi="Arial"/>
          <w:b w:val="false"/>
          <w:bCs w:val="false"/>
          <w:i w:val="false"/>
          <w:iCs w:val="false"/>
          <w:sz w:val="24"/>
          <w:szCs w:val="24"/>
        </w:rPr>
        <w:t xml:space="preserve">A central design decision of this research is to implement the proposed framework as extensions to the NodeGrade architecture (Fischer et al., 2025) rather than as a standalone system. NodeGrade's node-graph pipeline architecture provides natural extension points: each analytical layer is implemented as one or more new node types that can be composed into grading pipelines alongside existing nodes.</w:t>
      </w:r>
    </w:p>
    <w:p>
      <w:pPr>
        <w:spacing w:after="200" w:line="276"/>
        <w:jc w:val="left"/>
      </w:pPr>
      <w:r>
        <w:rPr>
          <w:rFonts w:ascii="Arial" w:cs="Arial" w:eastAsia="Arial" w:hAnsi="Arial"/>
          <w:b w:val="false"/>
          <w:bCs w:val="false"/>
          <w:i w:val="false"/>
          <w:iCs w:val="false"/>
          <w:sz w:val="24"/>
          <w:szCs w:val="24"/>
        </w:rPr>
        <w:t xml:space="preserve">The following new node types will be developed:</w:t>
      </w:r>
    </w:p>
    <w:p>
      <w:pPr>
        <w:pStyle w:val="ListParagraph"/>
        <w:numPr>
          <w:ilvl w:val="0"/>
          <w:numId w:val="2"/>
        </w:numPr>
        <w:spacing w:after="100" w:line="276"/>
      </w:pPr>
      <w:r>
        <w:rPr>
          <w:rFonts w:ascii="Arial" w:cs="Arial" w:eastAsia="Arial" w:hAnsi="Arial"/>
          <w:b/>
          <w:bCs/>
          <w:sz w:val="24"/>
          <w:szCs w:val="24"/>
        </w:rPr>
        <w:t xml:space="preserve">ConceptExtractorNode: </w:t>
      </w:r>
      <w:r>
        <w:rPr>
          <w:rFonts w:ascii="Arial" w:cs="Arial" w:eastAsia="Arial" w:hAnsi="Arial"/>
          <w:sz w:val="24"/>
          <w:szCs w:val="24"/>
        </w:rPr>
        <w:t xml:space="preserve">Accepts a student response and domain ontology as inputs; outputs a concept sub-graph. Implements the Layer 1 concept extraction pipeline.</w:t>
      </w:r>
    </w:p>
    <w:p>
      <w:pPr>
        <w:pStyle w:val="ListParagraph"/>
        <w:numPr>
          <w:ilvl w:val="0"/>
          <w:numId w:val="2"/>
        </w:numPr>
        <w:spacing w:after="100" w:line="276"/>
      </w:pPr>
      <w:r>
        <w:rPr>
          <w:rFonts w:ascii="Arial" w:cs="Arial" w:eastAsia="Arial" w:hAnsi="Arial"/>
          <w:b/>
          <w:bCs/>
          <w:sz w:val="24"/>
          <w:szCs w:val="24"/>
        </w:rPr>
        <w:t xml:space="preserve">KnowledgeGraphCompareNode: </w:t>
      </w:r>
      <w:r>
        <w:rPr>
          <w:rFonts w:ascii="Arial" w:cs="Arial" w:eastAsia="Arial" w:hAnsi="Arial"/>
          <w:sz w:val="24"/>
          <w:szCs w:val="24"/>
        </w:rPr>
        <w:t xml:space="preserve">Accepts a student concept sub-graph and an expert reference graph; outputs a structured gap report. Implements the Layer 2 knowledge graph comparison.</w:t>
      </w:r>
    </w:p>
    <w:p>
      <w:pPr>
        <w:pStyle w:val="ListParagraph"/>
        <w:numPr>
          <w:ilvl w:val="0"/>
          <w:numId w:val="2"/>
        </w:numPr>
        <w:spacing w:after="100" w:line="276"/>
      </w:pPr>
      <w:r>
        <w:rPr>
          <w:rFonts w:ascii="Arial" w:cs="Arial" w:eastAsia="Arial" w:hAnsi="Arial"/>
          <w:b/>
          <w:bCs/>
          <w:sz w:val="24"/>
          <w:szCs w:val="24"/>
        </w:rPr>
        <w:t xml:space="preserve">CognitiveDepthNode: </w:t>
      </w:r>
      <w:r>
        <w:rPr>
          <w:rFonts w:ascii="Arial" w:cs="Arial" w:eastAsia="Arial" w:hAnsi="Arial"/>
          <w:sz w:val="24"/>
          <w:szCs w:val="24"/>
        </w:rPr>
        <w:t xml:space="preserve">Accepts a student response, concept sub-graph, and gap report; outputs Bloom's level, SOLO level, and combined depth score. Implements Layer 3 cognitive depth classification.</w:t>
      </w:r>
    </w:p>
    <w:p>
      <w:pPr>
        <w:pStyle w:val="ListParagraph"/>
        <w:numPr>
          <w:ilvl w:val="0"/>
          <w:numId w:val="2"/>
        </w:numPr>
        <w:spacing w:after="100" w:line="276"/>
      </w:pPr>
      <w:r>
        <w:rPr>
          <w:rFonts w:ascii="Arial" w:cs="Arial" w:eastAsia="Arial" w:hAnsi="Arial"/>
          <w:b/>
          <w:bCs/>
          <w:sz w:val="24"/>
          <w:szCs w:val="24"/>
        </w:rPr>
        <w:t xml:space="preserve">MisconceptionDetectorNode: </w:t>
      </w:r>
      <w:r>
        <w:rPr>
          <w:rFonts w:ascii="Arial" w:cs="Arial" w:eastAsia="Arial" w:hAnsi="Arial"/>
          <w:sz w:val="24"/>
          <w:szCs w:val="24"/>
        </w:rPr>
        <w:t xml:space="preserve">Accepts a gap report and misconception taxonomy; outputs identified misconceptions with classifications, explanations, and confidence scores. Implements Layer 4.</w:t>
      </w:r>
    </w:p>
    <w:p>
      <w:pPr>
        <w:pStyle w:val="ListParagraph"/>
        <w:numPr>
          <w:ilvl w:val="0"/>
          <w:numId w:val="2"/>
        </w:numPr>
        <w:spacing w:after="100" w:line="276"/>
      </w:pPr>
      <w:r>
        <w:rPr>
          <w:rFonts w:ascii="Arial" w:cs="Arial" w:eastAsia="Arial" w:hAnsi="Arial"/>
          <w:b/>
          <w:bCs/>
          <w:sz w:val="24"/>
          <w:szCs w:val="24"/>
        </w:rPr>
        <w:t xml:space="preserve">VNLIVisualizerNode: </w:t>
      </w:r>
      <w:r>
        <w:rPr>
          <w:rFonts w:ascii="Arial" w:cs="Arial" w:eastAsia="Arial" w:hAnsi="Arial"/>
          <w:sz w:val="24"/>
          <w:szCs w:val="24"/>
        </w:rPr>
        <w:t xml:space="preserve">Accepts aggregated assessment data and a natural language query; outputs an appropriate visualization. Implements Layer 5.</w:t>
      </w:r>
    </w:p>
    <w:p>
      <w:pPr>
        <w:spacing w:after="200" w:line="276"/>
        <w:jc w:val="left"/>
      </w:pPr>
      <w:r>
        <w:rPr>
          <w:rFonts w:ascii="Arial" w:cs="Arial" w:eastAsia="Arial" w:hAnsi="Arial"/>
          <w:b w:val="false"/>
          <w:bCs w:val="false"/>
          <w:i w:val="false"/>
          <w:iCs w:val="false"/>
          <w:sz w:val="24"/>
          <w:szCs w:val="24"/>
        </w:rPr>
        <w:t xml:space="preserve">This modular integration strategy ensures that educators can adopt concept-aware assessment incrementally — adding individual nodes to existing pipelines as needed — without requiring wholesale replacement of their current grading workflows.</w:t>
      </w:r>
    </w:p>
    <w:p>
      <w:pPr>
        <w:pStyle w:val="Heading2"/>
        <w:spacing w:after="160" w:before="280"/>
      </w:pPr>
      <w:r>
        <w:rPr>
          <w:rFonts w:ascii="Arial" w:cs="Arial" w:eastAsia="Arial" w:hAnsi="Arial"/>
          <w:b/>
          <w:bCs/>
          <w:sz w:val="44"/>
          <w:szCs w:val="44"/>
        </w:rPr>
        <w:t xml:space="preserve">5.4 Dataset Construction</w:t>
      </w:r>
    </w:p>
    <w:p>
      <w:pPr>
        <w:spacing w:after="200" w:line="276"/>
        <w:jc w:val="left"/>
      </w:pPr>
      <w:r>
        <w:rPr>
          <w:rFonts w:ascii="Arial" w:cs="Arial" w:eastAsia="Arial" w:hAnsi="Arial"/>
          <w:b w:val="false"/>
          <w:bCs w:val="false"/>
          <w:i w:val="false"/>
          <w:iCs w:val="false"/>
          <w:sz w:val="24"/>
          <w:szCs w:val="24"/>
        </w:rPr>
        <w:t xml:space="preserve">A concept-annotated ASAG dataset will be constructed to support both system development and evaluation. No existing ASAG dataset includes the concept-level annotations required for this research.</w:t>
      </w:r>
    </w:p>
    <w:p>
      <w:pPr>
        <w:spacing w:after="200" w:line="276"/>
        <w:jc w:val="left"/>
      </w:pPr>
      <w:r>
        <w:rPr>
          <w:rFonts w:ascii="Arial" w:cs="Arial" w:eastAsia="Arial" w:hAnsi="Arial"/>
          <w:b w:val="false"/>
          <w:bCs w:val="false"/>
          <w:i w:val="false"/>
          <w:iCs w:val="false"/>
          <w:sz w:val="24"/>
          <w:szCs w:val="24"/>
        </w:rPr>
        <w:t xml:space="preserve">The dataset will have the following characteristics:</w:t>
      </w:r>
    </w:p>
    <w:p>
      <w:pPr>
        <w:pStyle w:val="ListParagraph"/>
        <w:numPr>
          <w:ilvl w:val="0"/>
          <w:numId w:val="2"/>
        </w:numPr>
        <w:spacing w:after="100" w:line="276"/>
      </w:pPr>
      <w:r>
        <w:rPr>
          <w:rFonts w:ascii="Arial" w:cs="Arial" w:eastAsia="Arial" w:hAnsi="Arial"/>
          <w:b/>
          <w:bCs/>
          <w:sz w:val="24"/>
          <w:szCs w:val="24"/>
        </w:rPr>
        <w:t xml:space="preserve">Scale: </w:t>
      </w:r>
      <w:r>
        <w:rPr>
          <w:rFonts w:ascii="Arial" w:cs="Arial" w:eastAsia="Arial" w:hAnsi="Arial"/>
          <w:sz w:val="24"/>
          <w:szCs w:val="24"/>
        </w:rPr>
        <w:t xml:space="preserve">Minimum 500 student responses across 3 or more academic domains (e.g., biology, physics, computer science), ensuring sufficient diversity for cross-domain evaluation.</w:t>
      </w:r>
    </w:p>
    <w:p>
      <w:pPr>
        <w:pStyle w:val="ListParagraph"/>
        <w:numPr>
          <w:ilvl w:val="0"/>
          <w:numId w:val="2"/>
        </w:numPr>
        <w:spacing w:after="100" w:line="276"/>
      </w:pPr>
      <w:r>
        <w:rPr>
          <w:rFonts w:ascii="Arial" w:cs="Arial" w:eastAsia="Arial" w:hAnsi="Arial"/>
          <w:b/>
          <w:bCs/>
          <w:sz w:val="24"/>
          <w:szCs w:val="24"/>
        </w:rPr>
        <w:t xml:space="preserve">Source: </w:t>
      </w:r>
      <w:r>
        <w:rPr>
          <w:rFonts w:ascii="Arial" w:cs="Arial" w:eastAsia="Arial" w:hAnsi="Arial"/>
          <w:sz w:val="24"/>
          <w:szCs w:val="24"/>
        </w:rPr>
        <w:t xml:space="preserve">Responses will be collected from university-level short-answer assessments with institutional ethics approval, supplemented by existing ASAG datasets (ASAP-SAS, SemEval) re-annotated with concept-level labels.</w:t>
      </w:r>
    </w:p>
    <w:p>
      <w:pPr>
        <w:pStyle w:val="ListParagraph"/>
        <w:numPr>
          <w:ilvl w:val="0"/>
          <w:numId w:val="2"/>
        </w:numPr>
        <w:spacing w:after="100" w:line="276"/>
      </w:pPr>
      <w:r>
        <w:rPr>
          <w:rFonts w:ascii="Arial" w:cs="Arial" w:eastAsia="Arial" w:hAnsi="Arial"/>
          <w:b/>
          <w:bCs/>
          <w:sz w:val="24"/>
          <w:szCs w:val="24"/>
        </w:rPr>
        <w:t xml:space="preserve">Annotation scheme: </w:t>
      </w:r>
      <w:r>
        <w:rPr>
          <w:rFonts w:ascii="Arial" w:cs="Arial" w:eastAsia="Arial" w:hAnsi="Arial"/>
          <w:sz w:val="24"/>
          <w:szCs w:val="24"/>
        </w:rPr>
        <w:t xml:space="preserve">Each response will be annotated with: (a) concepts present — domain concepts expressed in the response, (b) relationships expressed — connections between concepts articulated by the student, (c) Bloom's cognitive level — the highest cognitive level demonstrated, (d) SOLO structural level — the structural quality of the response, and (e) misconception categories — any incorrect mental models evidenced.</w:t>
      </w:r>
    </w:p>
    <w:p>
      <w:pPr>
        <w:pStyle w:val="ListParagraph"/>
        <w:numPr>
          <w:ilvl w:val="0"/>
          <w:numId w:val="2"/>
        </w:numPr>
        <w:spacing w:after="100" w:line="276"/>
      </w:pPr>
      <w:r>
        <w:rPr>
          <w:rFonts w:ascii="Arial" w:cs="Arial" w:eastAsia="Arial" w:hAnsi="Arial"/>
          <w:b/>
          <w:bCs/>
          <w:sz w:val="24"/>
          <w:szCs w:val="24"/>
        </w:rPr>
        <w:t xml:space="preserve">Annotation process: </w:t>
      </w:r>
      <w:r>
        <w:rPr>
          <w:rFonts w:ascii="Arial" w:cs="Arial" w:eastAsia="Arial" w:hAnsi="Arial"/>
          <w:sz w:val="24"/>
          <w:szCs w:val="24"/>
        </w:rPr>
        <w:t xml:space="preserve">Trained annotators will use a purpose-built annotation interface with detailed guidelines. Each response will be independently annotated by at least two annotators, with adjudication by a domain expert for disagreements.</w:t>
      </w:r>
    </w:p>
    <w:p>
      <w:pPr>
        <w:pStyle w:val="ListParagraph"/>
        <w:numPr>
          <w:ilvl w:val="0"/>
          <w:numId w:val="2"/>
        </w:numPr>
        <w:spacing w:after="100" w:line="276"/>
      </w:pPr>
      <w:r>
        <w:rPr>
          <w:rFonts w:ascii="Arial" w:cs="Arial" w:eastAsia="Arial" w:hAnsi="Arial"/>
          <w:b/>
          <w:bCs/>
          <w:sz w:val="24"/>
          <w:szCs w:val="24"/>
        </w:rPr>
        <w:t xml:space="preserve">Reliability target: </w:t>
      </w:r>
      <w:r>
        <w:rPr>
          <w:rFonts w:ascii="Arial" w:cs="Arial" w:eastAsia="Arial" w:hAnsi="Arial"/>
          <w:sz w:val="24"/>
          <w:szCs w:val="24"/>
        </w:rPr>
        <w:t xml:space="preserve">Inter-rater reliability of Cohen's kappa ≥ 0.65 for each annotation dimension, consistent with the reliability achieved by Fernandez and Guzon (2025) for manual SOLO classification.</w:t>
      </w:r>
    </w:p>
    <w:p>
      <w:pPr>
        <w:pStyle w:val="Heading2"/>
        <w:spacing w:after="160" w:before="280"/>
      </w:pPr>
      <w:r>
        <w:rPr>
          <w:rFonts w:ascii="Arial" w:cs="Arial" w:eastAsia="Arial" w:hAnsi="Arial"/>
          <w:b/>
          <w:bCs/>
          <w:sz w:val="44"/>
          <w:szCs w:val="44"/>
        </w:rPr>
        <w:t xml:space="preserve">5.5 Evaluation Plan</w:t>
      </w:r>
    </w:p>
    <w:p>
      <w:pPr>
        <w:spacing w:after="200" w:line="276"/>
        <w:jc w:val="left"/>
      </w:pPr>
      <w:r>
        <w:rPr>
          <w:rFonts w:ascii="Arial" w:cs="Arial" w:eastAsia="Arial" w:hAnsi="Arial"/>
          <w:b w:val="false"/>
          <w:bCs w:val="false"/>
          <w:i w:val="false"/>
          <w:iCs w:val="false"/>
          <w:sz w:val="24"/>
          <w:szCs w:val="24"/>
        </w:rPr>
        <w:t xml:space="preserve">The evaluation plan comprises four complementary evaluation strategies, each targeting different aspects of system quality:</w:t>
      </w:r>
    </w:p>
    <w:p>
      <w:pPr>
        <w:pStyle w:val="Heading3"/>
        <w:spacing w:after="120" w:before="240"/>
      </w:pPr>
      <w:r>
        <w:rPr>
          <w:rFonts w:ascii="Arial" w:cs="Arial" w:eastAsia="Arial" w:hAnsi="Arial"/>
          <w:b/>
          <w:bCs/>
          <w:sz w:val="36"/>
          <w:szCs w:val="36"/>
        </w:rPr>
        <w:t xml:space="preserve">5.5.1 Component Evaluation</w:t>
      </w:r>
    </w:p>
    <w:p>
      <w:pPr>
        <w:spacing w:after="200" w:line="276"/>
        <w:jc w:val="left"/>
      </w:pPr>
      <w:r>
        <w:rPr>
          <w:rFonts w:ascii="Arial" w:cs="Arial" w:eastAsia="Arial" w:hAnsi="Arial"/>
          <w:b w:val="false"/>
          <w:bCs w:val="false"/>
          <w:i w:val="false"/>
          <w:iCs w:val="false"/>
          <w:sz w:val="24"/>
          <w:szCs w:val="24"/>
        </w:rPr>
        <w:t xml:space="preserve">Each system layer will be evaluated independently against human expert annotations:</w:t>
      </w:r>
    </w:p>
    <w:p>
      <w:pPr>
        <w:pStyle w:val="ListParagraph"/>
        <w:numPr>
          <w:ilvl w:val="0"/>
          <w:numId w:val="2"/>
        </w:numPr>
        <w:spacing w:after="100" w:line="276"/>
      </w:pPr>
      <w:r>
        <w:rPr>
          <w:rFonts w:ascii="Arial" w:cs="Arial" w:eastAsia="Arial" w:hAnsi="Arial"/>
          <w:b/>
          <w:bCs/>
          <w:sz w:val="24"/>
          <w:szCs w:val="24"/>
        </w:rPr>
        <w:t xml:space="preserve">Concept extraction: </w:t>
      </w:r>
      <w:r>
        <w:rPr>
          <w:rFonts w:ascii="Arial" w:cs="Arial" w:eastAsia="Arial" w:hAnsi="Arial"/>
          <w:sz w:val="24"/>
          <w:szCs w:val="24"/>
        </w:rPr>
        <w:t xml:space="preserve">Precision, recall, and F1 score for concept identification and relationship extraction, compared against human-annotated concept graphs.</w:t>
      </w:r>
    </w:p>
    <w:p>
      <w:pPr>
        <w:pStyle w:val="ListParagraph"/>
        <w:numPr>
          <w:ilvl w:val="0"/>
          <w:numId w:val="2"/>
        </w:numPr>
        <w:spacing w:after="100" w:line="276"/>
      </w:pPr>
      <w:r>
        <w:rPr>
          <w:rFonts w:ascii="Arial" w:cs="Arial" w:eastAsia="Arial" w:hAnsi="Arial"/>
          <w:b/>
          <w:bCs/>
          <w:sz w:val="24"/>
          <w:szCs w:val="24"/>
        </w:rPr>
        <w:t xml:space="preserve">Bloom's classification: </w:t>
      </w:r>
      <w:r>
        <w:rPr>
          <w:rFonts w:ascii="Arial" w:cs="Arial" w:eastAsia="Arial" w:hAnsi="Arial"/>
          <w:sz w:val="24"/>
          <w:szCs w:val="24"/>
        </w:rPr>
        <w:t xml:space="preserve">Accuracy and QWK against human expert classifications, benchmarked against the QWK of 0.87–0.95 achieved by Cohn et al. (2024).</w:t>
      </w:r>
    </w:p>
    <w:p>
      <w:pPr>
        <w:pStyle w:val="ListParagraph"/>
        <w:numPr>
          <w:ilvl w:val="0"/>
          <w:numId w:val="2"/>
        </w:numPr>
        <w:spacing w:after="100" w:line="276"/>
      </w:pPr>
      <w:r>
        <w:rPr>
          <w:rFonts w:ascii="Arial" w:cs="Arial" w:eastAsia="Arial" w:hAnsi="Arial"/>
          <w:b/>
          <w:bCs/>
          <w:sz w:val="24"/>
          <w:szCs w:val="24"/>
        </w:rPr>
        <w:t xml:space="preserve">SOLO classification: </w:t>
      </w:r>
      <w:r>
        <w:rPr>
          <w:rFonts w:ascii="Arial" w:cs="Arial" w:eastAsia="Arial" w:hAnsi="Arial"/>
          <w:sz w:val="24"/>
          <w:szCs w:val="24"/>
        </w:rPr>
        <w:t xml:space="preserve">Accuracy and Cohen's kappa against human classifications, benchmarked against the weighted κ of 0.659–0.667 achieved by Fernandez and Guzon (2025).</w:t>
      </w:r>
    </w:p>
    <w:p>
      <w:pPr>
        <w:pStyle w:val="ListParagraph"/>
        <w:numPr>
          <w:ilvl w:val="0"/>
          <w:numId w:val="2"/>
        </w:numPr>
        <w:spacing w:after="100" w:line="276"/>
      </w:pPr>
      <w:r>
        <w:rPr>
          <w:rFonts w:ascii="Arial" w:cs="Arial" w:eastAsia="Arial" w:hAnsi="Arial"/>
          <w:b/>
          <w:bCs/>
          <w:sz w:val="24"/>
          <w:szCs w:val="24"/>
        </w:rPr>
        <w:t xml:space="preserve">Misconception detection: </w:t>
      </w:r>
      <w:r>
        <w:rPr>
          <w:rFonts w:ascii="Arial" w:cs="Arial" w:eastAsia="Arial" w:hAnsi="Arial"/>
          <w:sz w:val="24"/>
          <w:szCs w:val="24"/>
        </w:rPr>
        <w:t xml:space="preserve">Precision, recall, and F1 for misconception identification; accuracy for misconception category classification.</w:t>
      </w:r>
    </w:p>
    <w:p>
      <w:pPr>
        <w:pStyle w:val="Heading3"/>
        <w:spacing w:after="120" w:before="240"/>
      </w:pPr>
      <w:r>
        <w:rPr>
          <w:rFonts w:ascii="Arial" w:cs="Arial" w:eastAsia="Arial" w:hAnsi="Arial"/>
          <w:b/>
          <w:bCs/>
          <w:sz w:val="36"/>
          <w:szCs w:val="36"/>
        </w:rPr>
        <w:t xml:space="preserve">5.5.2 System Evaluation</w:t>
      </w:r>
    </w:p>
    <w:p>
      <w:pPr>
        <w:spacing w:after="200" w:line="276"/>
        <w:jc w:val="left"/>
      </w:pPr>
      <w:r>
        <w:rPr>
          <w:rFonts w:ascii="Arial" w:cs="Arial" w:eastAsia="Arial" w:hAnsi="Arial"/>
          <w:b w:val="false"/>
          <w:bCs w:val="false"/>
          <w:i w:val="false"/>
          <w:iCs w:val="false"/>
          <w:sz w:val="24"/>
          <w:szCs w:val="24"/>
        </w:rPr>
        <w:t xml:space="preserve">The integrated system will be compared against two baselines:</w:t>
      </w:r>
    </w:p>
    <w:p>
      <w:pPr>
        <w:pStyle w:val="ListParagraph"/>
        <w:numPr>
          <w:ilvl w:val="0"/>
          <w:numId w:val="2"/>
        </w:numPr>
        <w:spacing w:after="100" w:line="276"/>
      </w:pPr>
      <w:r>
        <w:rPr>
          <w:rFonts w:ascii="Arial" w:cs="Arial" w:eastAsia="Arial" w:hAnsi="Arial"/>
          <w:b/>
          <w:bCs/>
          <w:sz w:val="24"/>
          <w:szCs w:val="24"/>
        </w:rPr>
        <w:t xml:space="preserve">NodeGrade standard pipeline: </w:t>
      </w:r>
      <w:r>
        <w:rPr>
          <w:rFonts w:ascii="Arial" w:cs="Arial" w:eastAsia="Arial" w:hAnsi="Arial"/>
          <w:sz w:val="24"/>
          <w:szCs w:val="24"/>
        </w:rPr>
        <w:t xml:space="preserve">The existing NodeGrade grading pipeline without concept-aware extensions, measuring whether the additions degrade baseline grading performance.</w:t>
      </w:r>
    </w:p>
    <w:p>
      <w:pPr>
        <w:pStyle w:val="ListParagraph"/>
        <w:numPr>
          <w:ilvl w:val="0"/>
          <w:numId w:val="2"/>
        </w:numPr>
        <w:spacing w:after="100" w:line="276"/>
      </w:pPr>
      <w:r>
        <w:rPr>
          <w:rFonts w:ascii="Arial" w:cs="Arial" w:eastAsia="Arial" w:hAnsi="Arial"/>
          <w:b/>
          <w:bCs/>
          <w:sz w:val="24"/>
          <w:szCs w:val="24"/>
        </w:rPr>
        <w:t xml:space="preserve">LLM-only grading: </w:t>
      </w:r>
      <w:r>
        <w:rPr>
          <w:rFonts w:ascii="Arial" w:cs="Arial" w:eastAsia="Arial" w:hAnsi="Arial"/>
          <w:sz w:val="24"/>
          <w:szCs w:val="24"/>
        </w:rPr>
        <w:t xml:space="preserve">Direct LLM scoring (GPT-4o) without the structured concept extraction and comparison pipeline, measuring the value added by the knowledge graph approach.</w:t>
      </w:r>
    </w:p>
    <w:p>
      <w:pPr>
        <w:pStyle w:val="Heading3"/>
        <w:spacing w:after="120" w:before="240"/>
      </w:pPr>
      <w:r>
        <w:rPr>
          <w:rFonts w:ascii="Arial" w:cs="Arial" w:eastAsia="Arial" w:hAnsi="Arial"/>
          <w:b/>
          <w:bCs/>
          <w:sz w:val="36"/>
          <w:szCs w:val="36"/>
        </w:rPr>
        <w:t xml:space="preserve">5.5.3 Expert Evaluation</w:t>
      </w:r>
    </w:p>
    <w:p>
      <w:pPr>
        <w:spacing w:after="200" w:line="276"/>
        <w:jc w:val="left"/>
      </w:pPr>
      <w:r>
        <w:rPr>
          <w:rFonts w:ascii="Arial" w:cs="Arial" w:eastAsia="Arial" w:hAnsi="Arial"/>
          <w:b w:val="false"/>
          <w:bCs w:val="false"/>
          <w:i w:val="false"/>
          <w:iCs w:val="false"/>
          <w:sz w:val="24"/>
          <w:szCs w:val="24"/>
        </w:rPr>
        <w:t xml:space="preserve">Domain experts (university instructors in the target domains) will evaluate the quality of concept-level feedback produced by the system, rating feedback on dimensions of accuracy, usefulness, actionability, and clarity using structured rubrics.</w:t>
      </w:r>
    </w:p>
    <w:p>
      <w:pPr>
        <w:pStyle w:val="Heading3"/>
        <w:spacing w:after="120" w:before="240"/>
      </w:pPr>
      <w:r>
        <w:rPr>
          <w:rFonts w:ascii="Arial" w:cs="Arial" w:eastAsia="Arial" w:hAnsi="Arial"/>
          <w:b/>
          <w:bCs/>
          <w:sz w:val="36"/>
          <w:szCs w:val="36"/>
        </w:rPr>
        <w:t xml:space="preserve">5.5.4 User Study</w:t>
      </w:r>
    </w:p>
    <w:p>
      <w:pPr>
        <w:spacing w:after="200" w:line="276"/>
        <w:jc w:val="left"/>
      </w:pPr>
      <w:r>
        <w:rPr>
          <w:rFonts w:ascii="Arial" w:cs="Arial" w:eastAsia="Arial" w:hAnsi="Arial"/>
          <w:b w:val="false"/>
          <w:bCs w:val="false"/>
          <w:i w:val="false"/>
          <w:iCs w:val="false"/>
          <w:sz w:val="24"/>
          <w:szCs w:val="24"/>
        </w:rPr>
        <w:t xml:space="preserve">A user study with practicing teachers will evaluate the utility of the V-NLI visualization layer. Participants will complete a series of assessment analysis tasks using both the V-NLI interface and traditional grade-book tools, with measures of task completion time, accuracy, and subjective satisfaction. The study will follow a within-subjects design with counterbalanced task order.</w:t>
      </w:r>
    </w:p>
    <w:p>
      <w:pPr>
        <w:spacing w:after="200" w:line="276"/>
        <w:jc w:val="left"/>
      </w:pPr>
      <w:r>
        <w:rPr>
          <w:rFonts w:ascii="Arial" w:cs="Arial" w:eastAsia="Arial" w:hAnsi="Arial"/>
          <w:b/>
          <w:bCs/>
          <w:i w:val="false"/>
          <w:iCs w:val="false"/>
          <w:sz w:val="24"/>
          <w:szCs w:val="24"/>
        </w:rPr>
        <w:t xml:space="preserve">Key evaluation metrics across all components:</w:t>
      </w:r>
    </w:p>
    <w:p>
      <w:pPr>
        <w:pStyle w:val="ListParagraph"/>
        <w:numPr>
          <w:ilvl w:val="0"/>
          <w:numId w:val="2"/>
        </w:numPr>
        <w:spacing w:after="100" w:line="276"/>
      </w:pPr>
      <w:r>
        <w:rPr>
          <w:rFonts w:ascii="Arial" w:cs="Arial" w:eastAsia="Arial" w:hAnsi="Arial"/>
          <w:b/>
          <w:bCs/>
          <w:sz w:val="24"/>
          <w:szCs w:val="24"/>
        </w:rPr>
        <w:t xml:space="preserve">QWK (Quadratic Weighted Kappa): </w:t>
      </w:r>
      <w:r>
        <w:rPr>
          <w:rFonts w:ascii="Arial" w:cs="Arial" w:eastAsia="Arial" w:hAnsi="Arial"/>
          <w:sz w:val="24"/>
          <w:szCs w:val="24"/>
        </w:rPr>
        <w:t xml:space="preserve">Standard ASAG metric for comparison with existing systems.</w:t>
      </w:r>
    </w:p>
    <w:p>
      <w:pPr>
        <w:pStyle w:val="ListParagraph"/>
        <w:numPr>
          <w:ilvl w:val="0"/>
          <w:numId w:val="2"/>
        </w:numPr>
        <w:spacing w:after="100" w:line="276"/>
      </w:pPr>
      <w:r>
        <w:rPr>
          <w:rFonts w:ascii="Arial" w:cs="Arial" w:eastAsia="Arial" w:hAnsi="Arial"/>
          <w:b/>
          <w:bCs/>
          <w:sz w:val="24"/>
          <w:szCs w:val="24"/>
        </w:rPr>
        <w:t xml:space="preserve">Concept-level F1: </w:t>
      </w:r>
      <w:r>
        <w:rPr>
          <w:rFonts w:ascii="Arial" w:cs="Arial" w:eastAsia="Arial" w:hAnsi="Arial"/>
          <w:sz w:val="24"/>
          <w:szCs w:val="24"/>
        </w:rPr>
        <w:t xml:space="preserve">Precision and recall for concept and relationship extraction.</w:t>
      </w:r>
    </w:p>
    <w:p>
      <w:pPr>
        <w:pStyle w:val="ListParagraph"/>
        <w:numPr>
          <w:ilvl w:val="0"/>
          <w:numId w:val="2"/>
        </w:numPr>
        <w:spacing w:after="100" w:line="276"/>
      </w:pPr>
      <w:r>
        <w:rPr>
          <w:rFonts w:ascii="Arial" w:cs="Arial" w:eastAsia="Arial" w:hAnsi="Arial"/>
          <w:b/>
          <w:bCs/>
          <w:sz w:val="24"/>
          <w:szCs w:val="24"/>
        </w:rPr>
        <w:t xml:space="preserve">Misconception detection accuracy: </w:t>
      </w:r>
      <w:r>
        <w:rPr>
          <w:rFonts w:ascii="Arial" w:cs="Arial" w:eastAsia="Arial" w:hAnsi="Arial"/>
          <w:sz w:val="24"/>
          <w:szCs w:val="24"/>
        </w:rPr>
        <w:t xml:space="preserve">Correct identification rate for known misconception patterns.</w:t>
      </w:r>
    </w:p>
    <w:p>
      <w:pPr>
        <w:pStyle w:val="ListParagraph"/>
        <w:numPr>
          <w:ilvl w:val="0"/>
          <w:numId w:val="2"/>
        </w:numPr>
        <w:spacing w:after="100" w:line="276"/>
      </w:pPr>
      <w:r>
        <w:rPr>
          <w:rFonts w:ascii="Arial" w:cs="Arial" w:eastAsia="Arial" w:hAnsi="Arial"/>
          <w:b/>
          <w:bCs/>
          <w:sz w:val="24"/>
          <w:szCs w:val="24"/>
        </w:rPr>
        <w:t xml:space="preserve">SOLO classification κ: </w:t>
      </w:r>
      <w:r>
        <w:rPr>
          <w:rFonts w:ascii="Arial" w:cs="Arial" w:eastAsia="Arial" w:hAnsi="Arial"/>
          <w:sz w:val="24"/>
          <w:szCs w:val="24"/>
        </w:rPr>
        <w:t xml:space="preserve">Inter-rater agreement between system and human SOLO classifications.</w:t>
      </w:r>
    </w:p>
    <w:p>
      <w:pPr>
        <w:pStyle w:val="ListParagraph"/>
        <w:numPr>
          <w:ilvl w:val="0"/>
          <w:numId w:val="2"/>
        </w:numPr>
        <w:spacing w:after="100" w:line="276"/>
      </w:pPr>
      <w:r>
        <w:rPr>
          <w:rFonts w:ascii="Arial" w:cs="Arial" w:eastAsia="Arial" w:hAnsi="Arial"/>
          <w:b/>
          <w:bCs/>
          <w:sz w:val="24"/>
          <w:szCs w:val="24"/>
        </w:rPr>
        <w:t xml:space="preserve">User satisfaction: </w:t>
      </w:r>
      <w:r>
        <w:rPr>
          <w:rFonts w:ascii="Arial" w:cs="Arial" w:eastAsia="Arial" w:hAnsi="Arial"/>
          <w:sz w:val="24"/>
          <w:szCs w:val="24"/>
        </w:rPr>
        <w:t xml:space="preserve">System Usability Scale (SUS) scores for the V-NLI interface.</w:t>
      </w:r>
    </w:p>
    <w:p>
      <w:pPr>
        <w:pStyle w:val="Heading1"/>
        <w:pageBreakBefore/>
        <w:spacing w:after="200" w:before="360"/>
      </w:pPr>
      <w:r>
        <w:rPr>
          <w:rFonts w:ascii="Arial" w:cs="Arial" w:eastAsia="Arial" w:hAnsi="Arial"/>
          <w:b/>
          <w:bCs/>
          <w:sz w:val="56"/>
          <w:szCs w:val="56"/>
        </w:rPr>
        <w:t xml:space="preserve">6. Expected Contributions</w:t>
      </w:r>
    </w:p>
    <w:p>
      <w:pPr>
        <w:spacing w:after="200" w:line="276"/>
        <w:jc w:val="left"/>
      </w:pPr>
      <w:r>
        <w:rPr>
          <w:rFonts w:ascii="Arial" w:cs="Arial" w:eastAsia="Arial" w:hAnsi="Arial"/>
          <w:b w:val="false"/>
          <w:bCs w:val="false"/>
          <w:i w:val="false"/>
          <w:iCs w:val="false"/>
          <w:sz w:val="24"/>
          <w:szCs w:val="24"/>
        </w:rPr>
        <w:t xml:space="preserve">This research is expected to produce the following contributions to the fields of educational technology, natural language processing, and learning analytics:</w:t>
      </w:r>
    </w:p>
    <w:p>
      <w:pPr>
        <w:pStyle w:val="ListParagraph"/>
        <w:numPr>
          <w:ilvl w:val="0"/>
          <w:numId w:val="5"/>
        </w:numPr>
        <w:spacing w:after="100" w:line="276"/>
      </w:pPr>
      <w:r>
        <w:rPr>
          <w:rFonts w:ascii="Arial" w:cs="Arial" w:eastAsia="Arial" w:hAnsi="Arial"/>
          <w:b/>
          <w:bCs/>
          <w:sz w:val="24"/>
          <w:szCs w:val="24"/>
        </w:rPr>
        <w:t xml:space="preserve">A novel concept-aware ASAG framework that shifts assessment from surface matching to depth analysis. </w:t>
      </w:r>
      <w:r>
        <w:rPr>
          <w:rFonts w:ascii="Arial" w:cs="Arial" w:eastAsia="Arial" w:hAnsi="Arial"/>
          <w:sz w:val="24"/>
          <w:szCs w:val="24"/>
        </w:rPr>
        <w:t xml:space="preserve">The proposed framework represents a paradigm shift in automated assessment, moving beyond the reference-matching approach that has dominated ASAG research for two decades. By integrating knowledge graph comparison with cognitive taxonomy classification, the framework evaluates the structural quality and depth of student understanding rather than textual similarity to a model answer. This contribution addresses the fundamental limitation identified across all current ASAG approaches.</w:t>
      </w:r>
    </w:p>
    <w:p>
      <w:pPr>
        <w:pStyle w:val="ListParagraph"/>
        <w:numPr>
          <w:ilvl w:val="0"/>
          <w:numId w:val="5"/>
        </w:numPr>
        <w:spacing w:after="100" w:line="276"/>
      </w:pPr>
      <w:r>
        <w:rPr>
          <w:rFonts w:ascii="Arial" w:cs="Arial" w:eastAsia="Arial" w:hAnsi="Arial"/>
          <w:b/>
          <w:bCs/>
          <w:sz w:val="24"/>
          <w:szCs w:val="24"/>
        </w:rPr>
        <w:t xml:space="preserve">The first automated SOLO Taxonomy classifier for free-text student responses. </w:t>
      </w:r>
      <w:r>
        <w:rPr>
          <w:rFonts w:ascii="Arial" w:cs="Arial" w:eastAsia="Arial" w:hAnsi="Arial"/>
          <w:sz w:val="24"/>
          <w:szCs w:val="24"/>
        </w:rPr>
        <w:t xml:space="preserve">While Bloom's Taxonomy classification has received attention from the NLP community (Cohn et al., 2024, 2025), no automated SOLO classifier exists for free-text educational responses. The SOLO classifier developed in this research will leverage both textual analysis and structural properties of extracted concept graphs to classify the structural quality of student responses, filling a significant gap in automated educational assessment.</w:t>
      </w:r>
    </w:p>
    <w:p>
      <w:pPr>
        <w:pStyle w:val="ListParagraph"/>
        <w:numPr>
          <w:ilvl w:val="0"/>
          <w:numId w:val="5"/>
        </w:numPr>
        <w:spacing w:after="100" w:line="276"/>
      </w:pPr>
      <w:r>
        <w:rPr>
          <w:rFonts w:ascii="Arial" w:cs="Arial" w:eastAsia="Arial" w:hAnsi="Arial"/>
          <w:b/>
          <w:bCs/>
          <w:sz w:val="24"/>
          <w:szCs w:val="24"/>
        </w:rPr>
        <w:t xml:space="preserve">A misconception detection module integrated with knowledge graph comparison. </w:t>
      </w:r>
      <w:r>
        <w:rPr>
          <w:rFonts w:ascii="Arial" w:cs="Arial" w:eastAsia="Arial" w:hAnsi="Arial"/>
          <w:sz w:val="24"/>
          <w:szCs w:val="24"/>
        </w:rPr>
        <w:t xml:space="preserve">Current ASAG systems identify wrong answers but cannot characterize the specific incorrect mental models that produce errors. The proposed misconception detection module goes beyond binary correctness to identify, classify, and explain student misconceptions, providing actionable diagnostic information that supports targeted remediation.</w:t>
      </w:r>
    </w:p>
    <w:p>
      <w:pPr>
        <w:pStyle w:val="ListParagraph"/>
        <w:numPr>
          <w:ilvl w:val="0"/>
          <w:numId w:val="5"/>
        </w:numPr>
        <w:spacing w:after="100" w:line="276"/>
      </w:pPr>
      <w:r>
        <w:rPr>
          <w:rFonts w:ascii="Arial" w:cs="Arial" w:eastAsia="Arial" w:hAnsi="Arial"/>
          <w:b/>
          <w:bCs/>
          <w:sz w:val="24"/>
          <w:szCs w:val="24"/>
        </w:rPr>
        <w:t xml:space="preserve">A concept-annotated ASAG benchmark dataset. </w:t>
      </w:r>
      <w:r>
        <w:rPr>
          <w:rFonts w:ascii="Arial" w:cs="Arial" w:eastAsia="Arial" w:hAnsi="Arial"/>
          <w:sz w:val="24"/>
          <w:szCs w:val="24"/>
        </w:rPr>
        <w:t xml:space="preserve">Existing ASAG benchmarks (ASAP-SAS, SemEval, ASAG2024) provide holistic scores but lack concept-level annotations. The proposed dataset will include per-response annotations for concepts, relationships, Bloom's levels, SOLO levels, and misconception categories, enabling future research on concept-aware assessment and serving as a benchmark for the emerging sub-field.</w:t>
      </w:r>
    </w:p>
    <w:p>
      <w:pPr>
        <w:pStyle w:val="ListParagraph"/>
        <w:numPr>
          <w:ilvl w:val="0"/>
          <w:numId w:val="5"/>
        </w:numPr>
        <w:spacing w:after="100" w:line="276"/>
      </w:pPr>
      <w:r>
        <w:rPr>
          <w:rFonts w:ascii="Arial" w:cs="Arial" w:eastAsia="Arial" w:hAnsi="Arial"/>
          <w:b/>
          <w:bCs/>
          <w:sz w:val="24"/>
          <w:szCs w:val="24"/>
        </w:rPr>
        <w:t xml:space="preserve">An educational V-NLI system purpose-built for assessment analytics. </w:t>
      </w:r>
      <w:r>
        <w:rPr>
          <w:rFonts w:ascii="Arial" w:cs="Arial" w:eastAsia="Arial" w:hAnsi="Arial"/>
          <w:sz w:val="24"/>
          <w:szCs w:val="24"/>
        </w:rPr>
        <w:t xml:space="preserve">Existing V-NLI systems such as NL4DV (Narechania et al., 2020) and Chat2VIS (Maddigan &amp; Susnjak, 2023) are domain-agnostic tools not designed for educational contexts. The proposed V-NLI layer understands educational assessment vocabulary and produces visualizations specifically designed for the questions educators ask about student understanding.</w:t>
      </w:r>
    </w:p>
    <w:p>
      <w:pPr>
        <w:pStyle w:val="ListParagraph"/>
        <w:numPr>
          <w:ilvl w:val="0"/>
          <w:numId w:val="5"/>
        </w:numPr>
        <w:spacing w:after="100" w:line="276"/>
      </w:pPr>
      <w:r>
        <w:rPr>
          <w:rFonts w:ascii="Arial" w:cs="Arial" w:eastAsia="Arial" w:hAnsi="Arial"/>
          <w:b/>
          <w:bCs/>
          <w:sz w:val="24"/>
          <w:szCs w:val="24"/>
        </w:rPr>
        <w:t xml:space="preserve">Open-source implementation as NodeGrade extensions. </w:t>
      </w:r>
      <w:r>
        <w:rPr>
          <w:rFonts w:ascii="Arial" w:cs="Arial" w:eastAsia="Arial" w:hAnsi="Arial"/>
          <w:sz w:val="24"/>
          <w:szCs w:val="24"/>
        </w:rPr>
        <w:t xml:space="preserve">All system components will be released as open-source NodeGrade node types, enabling the broader educational technology community to adopt, extend, and build upon this work. The modular architecture ensures that individual components can be used independently, lowering the barrier to adoption.</w:t>
      </w:r>
    </w:p>
    <w:p>
      <w:pPr>
        <w:pStyle w:val="Heading1"/>
        <w:pageBreakBefore/>
        <w:spacing w:after="200" w:before="360"/>
      </w:pPr>
      <w:r>
        <w:rPr>
          <w:rFonts w:ascii="Arial" w:cs="Arial" w:eastAsia="Arial" w:hAnsi="Arial"/>
          <w:b/>
          <w:bCs/>
          <w:sz w:val="56"/>
          <w:szCs w:val="56"/>
        </w:rPr>
        <w:t xml:space="preserve">7. Preliminary Timeline</w:t>
      </w:r>
    </w:p>
    <w:p>
      <w:pPr>
        <w:spacing w:after="200" w:line="276"/>
        <w:jc w:val="left"/>
      </w:pPr>
      <w:r>
        <w:rPr>
          <w:rFonts w:ascii="Arial" w:cs="Arial" w:eastAsia="Arial" w:hAnsi="Arial"/>
          <w:b w:val="false"/>
          <w:bCs w:val="false"/>
          <w:i w:val="false"/>
          <w:iCs w:val="false"/>
          <w:sz w:val="24"/>
          <w:szCs w:val="24"/>
        </w:rPr>
        <w:t xml:space="preserve">The proposed research will be conducted over 30 months, organized into five overlapping phases. The timeline accounts for the iterative nature of Design Science Research, with evaluation findings informing refinements throughout the development process.</w:t>
      </w:r>
    </w:p>
    <w:p>
      <w:pPr>
        <w:spacing w:after="1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Phase</w:t>
            </w:r>
          </w:p>
        </w:tc>
        <w:tc>
          <w:tcPr>
            <w:tcW w:type="dxa" w:w="14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Duration</w:t>
            </w:r>
          </w:p>
        </w:tc>
        <w:tc>
          <w:tcPr>
            <w:tcW w:type="dxa" w:w="57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Arial" w:cs="Arial" w:eastAsia="Arial" w:hAnsi="Arial"/>
                <w:b/>
                <w:bCs/>
                <w:sz w:val="22"/>
                <w:szCs w:val="22"/>
              </w:rPr>
              <w:t xml:space="preserve">Activities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Phase 1: Foundation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Months 1–6
(6 months)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Comprehensive literature review completion; domain ontology construction for target domains; concept extraction pipeline development and initial testing; establishment of annotation guidelines and inter-rater reliability protocols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Phase 2: Core Development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Months 7–14
(8 months)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Knowledge graph comparison engine development; cognitive depth classifier implementation (Bloom's and SOLO); misconception detection module development; component-level testing and iterative refinement</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Phase 3: Integration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Months 15–18
(4 months)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NodeGrade integration of all components as new node types; V-NLI visualization layer development; system integration testing; end-to-end pipeline validation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Phase 4: Evaluation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Months 19–24
(6 months)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Dataset annotation campaign; empirical evaluation against baselines; expert evaluation of feedback quality; user study with practicing teachers; statistical analysis of results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Phase 5: Thesis Writing</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Months 21–30
(10 months)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Arial" w:cs="Arial" w:eastAsia="Arial" w:hAnsi="Arial"/>
                <w:sz w:val="22"/>
                <w:szCs w:val="22"/>
              </w:rPr>
              <w:t xml:space="preserve">Paper publications at target venues (EMNLP, AIED, EDM); thesis chapter drafting; revision based on examiner feedback; defense preparation (overlaps with Phase 4)</w:t>
            </w:r>
          </w:p>
        </w:tc>
      </w:tr>
    </w:tbl>
    <w:p>
      <w:pPr>
        <w:spacing w:after="100"/>
      </w:pPr>
      <w:r>
        <w:rPr>
          <w:rFonts w:ascii="Arial" w:cs="Arial" w:eastAsia="Arial" w:hAnsi="Arial"/>
          <w:sz w:val="24"/>
          <w:szCs w:val="24"/>
        </w:rPr>
        <w:t xml:space="preserve"/>
      </w:r>
    </w:p>
    <w:p>
      <w:pPr>
        <w:spacing w:after="200" w:line="276"/>
        <w:jc w:val="center"/>
      </w:pPr>
      <w:r>
        <w:rPr>
          <w:rFonts w:ascii="Arial" w:cs="Arial" w:eastAsia="Arial" w:hAnsi="Arial"/>
          <w:b w:val="false"/>
          <w:bCs w:val="false"/>
          <w:i/>
          <w:iCs/>
          <w:sz w:val="20"/>
          <w:szCs w:val="20"/>
        </w:rPr>
        <w:t xml:space="preserve">Table 2: Preliminary research timeline organized by phase, duration, and key activities.</w:t>
      </w:r>
    </w:p>
    <w:p>
      <w:pPr>
        <w:spacing w:after="100"/>
      </w:pPr>
      <w:r>
        <w:rPr>
          <w:rFonts w:ascii="Arial" w:cs="Arial" w:eastAsia="Arial" w:hAnsi="Arial"/>
          <w:sz w:val="24"/>
          <w:szCs w:val="24"/>
        </w:rPr>
        <w:t xml:space="preserve"/>
      </w:r>
    </w:p>
    <w:p>
      <w:pPr>
        <w:spacing w:after="200" w:line="276"/>
        <w:jc w:val="left"/>
      </w:pPr>
      <w:r>
        <w:rPr>
          <w:rFonts w:ascii="Arial" w:cs="Arial" w:eastAsia="Arial" w:hAnsi="Arial"/>
          <w:b w:val="false"/>
          <w:bCs w:val="false"/>
          <w:i w:val="false"/>
          <w:iCs w:val="false"/>
          <w:sz w:val="24"/>
          <w:szCs w:val="24"/>
        </w:rPr>
        <w:t xml:space="preserve">Note that Phase 5 (Thesis Writing) overlaps with Phase 4 (Evaluation), as initial thesis chapters on literature review and methodology will be drafted while evaluation activities are ongoing. Publication targets include major venues in educational NLP (EMNLP, ACL), educational data mining (EDM), and artificial intelligence in education (AIED).</w:t>
      </w:r>
    </w:p>
    <w:p>
      <w:pPr>
        <w:pStyle w:val="Heading1"/>
        <w:pageBreakBefore/>
        <w:spacing w:after="200" w:before="360"/>
      </w:pPr>
      <w:r>
        <w:rPr>
          <w:rFonts w:ascii="Arial" w:cs="Arial" w:eastAsia="Arial" w:hAnsi="Arial"/>
          <w:b/>
          <w:bCs/>
          <w:sz w:val="56"/>
          <w:szCs w:val="56"/>
        </w:rPr>
        <w:t xml:space="preserve">8. References</w:t>
      </w:r>
    </w:p>
    <w:p>
      <w:pPr>
        <w:spacing w:after="160" w:line="276"/>
        <w:ind w:left="720" w:hanging="720"/>
      </w:pPr>
      <w:r>
        <w:rPr>
          <w:rFonts w:ascii="Arial" w:cs="Arial" w:eastAsia="Arial" w:hAnsi="Arial"/>
          <w:sz w:val="22"/>
          <w:szCs w:val="22"/>
        </w:rPr>
        <w:t xml:space="preserve">Abraham, R., Vempala, N., &amp; Ramanathan, V. (2025). Network analysis of concept maps: Evaluating student understanding through graph similarity measures. Journal of Educational Computing Research, 62(1), 45–72.</w:t>
      </w:r>
    </w:p>
    <w:p>
      <w:pPr>
        <w:spacing w:after="160" w:line="276"/>
        <w:ind w:left="720" w:hanging="720"/>
      </w:pPr>
      <w:r>
        <w:rPr>
          <w:rFonts w:ascii="Arial" w:cs="Arial" w:eastAsia="Arial" w:hAnsi="Arial"/>
          <w:sz w:val="22"/>
          <w:szCs w:val="22"/>
        </w:rPr>
        <w:t xml:space="preserve">Aggarwal, P., Singhania, S., &amp; Kumar, Y. (2024). EngSAF: An engineering short answer feedback dataset and analysis with LLMs as evaluators. In Proceedings of the 2024 Conference on Empirical Methods in Natural Language Processing (EMNLP), 1–15.</w:t>
      </w:r>
    </w:p>
    <w:p>
      <w:pPr>
        <w:spacing w:after="160" w:line="276"/>
        <w:ind w:left="720" w:hanging="720"/>
      </w:pPr>
      <w:r>
        <w:rPr>
          <w:rFonts w:ascii="Arial" w:cs="Arial" w:eastAsia="Arial" w:hAnsi="Arial"/>
          <w:sz w:val="22"/>
          <w:szCs w:val="22"/>
        </w:rPr>
        <w:t xml:space="preserve">Anderson, L. W., &amp; Krathwohl, D. R. (Eds.). (2001). A taxonomy for learning, teaching, and assessing: A revision of Bloom's taxonomy of educational objectives. Longman.</w:t>
      </w:r>
    </w:p>
    <w:p>
      <w:pPr>
        <w:spacing w:after="160" w:line="276"/>
        <w:ind w:left="720" w:hanging="720"/>
      </w:pPr>
      <w:r>
        <w:rPr>
          <w:rFonts w:ascii="Arial" w:cs="Arial" w:eastAsia="Arial" w:hAnsi="Arial"/>
          <w:sz w:val="22"/>
          <w:szCs w:val="22"/>
        </w:rPr>
        <w:t xml:space="preserve">Anintia, R., Sadhu, S., &amp; Rohmah, R. S. (2017). Identifying students' misconceptions using three-tier multiple choice questions. Journal of Physics: Conference Series, 795, 012–019.</w:t>
      </w:r>
    </w:p>
    <w:p>
      <w:pPr>
        <w:spacing w:after="160" w:line="276"/>
        <w:ind w:left="720" w:hanging="720"/>
      </w:pPr>
      <w:r>
        <w:rPr>
          <w:rFonts w:ascii="Arial" w:cs="Arial" w:eastAsia="Arial" w:hAnsi="Arial"/>
          <w:sz w:val="22"/>
          <w:szCs w:val="22"/>
        </w:rPr>
        <w:t xml:space="preserve">Biggs, J. B., &amp; Collis, K. F. (1982). Evaluating the quality of learning: The SOLO taxonomy (Structure of the Observed Learning Outcome). Academic Press.</w:t>
      </w:r>
    </w:p>
    <w:p>
      <w:pPr>
        <w:spacing w:after="160" w:line="276"/>
        <w:ind w:left="720" w:hanging="720"/>
      </w:pPr>
      <w:r>
        <w:rPr>
          <w:rFonts w:ascii="Arial" w:cs="Arial" w:eastAsia="Arial" w:hAnsi="Arial"/>
          <w:sz w:val="22"/>
          <w:szCs w:val="22"/>
        </w:rPr>
        <w:t xml:space="preserve">Bleckmann, P., &amp; Friege, G. (2023). Machine learning-based evaluation of concept maps: A classification approach using Support Vector Classifiers. Education and Information Technologies, 28, 11237–11258.</w:t>
      </w:r>
    </w:p>
    <w:p>
      <w:pPr>
        <w:spacing w:after="160" w:line="276"/>
        <w:ind w:left="720" w:hanging="720"/>
      </w:pPr>
      <w:r>
        <w:rPr>
          <w:rFonts w:ascii="Arial" w:cs="Arial" w:eastAsia="Arial" w:hAnsi="Arial"/>
          <w:sz w:val="22"/>
          <w:szCs w:val="22"/>
        </w:rPr>
        <w:t xml:space="preserve">Chi, H., &amp; Zhu, J. (2025). LLMarking: Explainable automated short answer grading through key point decomposition. arXiv preprint arXiv:2501.00001.</w:t>
      </w:r>
    </w:p>
    <w:p>
      <w:pPr>
        <w:spacing w:after="160" w:line="276"/>
        <w:ind w:left="720" w:hanging="720"/>
      </w:pPr>
      <w:r>
        <w:rPr>
          <w:rFonts w:ascii="Arial" w:cs="Arial" w:eastAsia="Arial" w:hAnsi="Arial"/>
          <w:sz w:val="22"/>
          <w:szCs w:val="22"/>
        </w:rPr>
        <w:t xml:space="preserve">Cohn, C., Hutchins, N., Le, T., &amp; Biswas, G. (2024). Chain-of-Thought prompting for formative assessment and feedback. In Proceedings of the AAAI Conference on Artificial Intelligence, 38, 1–9.</w:t>
      </w:r>
    </w:p>
    <w:p>
      <w:pPr>
        <w:spacing w:after="160" w:line="276"/>
        <w:ind w:left="720" w:hanging="720"/>
      </w:pPr>
      <w:r>
        <w:rPr>
          <w:rFonts w:ascii="Arial" w:cs="Arial" w:eastAsia="Arial" w:hAnsi="Arial"/>
          <w:sz w:val="22"/>
          <w:szCs w:val="22"/>
        </w:rPr>
        <w:t xml:space="preserve">Cohn, C., Hutchins, N., Biswas, G., &amp; Szafir, D. (2025). CoTAL: Chain-of-Thought active learning for improved scoring with LLMs. In Proceedings of the International Conference on Artificial Intelligence in Education (AIED), 1–15.</w:t>
      </w:r>
    </w:p>
    <w:p>
      <w:pPr>
        <w:spacing w:after="160" w:line="276"/>
        <w:ind w:left="720" w:hanging="720"/>
      </w:pPr>
      <w:r>
        <w:rPr>
          <w:rFonts w:ascii="Arial" w:cs="Arial" w:eastAsia="Arial" w:hAnsi="Arial"/>
          <w:sz w:val="22"/>
          <w:szCs w:val="22"/>
        </w:rPr>
        <w:t xml:space="preserve">del Gobbo, E., Fontanella, L., Sarra, A., &amp; Sarnacchiaro, P. (2023). GradeAid: A framework for automatic short answer grading — a hybrid approach integrating TF-IDF and BERT Cross-Encoder. Knowledge-Based Systems, 280, 111–026.</w:t>
      </w:r>
    </w:p>
    <w:p>
      <w:pPr>
        <w:spacing w:after="160" w:line="276"/>
        <w:ind w:left="720" w:hanging="720"/>
      </w:pPr>
      <w:r>
        <w:rPr>
          <w:rFonts w:ascii="Arial" w:cs="Arial" w:eastAsia="Arial" w:hAnsi="Arial"/>
          <w:sz w:val="22"/>
          <w:szCs w:val="22"/>
        </w:rPr>
        <w:t xml:space="preserve">Emirtekin, E., &amp; Özarslan, Y. (2025). Evaluating LLM-human agreement in scoring across Bloom's Taxonomy cognitive levels: A systematic decline at higher levels. Computers &amp; Education: Artificial Intelligence, 8, 100–289.</w:t>
      </w:r>
    </w:p>
    <w:p>
      <w:pPr>
        <w:spacing w:after="160" w:line="276"/>
        <w:ind w:left="720" w:hanging="720"/>
      </w:pPr>
      <w:r>
        <w:rPr>
          <w:rFonts w:ascii="Arial" w:cs="Arial" w:eastAsia="Arial" w:hAnsi="Arial"/>
          <w:sz w:val="22"/>
          <w:szCs w:val="22"/>
        </w:rPr>
        <w:t xml:space="preserve">Fernandez, M. A., &amp; Guzon, A. F. (2025). SOLO-based rubric for assessing calculus problem-solving: Development and validation. International Journal of Mathematical Education in Science and Technology, 56(2), 310–328.</w:t>
      </w:r>
    </w:p>
    <w:p>
      <w:pPr>
        <w:spacing w:after="160" w:line="276"/>
        <w:ind w:left="720" w:hanging="720"/>
      </w:pPr>
      <w:r>
        <w:rPr>
          <w:rFonts w:ascii="Arial" w:cs="Arial" w:eastAsia="Arial" w:hAnsi="Arial"/>
          <w:sz w:val="22"/>
          <w:szCs w:val="22"/>
        </w:rPr>
        <w:t xml:space="preserve">Fischer, R., Torshizi, A. A., &amp; Truss, M. (2025). NodeGrade: A node-graph based approach to automatic short answer grading. In Proceedings of the 2025 Conference of the North American Chapter of the ACL (NAACL), 1–12.</w:t>
      </w:r>
    </w:p>
    <w:p>
      <w:pPr>
        <w:spacing w:after="160" w:line="276"/>
        <w:ind w:left="720" w:hanging="720"/>
      </w:pPr>
      <w:r>
        <w:rPr>
          <w:rFonts w:ascii="Arial" w:cs="Arial" w:eastAsia="Arial" w:hAnsi="Arial"/>
          <w:sz w:val="22"/>
          <w:szCs w:val="22"/>
        </w:rPr>
        <w:t xml:space="preserve">Fu, Y., &amp; Fang, J. (2025). CA-GNCD: Concept-aware graph neural cognitive diagnosis. Expert Systems with Applications, 250, 123–891.</w:t>
      </w:r>
    </w:p>
    <w:p>
      <w:pPr>
        <w:spacing w:after="160" w:line="276"/>
        <w:ind w:left="720" w:hanging="720"/>
      </w:pPr>
      <w:r>
        <w:rPr>
          <w:rFonts w:ascii="Arial" w:cs="Arial" w:eastAsia="Arial" w:hAnsi="Arial"/>
          <w:sz w:val="22"/>
          <w:szCs w:val="22"/>
        </w:rPr>
        <w:t xml:space="preserve">Gobrecht, C., O'Leary, M., &amp; Sisson, K. (2024). Beyond human subjectivity: Measuring grading accuracy in automated assessment. Assessment &amp; Evaluation in Higher Education, 49(5), 672–688.</w:t>
      </w:r>
    </w:p>
    <w:p>
      <w:pPr>
        <w:spacing w:after="160" w:line="276"/>
        <w:ind w:left="720" w:hanging="720"/>
      </w:pPr>
      <w:r>
        <w:rPr>
          <w:rFonts w:ascii="Arial" w:cs="Arial" w:eastAsia="Arial" w:hAnsi="Arial"/>
          <w:sz w:val="22"/>
          <w:szCs w:val="22"/>
        </w:rPr>
        <w:t xml:space="preserve">Göhler, D., &amp; Yadav, A. (2024). Unsupervised concept dependency learning from educational data. In Proceedings of the 17th International Conference on Educational Data Mining (EDM), 345–352.</w:t>
      </w:r>
    </w:p>
    <w:p>
      <w:pPr>
        <w:spacing w:after="160" w:line="276"/>
        <w:ind w:left="720" w:hanging="720"/>
      </w:pPr>
      <w:r>
        <w:rPr>
          <w:rFonts w:ascii="Arial" w:cs="Arial" w:eastAsia="Arial" w:hAnsi="Arial"/>
          <w:sz w:val="22"/>
          <w:szCs w:val="22"/>
        </w:rPr>
        <w:t xml:space="preserve">Haycocks, R., Sherborne, T., &amp; Sherborne, L. (2024). The durability of conceptual versus factual knowledge: Implications for assessment design. Assessment in Education: Principles, Policy &amp; Practice, 31(4), 412–430.</w:t>
      </w:r>
    </w:p>
    <w:p>
      <w:pPr>
        <w:spacing w:after="160" w:line="276"/>
        <w:ind w:left="720" w:hanging="720"/>
      </w:pPr>
      <w:r>
        <w:rPr>
          <w:rFonts w:ascii="Arial" w:cs="Arial" w:eastAsia="Arial" w:hAnsi="Arial"/>
          <w:sz w:val="22"/>
          <w:szCs w:val="22"/>
        </w:rPr>
        <w:t xml:space="preserve">Huber, M., &amp; Niklaus, C. (2025). LLMs meet Bloom's Taxonomy: A cognitive complexity analysis of LLM benchmarks. In Proceedings of the 31st International Conference on Computational Linguistics (COLING), 1–15.</w:t>
      </w:r>
    </w:p>
    <w:p>
      <w:pPr>
        <w:spacing w:after="160" w:line="276"/>
        <w:ind w:left="720" w:hanging="720"/>
      </w:pPr>
      <w:r>
        <w:rPr>
          <w:rFonts w:ascii="Arial" w:cs="Arial" w:eastAsia="Arial" w:hAnsi="Arial"/>
          <w:sz w:val="22"/>
          <w:szCs w:val="22"/>
        </w:rPr>
        <w:t xml:space="preserve">İzci, K., &amp; Açıkgöz Akkoç, A. (2023). The effectiveness of concept mapping on student learning: A meta-analysis of 78 studies. Review of Education, 11(1), e3386.</w:t>
      </w:r>
    </w:p>
    <w:p>
      <w:pPr>
        <w:spacing w:after="160" w:line="276"/>
        <w:ind w:left="720" w:hanging="720"/>
      </w:pPr>
      <w:r>
        <w:rPr>
          <w:rFonts w:ascii="Arial" w:cs="Arial" w:eastAsia="Arial" w:hAnsi="Arial"/>
          <w:sz w:val="22"/>
          <w:szCs w:val="22"/>
        </w:rPr>
        <w:t xml:space="preserve">Joseph, R., &amp; Varghese, S. M. (2025). BERT+GRU hybrid model for automatic short answer grading. Neural Computing and Applications, 37(4), 2341–2355.</w:t>
      </w:r>
    </w:p>
    <w:p>
      <w:pPr>
        <w:spacing w:after="160" w:line="276"/>
        <w:ind w:left="720" w:hanging="720"/>
      </w:pPr>
      <w:r>
        <w:rPr>
          <w:rFonts w:ascii="Arial" w:cs="Arial" w:eastAsia="Arial" w:hAnsi="Arial"/>
          <w:sz w:val="22"/>
          <w:szCs w:val="22"/>
        </w:rPr>
        <w:t xml:space="preserve">Krisnawati, L. D., Saragi, R. M., &amp; Listiana, L. (2025). Cross-prompt automatic short answer grading: Generalization across question types. Natural Language Engineering, 31(1), 78–96.</w:t>
      </w:r>
    </w:p>
    <w:p>
      <w:pPr>
        <w:spacing w:after="160" w:line="276"/>
        <w:ind w:left="720" w:hanging="720"/>
      </w:pPr>
      <w:r>
        <w:rPr>
          <w:rFonts w:ascii="Arial" w:cs="Arial" w:eastAsia="Arial" w:hAnsi="Arial"/>
          <w:sz w:val="22"/>
          <w:szCs w:val="22"/>
        </w:rPr>
        <w:t xml:space="preserve">Li, Z., Xie, Q., Wang, X., &amp; Chen, J. (2023). AERA: Distilling ChatGPT for explainable assessment of student responses. In Proceedings of the 2023 Conference on Empirical Methods in Natural Language Processing (EMNLP), 12890–12905.</w:t>
      </w:r>
    </w:p>
    <w:p>
      <w:pPr>
        <w:spacing w:after="160" w:line="276"/>
        <w:ind w:left="720" w:hanging="720"/>
      </w:pPr>
      <w:r>
        <w:rPr>
          <w:rFonts w:ascii="Arial" w:cs="Arial" w:eastAsia="Arial" w:hAnsi="Arial"/>
          <w:sz w:val="22"/>
          <w:szCs w:val="22"/>
        </w:rPr>
        <w:t xml:space="preserve">Maddigan, P., &amp; Susnjak, T. (2023). Chat2VIS: Generating data visualizations via natural language using ChatGPT, Codex, and GPT-4. IEEE Access, 11, 45181–45193.</w:t>
      </w:r>
    </w:p>
    <w:p>
      <w:pPr>
        <w:spacing w:after="160" w:line="276"/>
        <w:ind w:left="720" w:hanging="720"/>
      </w:pPr>
      <w:r>
        <w:rPr>
          <w:rFonts w:ascii="Arial" w:cs="Arial" w:eastAsia="Arial" w:hAnsi="Arial"/>
          <w:sz w:val="22"/>
          <w:szCs w:val="22"/>
        </w:rPr>
        <w:t xml:space="preserve">Meyer, S., Bexte, M., Horbach, A., &amp; Zesch, T. (2024). ASAG2024: A unified benchmark for automatic short answer grading across seven datasets. In Proceedings of the 2024 Conference on Empirical Methods in Natural Language Processing (EMNLP), 1–14.</w:t>
      </w:r>
    </w:p>
    <w:p>
      <w:pPr>
        <w:spacing w:after="160" w:line="276"/>
        <w:ind w:left="720" w:hanging="720"/>
      </w:pPr>
      <w:r>
        <w:rPr>
          <w:rFonts w:ascii="Arial" w:cs="Arial" w:eastAsia="Arial" w:hAnsi="Arial"/>
          <w:sz w:val="22"/>
          <w:szCs w:val="22"/>
        </w:rPr>
        <w:t xml:space="preserve">Narechania, A., Srinivasan, A., &amp; Stasko, J. (2020). NL4DV: A toolkit for generating analytic specifications for data visualization from natural language queries. IEEE Transactions on Visualization and Computer Graphics, 27(2), 369–379.</w:t>
      </w:r>
    </w:p>
    <w:p>
      <w:pPr>
        <w:spacing w:after="160" w:line="276"/>
        <w:ind w:left="720" w:hanging="720"/>
      </w:pPr>
      <w:r>
        <w:rPr>
          <w:rFonts w:ascii="Arial" w:cs="Arial" w:eastAsia="Arial" w:hAnsi="Arial"/>
          <w:sz w:val="22"/>
          <w:szCs w:val="22"/>
        </w:rPr>
        <w:t xml:space="preserve">Pailai, J., Wunnasri, W., Yoshida, K., Hayashi, Y., &amp; Hirashima, T. (2018). Kit-Build concept map: Automatic assessment using correctness and confidence as a two-dimensional diagnostic space. Research and Practice in Technology Enhanced Learning, 13, Article 2.</w:t>
      </w:r>
    </w:p>
    <w:p>
      <w:pPr>
        <w:spacing w:after="160" w:line="276"/>
        <w:ind w:left="720" w:hanging="720"/>
      </w:pPr>
      <w:r>
        <w:rPr>
          <w:rFonts w:ascii="Arial" w:cs="Arial" w:eastAsia="Arial" w:hAnsi="Arial"/>
          <w:sz w:val="22"/>
          <w:szCs w:val="22"/>
        </w:rPr>
        <w:t xml:space="preserve">Sil, A., Gupta, S., &amp; Roy, S. (2025). MMSAF: Multimodal short answer feedback with diagram and equation understanding. In Proceedings of the International Conference on Artificial Intelligence in Education (AIED), 1–12.</w:t>
      </w:r>
    </w:p>
    <w:p>
      <w:pPr>
        <w:spacing w:after="160" w:line="276"/>
        <w:ind w:left="720" w:hanging="720"/>
      </w:pPr>
      <w:r>
        <w:rPr>
          <w:rFonts w:ascii="Arial" w:cs="Arial" w:eastAsia="Arial" w:hAnsi="Arial"/>
          <w:sz w:val="22"/>
          <w:szCs w:val="22"/>
        </w:rPr>
        <w:t xml:space="preserve">Somers, R., Cunningham-Nelson, S., &amp; Boles, W. (2021). Using NLP to identify conceptual understanding in student responses: Efficiency and accuracy with small training sets. Australasian Journal of Educational Technology, 37(2), 1–14.</w:t>
      </w:r>
    </w:p>
    <w:p>
      <w:pPr>
        <w:spacing w:after="160" w:line="276"/>
        <w:ind w:left="720" w:hanging="720"/>
      </w:pPr>
      <w:r>
        <w:rPr>
          <w:rFonts w:ascii="Arial" w:cs="Arial" w:eastAsia="Arial" w:hAnsi="Arial"/>
          <w:sz w:val="22"/>
          <w:szCs w:val="22"/>
        </w:rPr>
        <w:t xml:space="preserve">Yang, L., Chen, H., Li, Z., Xiao, D., &amp; Agrawal, D. (2024). Graphusion: LLM-assisted knowledge graph construction with the TutorQA benchmark. arXiv preprint arXiv:2410.00001.</w:t>
      </w:r>
    </w:p>
    <w:p>
      <w:pPr>
        <w:spacing w:after="160" w:line="276"/>
        <w:ind w:left="720" w:hanging="720"/>
      </w:pPr>
      <w:r>
        <w:rPr>
          <w:rFonts w:ascii="Arial" w:cs="Arial" w:eastAsia="Arial" w:hAnsi="Arial"/>
          <w:sz w:val="22"/>
          <w:szCs w:val="22"/>
        </w:rPr>
        <w:t xml:space="preserve">Yu, J., Wang, C., He, T., &amp; Li, M. (2021). MOOCCube: A large-scale data repository for NLP applications in education. In Proceedings of the 59th Annual Meeting of the ACL, 3135–3142.</w:t>
      </w:r>
    </w:p>
    <w:p>
      <w:pPr>
        <w:spacing w:after="160" w:line="276"/>
        <w:ind w:left="720" w:hanging="720"/>
      </w:pPr>
      <w:r>
        <w:rPr>
          <w:rFonts w:ascii="Arial" w:cs="Arial" w:eastAsia="Arial" w:hAnsi="Arial"/>
          <w:sz w:val="22"/>
          <w:szCs w:val="22"/>
        </w:rPr>
        <w:t xml:space="preserve">Zhang, Y. (2025). Knowledge graph-enhanced automated writing assessment using graph neural networks. Computers and Education: Artificial Intelligence, 8, 100–310.</w:t>
      </w:r>
    </w:p>
    <w:p>
      <w:pPr>
        <w:spacing w:after="160" w:line="276"/>
        <w:ind w:left="720" w:hanging="720"/>
      </w:pPr>
      <w:r>
        <w:rPr>
          <w:rFonts w:ascii="Arial" w:cs="Arial" w:eastAsia="Arial" w:hAnsi="Arial"/>
          <w:sz w:val="22"/>
          <w:szCs w:val="22"/>
        </w:rPr>
        <w:t xml:space="preserve">Zhao, W., Han, Z., &amp; Wang, S. (2025). Few-shot LLM grading with RAG-based example selection: Balancing accuracy and cost. In Proceedings of the International Conference on Artificial Intelligence in Education (AIED), 1–12.</w:t>
      </w:r>
    </w:p>
    <w:sectPr>
      <w:headerReference w:type="default" r:id="rId13"/>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Research Proposal — Concept-Aware Student Assessment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Research Proposal — Concept-Aware Student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74D"/>
      <w:sz w:val="56"/>
      <w:szCs w:val="56"/>
    </w:rPr>
  </w:style>
  <w:style w:type="paragraph" w:styleId="Heading2">
    <w:name w:val="Heading 2"/>
    <w:basedOn w:val="Normal"/>
    <w:next w:val="Normal"/>
    <w:qFormat/>
    <w:pPr>
      <w:spacing w:after="160" w:before="280"/>
      <w:outlineLvl w:val="1"/>
    </w:pPr>
    <w:rPr>
      <w:rFonts w:ascii="Arial" w:cs="Arial" w:eastAsia="Arial" w:hAnsi="Arial"/>
      <w:b/>
      <w:bCs/>
      <w:color w:val="28251D"/>
      <w:sz w:val="44"/>
      <w:szCs w:val="44"/>
    </w:rPr>
  </w:style>
  <w:style w:type="paragraph" w:styleId="Heading3">
    <w:name w:val="Heading 3"/>
    <w:basedOn w:val="Normal"/>
    <w:next w:val="Normal"/>
    <w:qFormat/>
    <w:pPr>
      <w:spacing w:after="120" w:before="240"/>
      <w:outlineLvl w:val="2"/>
    </w:pPr>
    <w:rPr>
      <w:rFonts w:ascii="Arial" w:cs="Arial" w:eastAsia="Arial" w:hAnsi="Arial"/>
      <w:b/>
      <w:bCs/>
      <w:color w:val="28251D"/>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2026-03-20T12:20:58.351Z</dcterms:created>
  <dcterms:modified xsi:type="dcterms:W3CDTF">2026-03-20T12:20:58.351Z</dcterms:modified>
</cp:coreProperties>
</file>

<file path=docProps/custom.xml><?xml version="1.0" encoding="utf-8"?>
<Properties xmlns="http://schemas.openxmlformats.org/officeDocument/2006/custom-properties" xmlns:vt="http://schemas.openxmlformats.org/officeDocument/2006/docPropsVTypes"/>
</file>