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exact" w:line="400"/>
        <w:jc w:val="center"/>
      </w:pPr>
      <w:r>
        <w:rPr>
          <w:rFonts w:ascii="Times New Roman" w:hAnsi="Times New Roman"/>
          <w:b/>
          <w:i w:val="0"/>
          <w:sz w:val="30"/>
        </w:rPr>
        <w:t>ConceptGrade: A Knowledge Graph-Driven Framework for</w:t>
        <w:br/>
        <w:t>Concept-Aware Automated Short Answer Grading</w:t>
        <w:br/>
        <w:t>in Computer Science Education</w:t>
      </w:r>
    </w:p>
    <w:p>
      <w:pPr>
        <w:spacing w:before="0" w:after="40" w:lineRule="exact" w:line="280"/>
        <w:jc w:val="center"/>
      </w:pPr>
      <w:r>
        <w:rPr>
          <w:rFonts w:ascii="Times New Roman" w:hAnsi="Times New Roman"/>
          <w:b w:val="0"/>
          <w:i w:val="0"/>
          <w:sz w:val="22"/>
        </w:rPr>
        <w:t>Brahmaji Katragadda</w:t>
      </w:r>
    </w:p>
    <w:p>
      <w:pPr>
        <w:spacing w:before="0" w:after="40" w:lineRule="exact" w:line="240"/>
        <w:jc w:val="center"/>
      </w:pPr>
      <w:r>
        <w:rPr>
          <w:rFonts w:ascii="Times New Roman" w:hAnsi="Times New Roman"/>
          <w:b w:val="0"/>
          <w:i/>
          <w:sz w:val="18"/>
        </w:rPr>
        <w:t>Department of Computer Science, [University Name], [City, Country]</w:t>
        <w:br/>
        <w:t>b.katragadda@[university.edu]</w:t>
      </w:r>
    </w:p>
    <w:p>
      <w:pPr>
        <w:spacing w:before="120" w:after="80" w:lineRule="exact" w:line="120"/>
        <w:pBdr>
          <w:bottom w:val="single" w:sz="6" w:space="1" w:color="000000"/>
        </w:pBdr>
      </w:pPr>
    </w:p>
    <w:p>
      <w:pPr>
        <w:spacing w:before="0" w:after="40" w:lineRule="exact" w:line="220"/>
        <w:ind w:left="340" w:right="340"/>
        <w:jc w:val="both"/>
      </w:pPr>
      <w:r>
        <w:rPr>
          <w:rFonts w:ascii="Times New Roman" w:hAnsi="Times New Roman"/>
          <w:b/>
          <w:i/>
          <w:sz w:val="18"/>
        </w:rPr>
        <w:t>Abstract—</w:t>
      </w:r>
      <w:r>
        <w:rPr>
          <w:rFonts w:ascii="Times New Roman" w:hAnsi="Times New Roman"/>
          <w:b w:val="0"/>
          <w:i/>
          <w:sz w:val="18"/>
        </w:rPr>
        <w:t>Grading short-answer questions in computer science courses is time-consuming and hard to scale. We present ConceptGrade, a five-layer grading system that builds a concept graph from each student response and compares it against an expert domain knowledge graph (KG). The pipeline works in five steps: (1) an LLM extracts concepts and relationships from the student text; (2) a KG comparator measures how well those concepts match the expected answer; (3) a cognitive-depth classifier assigns Bloom and SOLO taxonomy levels; (4) a misconception detector checks against a 16-entry validated error taxonomy; and (5) a score synthesiser produces a final grade. The Data Structures domain KG contains 101 concepts and 138 typed relationships. On a 30-sample subset of the Mohler et al. (2011) CS benchmark, ConceptGrade achieves Pearson r = 0.954 (95 % CI: [0.922, 0.974]), QWK = 0.721 (CI: [0.566, 0.829]), and RMSE = 0.946 — significantly better than a TF-IDF baseline (r = 0.578, p &lt; 10⁻⁵) and an LLM zero-shot proxy (r = 0.878, p &lt; 10⁻⁵). An ablation study shows that removing concept coverage causes the largest drop (ΔQWK = −0.416), confirming that knowledge-graph grounding is the key driver of accuracy.</w:t>
      </w:r>
    </w:p>
    <w:p>
      <w:pPr>
        <w:spacing w:before="0" w:after="80" w:lineRule="exact" w:line="220"/>
        <w:ind w:left="340" w:right="340"/>
        <w:jc w:val="both"/>
      </w:pPr>
      <w:r>
        <w:rPr>
          <w:rFonts w:ascii="Times New Roman" w:hAnsi="Times New Roman"/>
          <w:b/>
          <w:i/>
          <w:sz w:val="17"/>
        </w:rPr>
        <w:t>Index Terms—</w:t>
      </w:r>
      <w:r>
        <w:rPr>
          <w:rFonts w:ascii="Times New Roman" w:hAnsi="Times New Roman"/>
          <w:b w:val="0"/>
          <w:i/>
          <w:sz w:val="17"/>
        </w:rPr>
        <w:t>automated short answer grading, knowledge graph, LLM concept extraction, Bloom's taxonomy, SOLO taxonomy, CS education, NLP.</w:t>
      </w:r>
    </w:p>
    <w:p>
      <w:pPr>
        <w:spacing w:before="40" w:after="120" w:lineRule="exact" w:line="120"/>
        <w:pBdr>
          <w:bottom w:val="single" w:sz="6" w:space="1" w:color="000000"/>
        </w:pBdr>
      </w:pPr>
    </w:p>
    <w:p>
      <w:pPr>
        <w:spacing w:before="0" w:after="0" w:lineRule="exact" w:line="120"/>
        <w:sectPr>
          <w:type w:val="continuous"/>
          <w:cols w:num="1"/>
        </w:sectPr>
      </w:pPr>
    </w:p>
    <w:p>
      <w:pPr>
        <w:spacing w:before="140" w:after="40" w:lineRule="exact" w:line="240"/>
        <w:jc w:val="center"/>
      </w:pPr>
      <w:r>
        <w:rPr>
          <w:rFonts w:ascii="Times New Roman" w:hAnsi="Times New Roman"/>
          <w:b/>
          <w:i w:val="0"/>
          <w:sz w:val="20"/>
        </w:rPr>
        <w:t>I. INTRODUCTION</w:t>
      </w:r>
    </w:p>
    <w:p>
      <w:pPr>
        <w:spacing w:before="0" w:after="40" w:lineRule="exact" w:line="220"/>
        <w:jc w:val="both"/>
      </w:pPr>
      <w:r>
        <w:rPr>
          <w:rFonts w:ascii="Times New Roman" w:hAnsi="Times New Roman"/>
          <w:b w:val="0"/>
          <w:i w:val="0"/>
          <w:sz w:val="18"/>
        </w:rPr>
        <w:t>Large computer science classes often use short-answer questions to test conceptual understanding. Marking these by hand is slow, inconsistent, and gives students feedback too late to be useful. Automated grading systems must not only match the score a human would assign, but also explain which concepts the student understood and which they missed.</w:t>
      </w:r>
    </w:p>
    <w:p>
      <w:pPr>
        <w:spacing w:before="0" w:after="40" w:lineRule="exact" w:line="220"/>
        <w:jc w:val="both"/>
      </w:pPr>
      <w:r>
        <w:rPr>
          <w:rFonts w:ascii="Times New Roman" w:hAnsi="Times New Roman"/>
          <w:b w:val="0"/>
          <w:i w:val="0"/>
          <w:sz w:val="18"/>
        </w:rPr>
        <w:t>Earlier grading systems took three main approaches. Lexical methods compare the student answer to a model answer using TF-IDF cosine similarity [1]. Embedding methods encode both answers as dense vectors and compare them [3, 4]. Most recently, LLMs are prompted to produce a grade directly [12, 13]. Each step brings higher correlation with human grades, but none keeps an explicit record of what the student knows: they give a score but cannot say which concepts are present, which are missing, or whether there is a misconception.</w:t>
      </w:r>
    </w:p>
    <w:p>
      <w:pPr>
        <w:spacing w:before="0" w:after="40" w:lineRule="exact" w:line="220"/>
        <w:jc w:val="both"/>
      </w:pPr>
      <w:r>
        <w:rPr>
          <w:rFonts w:ascii="Times New Roman" w:hAnsi="Times New Roman"/>
          <w:b w:val="0"/>
          <w:i w:val="0"/>
          <w:sz w:val="18"/>
        </w:rPr>
        <w:t>ConceptGrade fixes this by treating grading as a knowledge-graph matching task. Each response is converted into a typed concept graph by an LLM; that graph is compared against an expert domain knowledge graph to measure conceptual coverage, structural connections, and relationship correctness.</w:t>
      </w:r>
    </w:p>
    <w:p>
      <w:pPr>
        <w:spacing w:before="0" w:after="40" w:lineRule="exact" w:line="220"/>
        <w:jc w:val="both"/>
      </w:pPr>
      <w:r>
        <w:rPr>
          <w:rFonts w:ascii="Times New Roman" w:hAnsi="Times New Roman"/>
          <w:b w:val="0"/>
          <w:i w:val="0"/>
          <w:sz w:val="18"/>
        </w:rPr>
        <w:t>This paper makes the following contributions:</w:t>
      </w:r>
    </w:p>
    <w:p>
      <w:pPr>
        <w:spacing w:before="0" w:after="40" w:lineRule="exact" w:line="220"/>
        <w:ind w:left="227"/>
        <w:jc w:val="both"/>
      </w:pPr>
      <w:r>
        <w:rPr>
          <w:rFonts w:ascii="Times New Roman" w:hAnsi="Times New Roman"/>
          <w:b w:val="0"/>
          <w:i w:val="0"/>
          <w:sz w:val="18"/>
        </w:rPr>
        <w:t>1)  A five-stage grading pipeline: concept extraction, KG comparison, cognitive depth, misconception detection, and score synthesis.</w:t>
      </w:r>
    </w:p>
    <w:p>
      <w:pPr>
        <w:spacing w:before="0" w:after="40" w:lineRule="exact" w:line="220"/>
        <w:ind w:left="227"/>
        <w:jc w:val="both"/>
      </w:pPr>
      <w:r>
        <w:rPr>
          <w:rFonts w:ascii="Times New Roman" w:hAnsi="Times New Roman"/>
          <w:b w:val="0"/>
          <w:i w:val="0"/>
          <w:sz w:val="18"/>
        </w:rPr>
        <w:t>2)  A hand-built Data Structures KG with 101 concepts and 138 typed relationships across 11 relation categories.</w:t>
      </w:r>
    </w:p>
    <w:p>
      <w:pPr>
        <w:spacing w:before="0" w:after="40" w:lineRule="exact" w:line="220"/>
        <w:ind w:left="227"/>
        <w:jc w:val="both"/>
      </w:pPr>
      <w:r>
        <w:rPr>
          <w:rFonts w:ascii="Times New Roman" w:hAnsi="Times New Roman"/>
          <w:b w:val="0"/>
          <w:i w:val="0"/>
          <w:sz w:val="18"/>
        </w:rPr>
        <w:t>3)  A hybrid LLM + rule-based extractor mapping surface text to canonical KG identifiers.</w:t>
      </w:r>
    </w:p>
    <w:p>
      <w:pPr>
        <w:spacing w:before="0" w:after="40" w:lineRule="exact" w:line="220"/>
        <w:ind w:left="227"/>
        <w:jc w:val="both"/>
      </w:pPr>
      <w:r>
        <w:rPr>
          <w:rFonts w:ascii="Times New Roman" w:hAnsi="Times New Roman"/>
          <w:b w:val="0"/>
          <w:i w:val="0"/>
          <w:sz w:val="18"/>
        </w:rPr>
        <w:t>4)  A KG comparator producing three interpretable scores and plain-English student feedback.</w:t>
      </w:r>
    </w:p>
    <w:p>
      <w:pPr>
        <w:spacing w:before="0" w:after="40" w:lineRule="exact" w:line="220"/>
        <w:ind w:left="227"/>
        <w:jc w:val="both"/>
      </w:pPr>
      <w:r>
        <w:rPr>
          <w:rFonts w:ascii="Times New Roman" w:hAnsi="Times New Roman"/>
          <w:b w:val="0"/>
          <w:i w:val="0"/>
          <w:sz w:val="18"/>
        </w:rPr>
        <w:t>5)  Evaluation with 95% bootstrap CIs and Wilcoxon tests on the Mohler benchmark.</w:t>
      </w:r>
    </w:p>
    <w:p>
      <w:pPr>
        <w:spacing w:before="0" w:after="40" w:lineRule="exact" w:line="220"/>
        <w:ind w:left="227"/>
        <w:jc w:val="both"/>
      </w:pPr>
      <w:r>
        <w:rPr>
          <w:rFonts w:ascii="Times New Roman" w:hAnsi="Times New Roman"/>
          <w:b w:val="0"/>
          <w:i w:val="0"/>
          <w:sz w:val="18"/>
        </w:rPr>
        <w:t>6)  A seven-condition ablation study quantifying each component's contribution.</w:t>
      </w:r>
    </w:p>
    <w:p>
      <w:pPr>
        <w:spacing w:before="120" w:after="40" w:line="240" w:lineRule="auto"/>
        <w:jc w:val="center"/>
      </w:pPr>
      <w:r>
        <w:drawing>
          <wp:inline xmlns:a="http://schemas.openxmlformats.org/drawingml/2006/main" xmlns:pic="http://schemas.openxmlformats.org/drawingml/2006/picture">
            <wp:extent cx="2834640" cy="160811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834640" cy="1608113"/>
                    </a:xfrm>
                    <a:prstGeom prst="rect"/>
                  </pic:spPr>
                </pic:pic>
              </a:graphicData>
            </a:graphic>
          </wp:inline>
        </w:drawing>
      </w:r>
    </w:p>
    <w:p>
      <w:pPr>
        <w:spacing w:before="20" w:after="120" w:line="240" w:lineRule="auto"/>
        <w:jc w:val="center"/>
      </w:pPr>
      <w:r>
        <w:rPr>
          <w:rFonts w:ascii="Times New Roman" w:hAnsi="Times New Roman"/>
          <w:b w:val="0"/>
          <w:i/>
          <w:sz w:val="16"/>
        </w:rPr>
        <w:t>Fig. 1. ConceptGrade five-layer pipeline. Student responses flow through concept extraction, KG comparison, cognitive depth, misconception detection, and score synthesis.</w:t>
      </w:r>
    </w:p>
    <w:p>
      <w:pPr>
        <w:spacing w:before="140" w:after="40" w:lineRule="exact" w:line="240"/>
        <w:jc w:val="center"/>
      </w:pPr>
      <w:r>
        <w:rPr>
          <w:rFonts w:ascii="Times New Roman" w:hAnsi="Times New Roman"/>
          <w:b/>
          <w:i w:val="0"/>
          <w:sz w:val="20"/>
        </w:rPr>
        <w:t>II. BACKGROUND AND RELATED WORK</w:t>
      </w:r>
    </w:p>
    <w:p>
      <w:pPr>
        <w:spacing w:before="80" w:after="20" w:lineRule="exact" w:line="220"/>
        <w:jc w:val="left"/>
      </w:pPr>
      <w:r>
        <w:rPr>
          <w:rFonts w:ascii="Times New Roman" w:hAnsi="Times New Roman"/>
          <w:b/>
          <w:i/>
          <w:sz w:val="18"/>
        </w:rPr>
        <w:t>A. Automated Short Answer Grading</w:t>
      </w:r>
    </w:p>
    <w:p>
      <w:pPr>
        <w:spacing w:before="0" w:after="40" w:lineRule="exact" w:line="220"/>
        <w:jc w:val="both"/>
      </w:pPr>
      <w:r>
        <w:rPr>
          <w:rFonts w:ascii="Times New Roman" w:hAnsi="Times New Roman"/>
          <w:b w:val="0"/>
          <w:i w:val="0"/>
          <w:sz w:val="18"/>
        </w:rPr>
        <w:t>Mohler and Mihalcea [1] created a widely used CS ASAG benchmark and showed that graph-based text similarity slightly outperforms lexical methods. Later work added supervised regression over lexical and semantic features [2, 5]. BERT narrowed the gap between automated and human scores [3], and fine-tuned transformers now lead standard benchmarks [4, 6]. Generative LLMs used as direct graders show good average correlation but can be inconsistent across prompt variations [12, 13]. No prior CS ASAG work uses an explicit knowledge structure from the student response as the primary grading signal.</w:t>
      </w:r>
    </w:p>
    <w:p>
      <w:pPr>
        <w:spacing w:before="80" w:after="20" w:lineRule="exact" w:line="220"/>
        <w:jc w:val="left"/>
      </w:pPr>
      <w:r>
        <w:rPr>
          <w:rFonts w:ascii="Times New Roman" w:hAnsi="Times New Roman"/>
          <w:b/>
          <w:i/>
          <w:sz w:val="18"/>
        </w:rPr>
        <w:t>B. Knowledge Graphs in Education</w:t>
      </w:r>
    </w:p>
    <w:p>
      <w:pPr>
        <w:spacing w:before="0" w:after="40" w:lineRule="exact" w:line="220"/>
        <w:jc w:val="both"/>
      </w:pPr>
      <w:r>
        <w:rPr>
          <w:rFonts w:ascii="Times New Roman" w:hAnsi="Times New Roman"/>
          <w:b w:val="0"/>
          <w:i w:val="0"/>
          <w:sz w:val="18"/>
        </w:rPr>
        <w:t>Knowledge graphs have been used to model prerequisite relationships between concepts [10] and to power adaptive tutoring [9]. Concept-map assessment -- comparing student-drawn node-link diagrams against an expert map [11] -- is the closest prior work. ConceptGrade extends this to free-text answers: we infer an equivalent graph automatically from the written response.</w:t>
      </w:r>
    </w:p>
    <w:p>
      <w:pPr>
        <w:spacing w:before="80" w:after="20" w:lineRule="exact" w:line="220"/>
        <w:jc w:val="left"/>
      </w:pPr>
      <w:r>
        <w:rPr>
          <w:rFonts w:ascii="Times New Roman" w:hAnsi="Times New Roman"/>
          <w:b/>
          <w:i/>
          <w:sz w:val="18"/>
        </w:rPr>
        <w:t>C. Bloom's and SOLO Taxonomies</w:t>
      </w:r>
    </w:p>
    <w:p>
      <w:pPr>
        <w:spacing w:before="0" w:after="40" w:lineRule="exact" w:line="220"/>
        <w:jc w:val="both"/>
      </w:pPr>
      <w:r>
        <w:rPr>
          <w:rFonts w:ascii="Times New Roman" w:hAnsi="Times New Roman"/>
          <w:b w:val="0"/>
          <w:i w:val="0"/>
          <w:sz w:val="18"/>
        </w:rPr>
        <w:t>Emirtekin and Ozarslan [14] showed LLMs can classify responses by Bloom's level with QWK ≈ 0.59–0.64 under zero-shot conditions. The SOLO taxonomy [15], which measures structural complexity of a response, has received much less attention in automated systems. No published system performs SOLO classification from free-text CS responses. ConceptGrade introduces this as part of its cognitive depth layer.</w:t>
      </w:r>
    </w:p>
    <w:p>
      <w:pPr>
        <w:spacing w:before="140" w:after="40" w:lineRule="exact" w:line="240"/>
        <w:jc w:val="center"/>
      </w:pPr>
      <w:r>
        <w:rPr>
          <w:rFonts w:ascii="Times New Roman" w:hAnsi="Times New Roman"/>
          <w:b/>
          <w:i w:val="0"/>
          <w:sz w:val="20"/>
        </w:rPr>
        <w:t>III. SYSTEM DESIGN</w:t>
      </w:r>
    </w:p>
    <w:p>
      <w:pPr>
        <w:spacing w:before="80" w:after="20" w:lineRule="exact" w:line="220"/>
        <w:jc w:val="left"/>
      </w:pPr>
      <w:r>
        <w:rPr>
          <w:rFonts w:ascii="Times New Roman" w:hAnsi="Times New Roman"/>
          <w:b/>
          <w:i/>
          <w:sz w:val="18"/>
        </w:rPr>
        <w:t>A. Expert Domain Knowledge Graph</w:t>
      </w:r>
    </w:p>
    <w:p>
      <w:pPr>
        <w:spacing w:before="0" w:after="40" w:lineRule="exact" w:line="220"/>
        <w:jc w:val="both"/>
      </w:pPr>
      <w:r>
        <w:rPr>
          <w:rFonts w:ascii="Times New Roman" w:hAnsi="Times New Roman"/>
          <w:b w:val="0"/>
          <w:i w:val="0"/>
          <w:sz w:val="18"/>
        </w:rPr>
        <w:t>The Data Structures KG follows three design rules: (i) pedagogical coverage -- every concept in a standard introductory CS course is included; (ii) canonical identifiers -- each concept has a unique ID plus surface-form aliases for normalisation; (iii) typed relationships -- edges carry explicit semantic labels rather than plain links.</w:t>
      </w:r>
    </w:p>
    <w:p>
      <w:pPr>
        <w:spacing w:before="80" w:after="20" w:lineRule="exact" w:line="200"/>
        <w:jc w:val="center"/>
      </w:pPr>
      <w:r>
        <w:rPr>
          <w:rFonts w:ascii="Times New Roman" w:hAnsi="Times New Roman"/>
          <w:b/>
          <w:i w:val="0"/>
          <w:sz w:val="16"/>
        </w:rPr>
        <w:t>TABLE I.  Concept Type Distribution (101 Concepts)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val="clear" w:color="auto" w:fill="D7D7D7"/>
          </w:tcPr>
          <w:p>
            <w:pPr>
              <w:spacing w:before="0" w:after="0" w:lineRule="exact" w:line="200"/>
              <w:jc w:val="center"/>
            </w:pPr>
            <w:r/>
            <w:r>
              <w:rPr>
                <w:rFonts w:ascii="Times New Roman" w:hAnsi="Times New Roman"/>
                <w:b/>
                <w:i w:val="0"/>
                <w:sz w:val="15"/>
              </w:rPr>
              <w:t>Concept Type</w:t>
            </w:r>
          </w:p>
        </w:tc>
        <w:tc>
          <w:tcPr>
            <w:tcW w:type="dxa" w:w="504"/>
            <w:shd w:val="clear" w:color="auto" w:fill="D7D7D7"/>
          </w:tcPr>
          <w:p>
            <w:pPr>
              <w:spacing w:before="0" w:after="0" w:lineRule="exact" w:line="200"/>
              <w:jc w:val="center"/>
            </w:pPr>
            <w:r/>
            <w:r>
              <w:rPr>
                <w:rFonts w:ascii="Times New Roman" w:hAnsi="Times New Roman"/>
                <w:b/>
                <w:i w:val="0"/>
                <w:sz w:val="15"/>
              </w:rPr>
              <w:t>Ct.</w:t>
            </w:r>
          </w:p>
        </w:tc>
        <w:tc>
          <w:tcPr>
            <w:tcW w:type="dxa" w:w="2304"/>
            <w:shd w:val="clear" w:color="auto" w:fill="D7D7D7"/>
          </w:tcPr>
          <w:p>
            <w:pPr>
              <w:spacing w:before="0" w:after="0" w:lineRule="exact" w:line="200"/>
              <w:jc w:val="center"/>
            </w:pPr>
            <w:r/>
            <w:r>
              <w:rPr>
                <w:rFonts w:ascii="Times New Roman" w:hAnsi="Times New Roman"/>
                <w:b/>
                <w:i w:val="0"/>
                <w:sz w:val="15"/>
              </w:rPr>
              <w:t>Examples</w:t>
            </w:r>
          </w:p>
        </w:tc>
      </w:tr>
      <w:tr>
        <w:tc>
          <w:tcPr>
            <w:tcW w:type="dxa" w:w="1656"/>
          </w:tcPr>
          <w:p>
            <w:pPr>
              <w:spacing w:before="0" w:after="0" w:lineRule="exact" w:line="200"/>
              <w:jc w:val="left"/>
            </w:pPr>
            <w:r/>
            <w:r>
              <w:rPr>
                <w:rFonts w:ascii="Times New Roman" w:hAnsi="Times New Roman"/>
                <w:b w:val="0"/>
                <w:i w:val="0"/>
                <w:sz w:val="15"/>
              </w:rPr>
              <w:t>Algorithm</w:t>
            </w:r>
          </w:p>
        </w:tc>
        <w:tc>
          <w:tcPr>
            <w:tcW w:type="dxa" w:w="504"/>
          </w:tcPr>
          <w:p>
            <w:pPr>
              <w:spacing w:before="0" w:after="0" w:lineRule="exact" w:line="200"/>
              <w:jc w:val="center"/>
            </w:pPr>
            <w:r/>
            <w:r>
              <w:rPr>
                <w:rFonts w:ascii="Times New Roman" w:hAnsi="Times New Roman"/>
                <w:b w:val="0"/>
                <w:i w:val="0"/>
                <w:sz w:val="15"/>
              </w:rPr>
              <w:t>22</w:t>
            </w:r>
          </w:p>
        </w:tc>
        <w:tc>
          <w:tcPr>
            <w:tcW w:type="dxa" w:w="2304"/>
          </w:tcPr>
          <w:p>
            <w:pPr>
              <w:spacing w:before="0" w:after="0" w:lineRule="exact" w:line="200"/>
              <w:jc w:val="center"/>
            </w:pPr>
            <w:r/>
            <w:r>
              <w:rPr>
                <w:rFonts w:ascii="Times New Roman" w:hAnsi="Times New Roman"/>
                <w:b w:val="0"/>
                <w:i w:val="0"/>
                <w:sz w:val="15"/>
              </w:rPr>
              <w:t>merge_sort, bfs, dijkstra</w:t>
            </w:r>
          </w:p>
        </w:tc>
      </w:tr>
      <w:tr>
        <w:tc>
          <w:tcPr>
            <w:tcW w:type="dxa" w:w="1656"/>
          </w:tcPr>
          <w:p>
            <w:pPr>
              <w:spacing w:before="0" w:after="0" w:lineRule="exact" w:line="200"/>
              <w:jc w:val="left"/>
            </w:pPr>
            <w:r/>
            <w:r>
              <w:rPr>
                <w:rFonts w:ascii="Times New Roman" w:hAnsi="Times New Roman"/>
                <w:b w:val="0"/>
                <w:i w:val="0"/>
                <w:sz w:val="15"/>
              </w:rPr>
              <w:t>Data Structure</w:t>
            </w:r>
          </w:p>
        </w:tc>
        <w:tc>
          <w:tcPr>
            <w:tcW w:type="dxa" w:w="504"/>
          </w:tcPr>
          <w:p>
            <w:pPr>
              <w:spacing w:before="0" w:after="0" w:lineRule="exact" w:line="200"/>
              <w:jc w:val="center"/>
            </w:pPr>
            <w:r/>
            <w:r>
              <w:rPr>
                <w:rFonts w:ascii="Times New Roman" w:hAnsi="Times New Roman"/>
                <w:b w:val="0"/>
                <w:i w:val="0"/>
                <w:sz w:val="15"/>
              </w:rPr>
              <w:t>18</w:t>
            </w:r>
          </w:p>
        </w:tc>
        <w:tc>
          <w:tcPr>
            <w:tcW w:type="dxa" w:w="2304"/>
          </w:tcPr>
          <w:p>
            <w:pPr>
              <w:spacing w:before="0" w:after="0" w:lineRule="exact" w:line="200"/>
              <w:jc w:val="center"/>
            </w:pPr>
            <w:r/>
            <w:r>
              <w:rPr>
                <w:rFonts w:ascii="Times New Roman" w:hAnsi="Times New Roman"/>
                <w:b w:val="0"/>
                <w:i w:val="0"/>
                <w:sz w:val="15"/>
              </w:rPr>
              <w:t>stack, queue, binary_tree</w:t>
            </w:r>
          </w:p>
        </w:tc>
      </w:tr>
      <w:tr>
        <w:tc>
          <w:tcPr>
            <w:tcW w:type="dxa" w:w="1656"/>
          </w:tcPr>
          <w:p>
            <w:pPr>
              <w:spacing w:before="0" w:after="0" w:lineRule="exact" w:line="200"/>
              <w:jc w:val="left"/>
            </w:pPr>
            <w:r/>
            <w:r>
              <w:rPr>
                <w:rFonts w:ascii="Times New Roman" w:hAnsi="Times New Roman"/>
                <w:b w:val="0"/>
                <w:i w:val="0"/>
                <w:sz w:val="15"/>
              </w:rPr>
              <w:t>Abstract Concept</w:t>
            </w:r>
          </w:p>
        </w:tc>
        <w:tc>
          <w:tcPr>
            <w:tcW w:type="dxa" w:w="504"/>
          </w:tcPr>
          <w:p>
            <w:pPr>
              <w:spacing w:before="0" w:after="0" w:lineRule="exact" w:line="200"/>
              <w:jc w:val="center"/>
            </w:pPr>
            <w:r/>
            <w:r>
              <w:rPr>
                <w:rFonts w:ascii="Times New Roman" w:hAnsi="Times New Roman"/>
                <w:b w:val="0"/>
                <w:i w:val="0"/>
                <w:sz w:val="15"/>
              </w:rPr>
              <w:t>15</w:t>
            </w:r>
          </w:p>
        </w:tc>
        <w:tc>
          <w:tcPr>
            <w:tcW w:type="dxa" w:w="2304"/>
          </w:tcPr>
          <w:p>
            <w:pPr>
              <w:spacing w:before="0" w:after="0" w:lineRule="exact" w:line="200"/>
              <w:jc w:val="center"/>
            </w:pPr>
            <w:r/>
            <w:r>
              <w:rPr>
                <w:rFonts w:ascii="Times New Roman" w:hAnsi="Times New Roman"/>
                <w:b w:val="0"/>
                <w:i w:val="0"/>
                <w:sz w:val="15"/>
              </w:rPr>
              <w:t>recursion, pointer, node</w:t>
            </w:r>
          </w:p>
        </w:tc>
      </w:tr>
      <w:tr>
        <w:tc>
          <w:tcPr>
            <w:tcW w:type="dxa" w:w="1656"/>
          </w:tcPr>
          <w:p>
            <w:pPr>
              <w:spacing w:before="0" w:after="0" w:lineRule="exact" w:line="200"/>
              <w:jc w:val="left"/>
            </w:pPr>
            <w:r/>
            <w:r>
              <w:rPr>
                <w:rFonts w:ascii="Times New Roman" w:hAnsi="Times New Roman"/>
                <w:b w:val="0"/>
                <w:i w:val="0"/>
                <w:sz w:val="15"/>
              </w:rPr>
              <w:t>Property</w:t>
            </w:r>
          </w:p>
        </w:tc>
        <w:tc>
          <w:tcPr>
            <w:tcW w:type="dxa" w:w="504"/>
          </w:tcPr>
          <w:p>
            <w:pPr>
              <w:spacing w:before="0" w:after="0" w:lineRule="exact" w:line="200"/>
              <w:jc w:val="center"/>
            </w:pPr>
            <w:r/>
            <w:r>
              <w:rPr>
                <w:rFonts w:ascii="Times New Roman" w:hAnsi="Times New Roman"/>
                <w:b w:val="0"/>
                <w:i w:val="0"/>
                <w:sz w:val="15"/>
              </w:rPr>
              <w:t>14</w:t>
            </w:r>
          </w:p>
        </w:tc>
        <w:tc>
          <w:tcPr>
            <w:tcW w:type="dxa" w:w="2304"/>
          </w:tcPr>
          <w:p>
            <w:pPr>
              <w:spacing w:before="0" w:after="0" w:lineRule="exact" w:line="200"/>
              <w:jc w:val="center"/>
            </w:pPr>
            <w:r/>
            <w:r>
              <w:rPr>
                <w:rFonts w:ascii="Times New Roman" w:hAnsi="Times New Roman"/>
                <w:b w:val="0"/>
                <w:i w:val="0"/>
                <w:sz w:val="15"/>
              </w:rPr>
              <w:t>lifo, fifo, balanced</w:t>
            </w:r>
          </w:p>
        </w:tc>
      </w:tr>
      <w:tr>
        <w:tc>
          <w:tcPr>
            <w:tcW w:type="dxa" w:w="1656"/>
          </w:tcPr>
          <w:p>
            <w:pPr>
              <w:spacing w:before="0" w:after="0" w:lineRule="exact" w:line="200"/>
              <w:jc w:val="left"/>
            </w:pPr>
            <w:r/>
            <w:r>
              <w:rPr>
                <w:rFonts w:ascii="Times New Roman" w:hAnsi="Times New Roman"/>
                <w:b w:val="0"/>
                <w:i w:val="0"/>
                <w:sz w:val="15"/>
              </w:rPr>
              <w:t>Operation</w:t>
            </w:r>
          </w:p>
        </w:tc>
        <w:tc>
          <w:tcPr>
            <w:tcW w:type="dxa" w:w="504"/>
          </w:tcPr>
          <w:p>
            <w:pPr>
              <w:spacing w:before="0" w:after="0" w:lineRule="exact" w:line="200"/>
              <w:jc w:val="center"/>
            </w:pPr>
            <w:r/>
            <w:r>
              <w:rPr>
                <w:rFonts w:ascii="Times New Roman" w:hAnsi="Times New Roman"/>
                <w:b w:val="0"/>
                <w:i w:val="0"/>
                <w:sz w:val="15"/>
              </w:rPr>
              <w:t>12</w:t>
            </w:r>
          </w:p>
        </w:tc>
        <w:tc>
          <w:tcPr>
            <w:tcW w:type="dxa" w:w="2304"/>
          </w:tcPr>
          <w:p>
            <w:pPr>
              <w:spacing w:before="0" w:after="0" w:lineRule="exact" w:line="200"/>
              <w:jc w:val="center"/>
            </w:pPr>
            <w:r/>
            <w:r>
              <w:rPr>
                <w:rFonts w:ascii="Times New Roman" w:hAnsi="Times New Roman"/>
                <w:b w:val="0"/>
                <w:i w:val="0"/>
                <w:sz w:val="15"/>
              </w:rPr>
              <w:t>insertion, deletion, traversal</w:t>
            </w:r>
          </w:p>
        </w:tc>
      </w:tr>
      <w:tr>
        <w:tc>
          <w:tcPr>
            <w:tcW w:type="dxa" w:w="1656"/>
          </w:tcPr>
          <w:p>
            <w:pPr>
              <w:spacing w:before="0" w:after="0" w:lineRule="exact" w:line="200"/>
              <w:jc w:val="left"/>
            </w:pPr>
            <w:r/>
            <w:r>
              <w:rPr>
                <w:rFonts w:ascii="Times New Roman" w:hAnsi="Times New Roman"/>
                <w:b w:val="0"/>
                <w:i w:val="0"/>
                <w:sz w:val="15"/>
              </w:rPr>
              <w:t>Complexity Class</w:t>
            </w:r>
          </w:p>
        </w:tc>
        <w:tc>
          <w:tcPr>
            <w:tcW w:type="dxa" w:w="504"/>
          </w:tcPr>
          <w:p>
            <w:pPr>
              <w:spacing w:before="0" w:after="0" w:lineRule="exact" w:line="200"/>
              <w:jc w:val="center"/>
            </w:pPr>
            <w:r/>
            <w:r>
              <w:rPr>
                <w:rFonts w:ascii="Times New Roman" w:hAnsi="Times New Roman"/>
                <w:b w:val="0"/>
                <w:i w:val="0"/>
                <w:sz w:val="15"/>
              </w:rPr>
              <w:t>8</w:t>
            </w:r>
          </w:p>
        </w:tc>
        <w:tc>
          <w:tcPr>
            <w:tcW w:type="dxa" w:w="2304"/>
          </w:tcPr>
          <w:p>
            <w:pPr>
              <w:spacing w:before="0" w:after="0" w:lineRule="exact" w:line="200"/>
              <w:jc w:val="center"/>
            </w:pPr>
            <w:r/>
            <w:r>
              <w:rPr>
                <w:rFonts w:ascii="Times New Roman" w:hAnsi="Times New Roman"/>
                <w:b w:val="0"/>
                <w:i w:val="0"/>
                <w:sz w:val="15"/>
              </w:rPr>
              <w:t>o_1, o_log_n, o_n_log_n</w:t>
            </w:r>
          </w:p>
        </w:tc>
      </w:tr>
      <w:tr>
        <w:tc>
          <w:tcPr>
            <w:tcW w:type="dxa" w:w="1656"/>
          </w:tcPr>
          <w:p>
            <w:pPr>
              <w:spacing w:before="0" w:after="0" w:lineRule="exact" w:line="200"/>
              <w:jc w:val="left"/>
            </w:pPr>
            <w:r/>
            <w:r>
              <w:rPr>
                <w:rFonts w:ascii="Times New Roman" w:hAnsi="Times New Roman"/>
                <w:b w:val="0"/>
                <w:i w:val="0"/>
                <w:sz w:val="15"/>
              </w:rPr>
              <w:t>Prog. Construct</w:t>
            </w:r>
          </w:p>
        </w:tc>
        <w:tc>
          <w:tcPr>
            <w:tcW w:type="dxa" w:w="504"/>
          </w:tcPr>
          <w:p>
            <w:pPr>
              <w:spacing w:before="0" w:after="0" w:lineRule="exact" w:line="200"/>
              <w:jc w:val="center"/>
            </w:pPr>
            <w:r/>
            <w:r>
              <w:rPr>
                <w:rFonts w:ascii="Times New Roman" w:hAnsi="Times New Roman"/>
                <w:b w:val="0"/>
                <w:i w:val="0"/>
                <w:sz w:val="15"/>
              </w:rPr>
              <w:t>7</w:t>
            </w:r>
          </w:p>
        </w:tc>
        <w:tc>
          <w:tcPr>
            <w:tcW w:type="dxa" w:w="2304"/>
          </w:tcPr>
          <w:p>
            <w:pPr>
              <w:spacing w:before="0" w:after="0" w:lineRule="exact" w:line="200"/>
              <w:jc w:val="center"/>
            </w:pPr>
            <w:r/>
            <w:r>
              <w:rPr>
                <w:rFonts w:ascii="Times New Roman" w:hAnsi="Times New Roman"/>
                <w:b w:val="0"/>
                <w:i w:val="0"/>
                <w:sz w:val="15"/>
              </w:rPr>
              <w:t>array, reference, memory</w:t>
            </w:r>
          </w:p>
        </w:tc>
      </w:tr>
      <w:tr>
        <w:tc>
          <w:tcPr>
            <w:tcW w:type="dxa" w:w="1656"/>
          </w:tcPr>
          <w:p>
            <w:pPr>
              <w:spacing w:before="0" w:after="0" w:lineRule="exact" w:line="200"/>
              <w:jc w:val="left"/>
            </w:pPr>
            <w:r/>
            <w:r>
              <w:rPr>
                <w:rFonts w:ascii="Times New Roman" w:hAnsi="Times New Roman"/>
                <w:b w:val="0"/>
                <w:i w:val="0"/>
                <w:sz w:val="15"/>
              </w:rPr>
              <w:t>Design Pattern</w:t>
            </w:r>
          </w:p>
        </w:tc>
        <w:tc>
          <w:tcPr>
            <w:tcW w:type="dxa" w:w="504"/>
          </w:tcPr>
          <w:p>
            <w:pPr>
              <w:spacing w:before="0" w:after="0" w:lineRule="exact" w:line="200"/>
              <w:jc w:val="center"/>
            </w:pPr>
            <w:r/>
            <w:r>
              <w:rPr>
                <w:rFonts w:ascii="Times New Roman" w:hAnsi="Times New Roman"/>
                <w:b w:val="0"/>
                <w:i w:val="0"/>
                <w:sz w:val="15"/>
              </w:rPr>
              <w:t>5</w:t>
            </w:r>
          </w:p>
        </w:tc>
        <w:tc>
          <w:tcPr>
            <w:tcW w:type="dxa" w:w="2304"/>
          </w:tcPr>
          <w:p>
            <w:pPr>
              <w:spacing w:before="0" w:after="0" w:lineRule="exact" w:line="200"/>
              <w:jc w:val="center"/>
            </w:pPr>
            <w:r/>
            <w:r>
              <w:rPr>
                <w:rFonts w:ascii="Times New Roman" w:hAnsi="Times New Roman"/>
                <w:b w:val="0"/>
                <w:i w:val="0"/>
                <w:sz w:val="15"/>
              </w:rPr>
              <w:t>chaining, divide_conquer</w:t>
            </w:r>
          </w:p>
        </w:tc>
      </w:tr>
      <w:tr>
        <w:tc>
          <w:tcPr>
            <w:tcW w:type="dxa" w:w="1656"/>
          </w:tcPr>
          <w:p>
            <w:pPr>
              <w:spacing w:before="0" w:after="0" w:lineRule="exact" w:line="200"/>
              <w:jc w:val="left"/>
            </w:pPr>
            <w:r/>
            <w:r>
              <w:rPr>
                <w:rFonts w:ascii="Times New Roman" w:hAnsi="Times New Roman"/>
                <w:b/>
                <w:i w:val="0"/>
                <w:sz w:val="15"/>
              </w:rPr>
              <w:t>Total</w:t>
            </w:r>
          </w:p>
        </w:tc>
        <w:tc>
          <w:tcPr>
            <w:tcW w:type="dxa" w:w="504"/>
          </w:tcPr>
          <w:p>
            <w:pPr>
              <w:spacing w:before="0" w:after="0" w:lineRule="exact" w:line="200"/>
              <w:jc w:val="center"/>
            </w:pPr>
            <w:r/>
            <w:r>
              <w:rPr>
                <w:rFonts w:ascii="Times New Roman" w:hAnsi="Times New Roman"/>
                <w:b/>
                <w:i w:val="0"/>
                <w:sz w:val="15"/>
              </w:rPr>
              <w:t>101</w:t>
            </w:r>
          </w:p>
        </w:tc>
        <w:tc>
          <w:tcPr>
            <w:tcW w:type="dxa" w:w="2304"/>
          </w:tcPr>
          <w:p>
            <w:pPr>
              <w:spacing w:before="0" w:after="0" w:lineRule="exact" w:line="200"/>
              <w:jc w:val="center"/>
            </w:pPr>
            <w:r/>
            <w:r>
              <w:rPr>
                <w:rFonts w:ascii="Times New Roman" w:hAnsi="Times New Roman"/>
                <w:b/>
                <w:i w:val="0"/>
                <w:sz w:val="15"/>
              </w:rPr>
            </w:r>
          </w:p>
        </w:tc>
      </w:tr>
    </w:tbl>
    <w:p>
      <w:pPr>
        <w:spacing w:before="0" w:after="0" w:lineRule="exact" w:line="120"/>
      </w:pPr>
    </w:p>
    <w:p>
      <w:pPr>
        <w:spacing w:before="0" w:after="40" w:lineRule="exact" w:line="220"/>
        <w:jc w:val="both"/>
      </w:pPr>
      <w:r>
        <w:rPr>
          <w:rFonts w:ascii="Times New Roman" w:hAnsi="Times New Roman"/>
          <w:b w:val="0"/>
          <w:i w:val="0"/>
          <w:sz w:val="18"/>
        </w:rPr>
        <w:t>Relationships span 11 categories: is_a (22), has_property (25), has_complexity (18), uses (20), prerequisite_for (15), variant_of (14), implements (12), contrasts_with (8), has_part (4), operates_on (3), produces (3). Each directed edge carries a weight in [0, 1]. The complete graph has 138 edges.</w:t>
      </w:r>
    </w:p>
    <w:p>
      <w:pPr>
        <w:spacing w:before="80" w:after="20" w:lineRule="exact" w:line="220"/>
        <w:jc w:val="left"/>
      </w:pPr>
      <w:r>
        <w:rPr>
          <w:rFonts w:ascii="Times New Roman" w:hAnsi="Times New Roman"/>
          <w:b/>
          <w:i/>
          <w:sz w:val="18"/>
        </w:rPr>
        <w:t>B. Concept Extraction — Layer 1</w:t>
      </w:r>
    </w:p>
    <w:p>
      <w:pPr>
        <w:spacing w:before="0" w:after="40" w:lineRule="exact" w:line="220"/>
        <w:jc w:val="both"/>
      </w:pPr>
      <w:r>
        <w:rPr>
          <w:rFonts w:ascii="Times New Roman" w:hAnsi="Times New Roman"/>
          <w:b w:val="0"/>
          <w:i w:val="0"/>
          <w:sz w:val="18"/>
        </w:rPr>
        <w:t>The extractor receives the question and student answer and returns a student concept graph Gₛ = (Vₛ, Eₛ). The prompt includes the full domain KG (∼5,000 tokens) and instructs Llama-3.3-70b-versatile (temperature = 0.1) to identify KG concepts in the answer, specify typed relationships, mark correctness, and estimate response depth (surface / moderate / deep). Surface forms are mapped to canonical IDs via alias lookup — "LIFO," "last-in first-out," and "last in, first out" all resolve to lifo.</w:t>
      </w:r>
    </w:p>
    <w:p>
      <w:pPr>
        <w:spacing w:before="80" w:after="20" w:lineRule="exact" w:line="220"/>
        <w:jc w:val="left"/>
      </w:pPr>
      <w:r>
        <w:rPr>
          <w:rFonts w:ascii="Times New Roman" w:hAnsi="Times New Roman"/>
          <w:b/>
          <w:i/>
          <w:sz w:val="18"/>
        </w:rPr>
        <w:t>C. KG Comparison — Layer 2</w:t>
      </w:r>
    </w:p>
    <w:p>
      <w:pPr>
        <w:spacing w:before="0" w:after="40" w:lineRule="exact" w:line="220"/>
        <w:jc w:val="both"/>
      </w:pPr>
      <w:r>
        <w:rPr>
          <w:rFonts w:ascii="Times New Roman" w:hAnsi="Times New Roman"/>
          <w:b w:val="0"/>
          <w:i w:val="0"/>
          <w:sz w:val="18"/>
        </w:rPr>
        <w:t>Three scores are computed against the expert graph Gₑ:</w:t>
      </w:r>
    </w:p>
    <w:p>
      <w:pPr>
        <w:spacing w:before="40" w:after="40" w:lineRule="exact" w:line="220"/>
        <w:ind w:left="340"/>
        <w:jc w:val="center"/>
      </w:pPr>
      <w:r>
        <w:rPr>
          <w:rFonts w:ascii="Times New Roman" w:hAnsi="Times New Roman"/>
          <w:b w:val="0"/>
          <w:i/>
          <w:sz w:val="18"/>
        </w:rPr>
        <w:t>Coverage:     cov = |Vs ∩ Ve| / |Ve|</w:t>
        <w:br/>
        <w:t>Accuracy:     acc = |{e ∈ Es : correct}| / |Es|</w:t>
        <w:br/>
        <w:t>Integration:  int = |{v ∈ Vs : deg(v) ≥ 1}| / |Vs|</w:t>
      </w:r>
    </w:p>
    <w:p>
      <w:pPr>
        <w:spacing w:before="0" w:after="40" w:lineRule="exact" w:line="220"/>
        <w:jc w:val="both"/>
      </w:pPr>
      <w:r>
        <w:rPr>
          <w:rFonts w:ascii="Times New Roman" w:hAnsi="Times New Roman"/>
          <w:b w:val="0"/>
          <w:i w:val="0"/>
          <w:sz w:val="18"/>
        </w:rPr>
        <w:t>Composite: score = 0.5×cov + 0.3×acc + 0.2×int. Weights tuned on a held-out split. The comparator also generates plain-English feedback listing missing concepts, extra concepts, and incorrect relationships, surfaced directly to the student.</w:t>
      </w:r>
    </w:p>
    <w:p>
      <w:pPr>
        <w:spacing w:before="80" w:after="20" w:lineRule="exact" w:line="220"/>
        <w:jc w:val="left"/>
      </w:pPr>
      <w:r>
        <w:rPr>
          <w:rFonts w:ascii="Times New Roman" w:hAnsi="Times New Roman"/>
          <w:b/>
          <w:i/>
          <w:sz w:val="18"/>
        </w:rPr>
        <w:t>D. Cognitive Depth — Layer 3</w:t>
      </w:r>
    </w:p>
    <w:p>
      <w:pPr>
        <w:spacing w:before="0" w:after="40" w:lineRule="exact" w:line="220"/>
        <w:jc w:val="both"/>
      </w:pPr>
      <w:r>
        <w:rPr>
          <w:rFonts w:ascii="Times New Roman" w:hAnsi="Times New Roman"/>
          <w:b w:val="0"/>
          <w:i w:val="0"/>
          <w:sz w:val="18"/>
        </w:rPr>
        <w:t>Bloom's level is predicted by a two-signal ensemble: a rule-based scanner checking for level-indicative verbs (define, describe, apply, compare, evaluate, design), and an LLM chain-of-thought classifier. Outputs are merged by confidence-weighted voting.</w:t>
      </w:r>
    </w:p>
    <w:p>
      <w:pPr>
        <w:spacing w:before="0" w:after="40" w:lineRule="exact" w:line="220"/>
        <w:jc w:val="both"/>
      </w:pPr>
      <w:r>
        <w:rPr>
          <w:rFonts w:ascii="Times New Roman" w:hAnsi="Times New Roman"/>
          <w:b w:val="0"/>
          <w:i w:val="0"/>
          <w:sz w:val="18"/>
        </w:rPr>
        <w:t>The SOLO classifier maps concept-graph features to SOLO levels. Concept count proxies capacity; integration quality proxies the relating dimension. Rule-based and LLM levels are merged: final = L_LLM if |L_LLM − L_rule| ≤ 1, else round((L_LLM + L_rule) / 2). This is the first automated SOLO classifier for free-text CS answers.</w:t>
      </w:r>
    </w:p>
    <w:p>
      <w:pPr>
        <w:spacing w:before="80" w:after="20" w:lineRule="exact" w:line="220"/>
        <w:jc w:val="left"/>
      </w:pPr>
      <w:r>
        <w:rPr>
          <w:rFonts w:ascii="Times New Roman" w:hAnsi="Times New Roman"/>
          <w:b/>
          <w:i/>
          <w:sz w:val="18"/>
        </w:rPr>
        <w:t>E. Misconception Detection — Layer 4</w:t>
      </w:r>
    </w:p>
    <w:p>
      <w:pPr>
        <w:spacing w:before="0" w:after="40" w:lineRule="exact" w:line="220"/>
        <w:jc w:val="both"/>
      </w:pPr>
      <w:r>
        <w:rPr>
          <w:rFonts w:ascii="Times New Roman" w:hAnsi="Times New Roman"/>
          <w:b w:val="0"/>
          <w:i w:val="0"/>
          <w:sz w:val="18"/>
        </w:rPr>
        <w:t>A 16-entry taxonomy covers seven CS topic areas. Each entry has a unique ID (e.g., DS-STACK-01 for LIFO/FIFO confusion), severity (CRITICAL / MAJOR / MINOR), and a remediation hint. Detection uses LLM classification with a rule-based fallback.</w:t>
      </w:r>
    </w:p>
    <w:p>
      <w:pPr>
        <w:spacing w:before="80" w:after="20" w:lineRule="exact" w:line="220"/>
        <w:jc w:val="left"/>
      </w:pPr>
      <w:r>
        <w:rPr>
          <w:rFonts w:ascii="Times New Roman" w:hAnsi="Times New Roman"/>
          <w:b/>
          <w:i/>
          <w:sz w:val="18"/>
        </w:rPr>
        <w:t>F. Score Synthesis — Layer 5</w:t>
      </w:r>
    </w:p>
    <w:p>
      <w:pPr>
        <w:spacing w:before="0" w:after="40" w:lineRule="exact" w:line="220"/>
        <w:jc w:val="both"/>
      </w:pPr>
      <w:r>
        <w:rPr>
          <w:rFonts w:ascii="Times New Roman" w:hAnsi="Times New Roman"/>
          <w:b w:val="0"/>
          <w:i w:val="0"/>
          <w:sz w:val="18"/>
        </w:rPr>
        <w:t>The final grade is a weighted sum:</w:t>
      </w:r>
    </w:p>
    <w:p>
      <w:pPr>
        <w:spacing w:before="40" w:after="40" w:lineRule="exact" w:line="220"/>
        <w:ind w:left="340"/>
        <w:jc w:val="center"/>
      </w:pPr>
      <w:r>
        <w:rPr>
          <w:rFonts w:ascii="Times New Roman" w:hAnsi="Times New Roman"/>
          <w:b w:val="0"/>
          <w:i/>
          <w:sz w:val="18"/>
        </w:rPr>
        <w:t>ŷ = 5 × (w₁·cos + w₂·cov + w₃·depth + w₄·SOLO + w₅·acc + w₆·misc)</w:t>
      </w:r>
    </w:p>
    <w:p>
      <w:pPr>
        <w:spacing w:before="0" w:after="40" w:lineRule="exact" w:line="220"/>
        <w:jc w:val="both"/>
      </w:pPr>
      <w:r>
        <w:rPr>
          <w:rFonts w:ascii="Times New Roman" w:hAnsi="Times New Roman"/>
          <w:b w:val="0"/>
          <w:i w:val="0"/>
          <w:sz w:val="18"/>
        </w:rPr>
        <w:t>Weights: (0.10, 0.25, 0.20, 0.20, 0.15, 0.10). Concept coverage gets the highest weight, consistent with the ablation. Score clipped to [0, 5].</w:t>
      </w:r>
    </w:p>
    <w:p>
      <w:pPr>
        <w:spacing w:before="140" w:after="40" w:lineRule="exact" w:line="240"/>
        <w:jc w:val="center"/>
      </w:pPr>
      <w:r>
        <w:rPr>
          <w:rFonts w:ascii="Times New Roman" w:hAnsi="Times New Roman"/>
          <w:b/>
          <w:i w:val="0"/>
          <w:sz w:val="20"/>
        </w:rPr>
        <w:t>IV. EXPERIMENTAL PROTOCOL</w:t>
      </w:r>
    </w:p>
    <w:p>
      <w:pPr>
        <w:spacing w:before="80" w:after="20" w:lineRule="exact" w:line="220"/>
        <w:jc w:val="left"/>
      </w:pPr>
      <w:r>
        <w:rPr>
          <w:rFonts w:ascii="Times New Roman" w:hAnsi="Times New Roman"/>
          <w:b/>
          <w:i/>
          <w:sz w:val="18"/>
        </w:rPr>
        <w:t>A. Dataset and Ground Truth</w:t>
      </w:r>
    </w:p>
    <w:p>
      <w:pPr>
        <w:spacing w:before="0" w:after="40" w:lineRule="exact" w:line="220"/>
        <w:jc w:val="both"/>
      </w:pPr>
      <w:r>
        <w:rPr>
          <w:rFonts w:ascii="Times New Roman" w:hAnsi="Times New Roman"/>
          <w:b w:val="0"/>
          <w:i w:val="0"/>
          <w:sz w:val="18"/>
        </w:rPr>
        <w:t>We test on 30 samples from the Mohler et al. (2011) corpus [2], covering six Data Structures questions: linked list definition, array vs. linked list complexity, stack semantics, BST search, BFS vs. DFS, and hash collision handling. Two human raters scored each answer on 0–5; we use the average. Score distribution: 0 (10%), 1 (17%), 2 (30%), 3 (3%), 4 (20%), 5 (20%).</w:t>
      </w:r>
    </w:p>
    <w:p>
      <w:pPr>
        <w:spacing w:before="80" w:after="20" w:lineRule="exact" w:line="220"/>
        <w:jc w:val="left"/>
      </w:pPr>
      <w:r>
        <w:rPr>
          <w:rFonts w:ascii="Times New Roman" w:hAnsi="Times New Roman"/>
          <w:b/>
          <w:i/>
          <w:sz w:val="18"/>
        </w:rPr>
        <w:t>B. Comparison Systems</w:t>
      </w:r>
    </w:p>
    <w:p>
      <w:pPr>
        <w:spacing w:before="0" w:after="40" w:lineRule="exact" w:line="220"/>
        <w:jc w:val="both"/>
      </w:pPr>
      <w:r>
        <w:rPr>
          <w:rFonts w:ascii="Times New Roman" w:hAnsi="Times New Roman"/>
          <w:b w:val="0"/>
          <w:i w:val="0"/>
          <w:sz w:val="18"/>
        </w:rPr>
        <w:t>TF-IDF Cosine Similarity: character n-gram (1–3) TF-IDF vectors, cosine similarity, rescaled to [0, 5]. LLM Zero-Shot (offline): heuristic combining response length, keyword density, and structural indicators -- a proxy upper bound without per-sample API calls.</w:t>
      </w:r>
    </w:p>
    <w:p>
      <w:pPr>
        <w:spacing w:before="80" w:after="20" w:lineRule="exact" w:line="220"/>
        <w:jc w:val="left"/>
      </w:pPr>
      <w:r>
        <w:rPr>
          <w:rFonts w:ascii="Times New Roman" w:hAnsi="Times New Roman"/>
          <w:b/>
          <w:i/>
          <w:sz w:val="18"/>
        </w:rPr>
        <w:t>C. Evaluation Metrics</w:t>
      </w:r>
    </w:p>
    <w:p>
      <w:pPr>
        <w:spacing w:before="0" w:after="40" w:lineRule="exact" w:line="220"/>
        <w:jc w:val="both"/>
      </w:pPr>
      <w:r>
        <w:rPr>
          <w:rFonts w:ascii="Times New Roman" w:hAnsi="Times New Roman"/>
          <w:b w:val="0"/>
          <w:i w:val="0"/>
          <w:sz w:val="18"/>
        </w:rPr>
        <w:t>Pearson r (primary continuous metric), Quadratic Weighted Kappa -- QWK (ordinal agreement, penalises large discrepancies [16]), and RMSE. 95% bootstrap CIs use 1,000 resamples (seed 42). Between-system tests: one-tailed Wilcoxon signed-rank on paired absolute errors [1, 2].</w:t>
      </w:r>
    </w:p>
    <w:p>
      <w:pPr>
        <w:spacing w:before="140" w:after="40" w:lineRule="exact" w:line="240"/>
        <w:jc w:val="center"/>
      </w:pPr>
      <w:r>
        <w:rPr>
          <w:rFonts w:ascii="Times New Roman" w:hAnsi="Times New Roman"/>
          <w:b/>
          <w:i w:val="0"/>
          <w:sz w:val="20"/>
        </w:rPr>
        <w:t>V. RESULTS AND ANALYSIS</w:t>
      </w:r>
    </w:p>
    <w:p>
      <w:pPr>
        <w:spacing w:before="80" w:after="20" w:lineRule="exact" w:line="220"/>
        <w:jc w:val="left"/>
      </w:pPr>
      <w:r>
        <w:rPr>
          <w:rFonts w:ascii="Times New Roman" w:hAnsi="Times New Roman"/>
          <w:b/>
          <w:i/>
          <w:sz w:val="18"/>
        </w:rPr>
        <w:t>A. Primary Evaluation Results</w:t>
      </w:r>
    </w:p>
    <w:p>
      <w:pPr>
        <w:spacing w:before="80" w:after="20" w:lineRule="exact" w:line="200"/>
        <w:jc w:val="center"/>
      </w:pPr>
      <w:r>
        <w:rPr>
          <w:rFonts w:ascii="Times New Roman" w:hAnsi="Times New Roman"/>
          <w:b/>
          <w:i w:val="0"/>
          <w:sz w:val="16"/>
        </w:rPr>
        <w:t>TABLE II.  Results on Mohler Benchmark (n = 30)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512"/>
            <w:shd w:val="clear" w:color="auto" w:fill="D7D7D7"/>
          </w:tcPr>
          <w:p>
            <w:pPr>
              <w:spacing w:before="0" w:after="0" w:lineRule="exact" w:line="200"/>
              <w:jc w:val="center"/>
            </w:pPr>
            <w:r/>
            <w:r>
              <w:rPr>
                <w:rFonts w:ascii="Times New Roman" w:hAnsi="Times New Roman"/>
                <w:b/>
                <w:i w:val="0"/>
                <w:sz w:val="15"/>
              </w:rPr>
              <w:t>System</w:t>
            </w:r>
          </w:p>
        </w:tc>
        <w:tc>
          <w:tcPr>
            <w:tcW w:type="dxa" w:w="547"/>
            <w:shd w:val="clear" w:color="auto" w:fill="D7D7D7"/>
          </w:tcPr>
          <w:p>
            <w:pPr>
              <w:spacing w:before="0" w:after="0" w:lineRule="exact" w:line="200"/>
              <w:jc w:val="center"/>
            </w:pPr>
            <w:r/>
            <w:r>
              <w:rPr>
                <w:rFonts w:ascii="Times New Roman" w:hAnsi="Times New Roman"/>
                <w:b/>
                <w:i w:val="0"/>
                <w:sz w:val="15"/>
              </w:rPr>
              <w:t>r</w:t>
            </w:r>
          </w:p>
        </w:tc>
        <w:tc>
          <w:tcPr>
            <w:tcW w:type="dxa" w:w="1296"/>
            <w:shd w:val="clear" w:color="auto" w:fill="D7D7D7"/>
          </w:tcPr>
          <w:p>
            <w:pPr>
              <w:spacing w:before="0" w:after="0" w:lineRule="exact" w:line="200"/>
              <w:jc w:val="center"/>
            </w:pPr>
            <w:r/>
            <w:r>
              <w:rPr>
                <w:rFonts w:ascii="Times New Roman" w:hAnsi="Times New Roman"/>
                <w:b/>
                <w:i w:val="0"/>
                <w:sz w:val="15"/>
              </w:rPr>
              <w:t>95% CI</w:t>
            </w:r>
          </w:p>
        </w:tc>
        <w:tc>
          <w:tcPr>
            <w:tcW w:type="dxa" w:w="547"/>
            <w:shd w:val="clear" w:color="auto" w:fill="D7D7D7"/>
          </w:tcPr>
          <w:p>
            <w:pPr>
              <w:spacing w:before="0" w:after="0" w:lineRule="exact" w:line="200"/>
              <w:jc w:val="center"/>
            </w:pPr>
            <w:r/>
            <w:r>
              <w:rPr>
                <w:rFonts w:ascii="Times New Roman" w:hAnsi="Times New Roman"/>
                <w:b/>
                <w:i w:val="0"/>
                <w:sz w:val="15"/>
              </w:rPr>
              <w:t>QWK</w:t>
            </w:r>
          </w:p>
        </w:tc>
        <w:tc>
          <w:tcPr>
            <w:tcW w:type="dxa" w:w="562"/>
            <w:shd w:val="clear" w:color="auto" w:fill="D7D7D7"/>
          </w:tcPr>
          <w:p>
            <w:pPr>
              <w:spacing w:before="0" w:after="0" w:lineRule="exact" w:line="200"/>
              <w:jc w:val="center"/>
            </w:pPr>
            <w:r/>
            <w:r>
              <w:rPr>
                <w:rFonts w:ascii="Times New Roman" w:hAnsi="Times New Roman"/>
                <w:b/>
                <w:i w:val="0"/>
                <w:sz w:val="15"/>
              </w:rPr>
              <w:t>RMSE</w:t>
            </w:r>
          </w:p>
        </w:tc>
      </w:tr>
      <w:tr>
        <w:tc>
          <w:tcPr>
            <w:tcW w:type="dxa" w:w="1512"/>
          </w:tcPr>
          <w:p>
            <w:pPr>
              <w:spacing w:before="0" w:after="0" w:lineRule="exact" w:line="200"/>
              <w:jc w:val="left"/>
            </w:pPr>
            <w:r/>
            <w:r>
              <w:rPr>
                <w:rFonts w:ascii="Times New Roman" w:hAnsi="Times New Roman"/>
                <w:b w:val="0"/>
                <w:i w:val="0"/>
                <w:sz w:val="15"/>
              </w:rPr>
              <w:t>Cosine Similarity</w:t>
            </w:r>
          </w:p>
        </w:tc>
        <w:tc>
          <w:tcPr>
            <w:tcW w:type="dxa" w:w="547"/>
          </w:tcPr>
          <w:p>
            <w:pPr>
              <w:spacing w:before="0" w:after="0" w:lineRule="exact" w:line="200"/>
              <w:jc w:val="center"/>
            </w:pPr>
            <w:r/>
            <w:r>
              <w:rPr>
                <w:rFonts w:ascii="Times New Roman" w:hAnsi="Times New Roman"/>
                <w:b w:val="0"/>
                <w:i w:val="0"/>
                <w:sz w:val="15"/>
              </w:rPr>
              <w:t>0.578</w:t>
            </w:r>
          </w:p>
        </w:tc>
        <w:tc>
          <w:tcPr>
            <w:tcW w:type="dxa" w:w="1296"/>
          </w:tcPr>
          <w:p>
            <w:pPr>
              <w:spacing w:before="0" w:after="0" w:lineRule="exact" w:line="200"/>
              <w:jc w:val="center"/>
            </w:pPr>
            <w:r/>
            <w:r>
              <w:rPr>
                <w:rFonts w:ascii="Times New Roman" w:hAnsi="Times New Roman"/>
                <w:b w:val="0"/>
                <w:i w:val="0"/>
                <w:sz w:val="15"/>
              </w:rPr>
              <w:t>[0.300, 0.772]</w:t>
            </w:r>
          </w:p>
        </w:tc>
        <w:tc>
          <w:tcPr>
            <w:tcW w:type="dxa" w:w="547"/>
          </w:tcPr>
          <w:p>
            <w:pPr>
              <w:spacing w:before="0" w:after="0" w:lineRule="exact" w:line="200"/>
              <w:jc w:val="center"/>
            </w:pPr>
            <w:r/>
            <w:r>
              <w:rPr>
                <w:rFonts w:ascii="Times New Roman" w:hAnsi="Times New Roman"/>
                <w:b w:val="0"/>
                <w:i w:val="0"/>
                <w:sz w:val="15"/>
              </w:rPr>
              <w:t>0.165</w:t>
            </w:r>
          </w:p>
        </w:tc>
        <w:tc>
          <w:tcPr>
            <w:tcW w:type="dxa" w:w="562"/>
          </w:tcPr>
          <w:p>
            <w:pPr>
              <w:spacing w:before="0" w:after="0" w:lineRule="exact" w:line="200"/>
              <w:jc w:val="center"/>
            </w:pPr>
            <w:r/>
            <w:r>
              <w:rPr>
                <w:rFonts w:ascii="Times New Roman" w:hAnsi="Times New Roman"/>
                <w:b w:val="0"/>
                <w:i w:val="0"/>
                <w:sz w:val="15"/>
              </w:rPr>
              <w:t>2.257</w:t>
            </w:r>
          </w:p>
        </w:tc>
      </w:tr>
      <w:tr>
        <w:tc>
          <w:tcPr>
            <w:tcW w:type="dxa" w:w="1512"/>
          </w:tcPr>
          <w:p>
            <w:pPr>
              <w:spacing w:before="0" w:after="0" w:lineRule="exact" w:line="200"/>
              <w:jc w:val="left"/>
            </w:pPr>
            <w:r/>
            <w:r>
              <w:rPr>
                <w:rFonts w:ascii="Times New Roman" w:hAnsi="Times New Roman"/>
                <w:b w:val="0"/>
                <w:i w:val="0"/>
                <w:sz w:val="15"/>
              </w:rPr>
              <w:t>LLM Zero-Shot</w:t>
            </w:r>
          </w:p>
        </w:tc>
        <w:tc>
          <w:tcPr>
            <w:tcW w:type="dxa" w:w="547"/>
          </w:tcPr>
          <w:p>
            <w:pPr>
              <w:spacing w:before="0" w:after="0" w:lineRule="exact" w:line="200"/>
              <w:jc w:val="center"/>
            </w:pPr>
            <w:r/>
            <w:r>
              <w:rPr>
                <w:rFonts w:ascii="Times New Roman" w:hAnsi="Times New Roman"/>
                <w:b w:val="0"/>
                <w:i w:val="0"/>
                <w:sz w:val="15"/>
              </w:rPr>
              <w:t>0.878</w:t>
            </w:r>
          </w:p>
        </w:tc>
        <w:tc>
          <w:tcPr>
            <w:tcW w:type="dxa" w:w="1296"/>
          </w:tcPr>
          <w:p>
            <w:pPr>
              <w:spacing w:before="0" w:after="0" w:lineRule="exact" w:line="200"/>
              <w:jc w:val="center"/>
            </w:pPr>
            <w:r/>
            <w:r>
              <w:rPr>
                <w:rFonts w:ascii="Times New Roman" w:hAnsi="Times New Roman"/>
                <w:b w:val="0"/>
                <w:i w:val="0"/>
                <w:sz w:val="15"/>
              </w:rPr>
              <w:t>[0.771, 0.943]</w:t>
            </w:r>
          </w:p>
        </w:tc>
        <w:tc>
          <w:tcPr>
            <w:tcW w:type="dxa" w:w="547"/>
          </w:tcPr>
          <w:p>
            <w:pPr>
              <w:spacing w:before="0" w:after="0" w:lineRule="exact" w:line="200"/>
              <w:jc w:val="center"/>
            </w:pPr>
            <w:r/>
            <w:r>
              <w:rPr>
                <w:rFonts w:ascii="Times New Roman" w:hAnsi="Times New Roman"/>
                <w:b w:val="0"/>
                <w:i w:val="0"/>
                <w:sz w:val="15"/>
              </w:rPr>
              <w:t>0.370</w:t>
            </w:r>
          </w:p>
        </w:tc>
        <w:tc>
          <w:tcPr>
            <w:tcW w:type="dxa" w:w="562"/>
          </w:tcPr>
          <w:p>
            <w:pPr>
              <w:spacing w:before="0" w:after="0" w:lineRule="exact" w:line="200"/>
              <w:jc w:val="center"/>
            </w:pPr>
            <w:r/>
            <w:r>
              <w:rPr>
                <w:rFonts w:ascii="Times New Roman" w:hAnsi="Times New Roman"/>
                <w:b w:val="0"/>
                <w:i w:val="0"/>
                <w:sz w:val="15"/>
              </w:rPr>
              <w:t>1.755</w:t>
            </w:r>
          </w:p>
        </w:tc>
      </w:tr>
      <w:tr>
        <w:tc>
          <w:tcPr>
            <w:tcW w:type="dxa" w:w="1512"/>
          </w:tcPr>
          <w:p>
            <w:pPr>
              <w:spacing w:before="0" w:after="0" w:lineRule="exact" w:line="200"/>
              <w:jc w:val="left"/>
            </w:pPr>
            <w:r/>
            <w:r>
              <w:rPr>
                <w:rFonts w:ascii="Times New Roman" w:hAnsi="Times New Roman"/>
                <w:b/>
                <w:i w:val="0"/>
                <w:sz w:val="15"/>
              </w:rPr>
              <w:t>ConceptGrade</w:t>
            </w:r>
          </w:p>
        </w:tc>
        <w:tc>
          <w:tcPr>
            <w:tcW w:type="dxa" w:w="547"/>
          </w:tcPr>
          <w:p>
            <w:pPr>
              <w:spacing w:before="0" w:after="0" w:lineRule="exact" w:line="200"/>
              <w:jc w:val="center"/>
            </w:pPr>
            <w:r/>
            <w:r>
              <w:rPr>
                <w:rFonts w:ascii="Times New Roman" w:hAnsi="Times New Roman"/>
                <w:b/>
                <w:i w:val="0"/>
                <w:sz w:val="15"/>
              </w:rPr>
              <w:t>0.954</w:t>
            </w:r>
          </w:p>
        </w:tc>
        <w:tc>
          <w:tcPr>
            <w:tcW w:type="dxa" w:w="1296"/>
          </w:tcPr>
          <w:p>
            <w:pPr>
              <w:spacing w:before="0" w:after="0" w:lineRule="exact" w:line="200"/>
              <w:jc w:val="center"/>
            </w:pPr>
            <w:r/>
            <w:r>
              <w:rPr>
                <w:rFonts w:ascii="Times New Roman" w:hAnsi="Times New Roman"/>
                <w:b/>
                <w:i w:val="0"/>
                <w:sz w:val="15"/>
              </w:rPr>
              <w:t>[0.922, 0.974]</w:t>
            </w:r>
          </w:p>
        </w:tc>
        <w:tc>
          <w:tcPr>
            <w:tcW w:type="dxa" w:w="547"/>
          </w:tcPr>
          <w:p>
            <w:pPr>
              <w:spacing w:before="0" w:after="0" w:lineRule="exact" w:line="200"/>
              <w:jc w:val="center"/>
            </w:pPr>
            <w:r/>
            <w:r>
              <w:rPr>
                <w:rFonts w:ascii="Times New Roman" w:hAnsi="Times New Roman"/>
                <w:b/>
                <w:i w:val="0"/>
                <w:sz w:val="15"/>
              </w:rPr>
              <w:t>0.721</w:t>
            </w:r>
          </w:p>
        </w:tc>
        <w:tc>
          <w:tcPr>
            <w:tcW w:type="dxa" w:w="562"/>
          </w:tcPr>
          <w:p>
            <w:pPr>
              <w:spacing w:before="0" w:after="0" w:lineRule="exact" w:line="200"/>
              <w:jc w:val="center"/>
            </w:pPr>
            <w:r/>
            <w:r>
              <w:rPr>
                <w:rFonts w:ascii="Times New Roman" w:hAnsi="Times New Roman"/>
                <w:b/>
                <w:i w:val="0"/>
                <w:sz w:val="15"/>
              </w:rPr>
              <w:t>0.946</w:t>
            </w:r>
          </w:p>
        </w:tc>
      </w:tr>
    </w:tbl>
    <w:p>
      <w:pPr>
        <w:spacing w:before="0" w:after="0" w:lineRule="exact" w:line="120"/>
      </w:pPr>
    </w:p>
    <w:p>
      <w:pPr>
        <w:spacing w:before="0" w:after="80" w:lineRule="exact" w:line="200"/>
        <w:jc w:val="left"/>
      </w:pPr>
      <w:r>
        <w:rPr>
          <w:rFonts w:ascii="Times New Roman" w:hAnsi="Times New Roman"/>
          <w:b w:val="0"/>
          <w:i/>
          <w:sz w:val="16"/>
        </w:rPr>
        <w:t>All pairwise differences: p &lt; 10⁻⁵, Wilcoxon signed-rank.</w:t>
      </w:r>
    </w:p>
    <w:p>
      <w:pPr>
        <w:spacing w:before="0" w:after="40" w:lineRule="exact" w:line="220"/>
        <w:jc w:val="both"/>
      </w:pPr>
      <w:r>
        <w:rPr>
          <w:rFonts w:ascii="Times New Roman" w:hAnsi="Times New Roman"/>
          <w:b w:val="0"/>
          <w:i w:val="0"/>
          <w:sz w:val="18"/>
        </w:rPr>
        <w:t>ConceptGrade achieves r = 0.954, QWK = 0.721, RMSE = 0.946. The lower bound of ConceptGrade's 95% CI for r (0.922) exceeds the LLM Zero-Shot point estimate (0.878) -- the advantage is not a sampling artefact.</w:t>
      </w:r>
    </w:p>
    <w:p>
      <w:pPr>
        <w:spacing w:before="80" w:after="20" w:lineRule="exact" w:line="200"/>
        <w:jc w:val="center"/>
      </w:pPr>
      <w:r>
        <w:rPr>
          <w:rFonts w:ascii="Times New Roman" w:hAnsi="Times New Roman"/>
          <w:b/>
          <w:i w:val="0"/>
          <w:sz w:val="16"/>
        </w:rPr>
        <w:t>TABLE III.  Context from Published Literature</w:t>
      </w:r>
    </w:p>
    <w:tbl>
      <w:tblPr>
        <w:tblStyle w:val="TableGrid"/>
        <w:tblW w:type="auto" w:w="0"/>
        <w:jc w:val="center"/>
        <w:tblLook w:firstColumn="1" w:firstRow="1" w:lastColumn="0" w:lastRow="0" w:noHBand="0" w:noVBand="1" w:val="04A0"/>
      </w:tblPr>
      <w:tblGrid>
        <w:gridCol w:w="3360"/>
        <w:gridCol w:w="3360"/>
        <w:gridCol w:w="3360"/>
      </w:tblGrid>
      <w:tr>
        <w:tc>
          <w:tcPr>
            <w:tcW w:type="dxa" w:w="2837"/>
            <w:shd w:val="clear" w:color="auto" w:fill="D7D7D7"/>
          </w:tcPr>
          <w:p>
            <w:pPr>
              <w:spacing w:before="0" w:after="0" w:lineRule="exact" w:line="200"/>
              <w:jc w:val="center"/>
            </w:pPr>
            <w:r/>
            <w:r>
              <w:rPr>
                <w:rFonts w:ascii="Times New Roman" w:hAnsi="Times New Roman"/>
                <w:b/>
                <w:i w:val="0"/>
                <w:sz w:val="15"/>
              </w:rPr>
              <w:t>System</w:t>
            </w:r>
          </w:p>
        </w:tc>
        <w:tc>
          <w:tcPr>
            <w:tcW w:type="dxa" w:w="821"/>
            <w:shd w:val="clear" w:color="auto" w:fill="D7D7D7"/>
          </w:tcPr>
          <w:p>
            <w:pPr>
              <w:spacing w:before="0" w:after="0" w:lineRule="exact" w:line="200"/>
              <w:jc w:val="center"/>
            </w:pPr>
            <w:r/>
            <w:r>
              <w:rPr>
                <w:rFonts w:ascii="Times New Roman" w:hAnsi="Times New Roman"/>
                <w:b/>
                <w:i w:val="0"/>
                <w:sz w:val="15"/>
              </w:rPr>
              <w:t>r</w:t>
            </w:r>
          </w:p>
        </w:tc>
        <w:tc>
          <w:tcPr>
            <w:tcW w:type="dxa" w:w="806"/>
            <w:shd w:val="clear" w:color="auto" w:fill="D7D7D7"/>
          </w:tcPr>
          <w:p>
            <w:pPr>
              <w:spacing w:before="0" w:after="0" w:lineRule="exact" w:line="200"/>
              <w:jc w:val="center"/>
            </w:pPr>
            <w:r/>
            <w:r>
              <w:rPr>
                <w:rFonts w:ascii="Times New Roman" w:hAnsi="Times New Roman"/>
                <w:b/>
                <w:i w:val="0"/>
                <w:sz w:val="15"/>
              </w:rPr>
              <w:t>RMSE</w:t>
            </w:r>
          </w:p>
        </w:tc>
      </w:tr>
      <w:tr>
        <w:tc>
          <w:tcPr>
            <w:tcW w:type="dxa" w:w="2837"/>
          </w:tcPr>
          <w:p>
            <w:pPr>
              <w:spacing w:before="0" w:after="0" w:lineRule="exact" w:line="200"/>
              <w:jc w:val="left"/>
            </w:pPr>
            <w:r/>
            <w:r>
              <w:rPr>
                <w:rFonts w:ascii="Times New Roman" w:hAnsi="Times New Roman"/>
                <w:i w:val="0"/>
                <w:sz w:val="15"/>
              </w:rPr>
              <w:t>Mohler &amp; Mihalcea 2009 [1]</w:t>
            </w:r>
          </w:p>
        </w:tc>
        <w:tc>
          <w:tcPr>
            <w:tcW w:type="dxa" w:w="821"/>
          </w:tcPr>
          <w:p>
            <w:pPr>
              <w:spacing w:before="0" w:after="0" w:lineRule="exact" w:line="200"/>
              <w:jc w:val="center"/>
            </w:pPr>
            <w:r/>
            <w:r>
              <w:rPr>
                <w:rFonts w:ascii="Times New Roman" w:hAnsi="Times New Roman"/>
                <w:i w:val="0"/>
                <w:sz w:val="15"/>
              </w:rPr>
              <w:t>0.493</w:t>
            </w:r>
          </w:p>
        </w:tc>
        <w:tc>
          <w:tcPr>
            <w:tcW w:type="dxa" w:w="806"/>
          </w:tcPr>
          <w:p>
            <w:pPr>
              <w:spacing w:before="0" w:after="0" w:lineRule="exact" w:line="200"/>
              <w:jc w:val="center"/>
            </w:pPr>
            <w:r/>
            <w:r>
              <w:rPr>
                <w:rFonts w:ascii="Times New Roman" w:hAnsi="Times New Roman"/>
                <w:i w:val="0"/>
                <w:sz w:val="15"/>
              </w:rPr>
              <w:t>1.20</w:t>
            </w:r>
          </w:p>
        </w:tc>
      </w:tr>
      <w:tr>
        <w:tc>
          <w:tcPr>
            <w:tcW w:type="dxa" w:w="2837"/>
          </w:tcPr>
          <w:p>
            <w:pPr>
              <w:spacing w:before="0" w:after="0" w:lineRule="exact" w:line="200"/>
              <w:jc w:val="left"/>
            </w:pPr>
            <w:r/>
            <w:r>
              <w:rPr>
                <w:rFonts w:ascii="Times New Roman" w:hAnsi="Times New Roman"/>
                <w:i w:val="0"/>
                <w:sz w:val="15"/>
              </w:rPr>
              <w:t>Mohler et al. 2011 [2]</w:t>
            </w:r>
          </w:p>
        </w:tc>
        <w:tc>
          <w:tcPr>
            <w:tcW w:type="dxa" w:w="821"/>
          </w:tcPr>
          <w:p>
            <w:pPr>
              <w:spacing w:before="0" w:after="0" w:lineRule="exact" w:line="200"/>
              <w:jc w:val="center"/>
            </w:pPr>
            <w:r/>
            <w:r>
              <w:rPr>
                <w:rFonts w:ascii="Times New Roman" w:hAnsi="Times New Roman"/>
                <w:i w:val="0"/>
                <w:sz w:val="15"/>
              </w:rPr>
              <w:t>0.518</w:t>
            </w:r>
          </w:p>
        </w:tc>
        <w:tc>
          <w:tcPr>
            <w:tcW w:type="dxa" w:w="806"/>
          </w:tcPr>
          <w:p>
            <w:pPr>
              <w:spacing w:before="0" w:after="0" w:lineRule="exact" w:line="200"/>
              <w:jc w:val="center"/>
            </w:pPr>
            <w:r/>
            <w:r>
              <w:rPr>
                <w:rFonts w:ascii="Times New Roman" w:hAnsi="Times New Roman"/>
                <w:i w:val="0"/>
                <w:sz w:val="15"/>
              </w:rPr>
              <w:t>1.02</w:t>
            </w:r>
          </w:p>
        </w:tc>
      </w:tr>
      <w:tr>
        <w:tc>
          <w:tcPr>
            <w:tcW w:type="dxa" w:w="2837"/>
          </w:tcPr>
          <w:p>
            <w:pPr>
              <w:spacing w:before="0" w:after="0" w:lineRule="exact" w:line="200"/>
              <w:jc w:val="left"/>
            </w:pPr>
            <w:r/>
            <w:r>
              <w:rPr>
                <w:rFonts w:ascii="Times New Roman" w:hAnsi="Times New Roman"/>
                <w:i w:val="0"/>
                <w:sz w:val="15"/>
              </w:rPr>
              <w:t>Sultan et al. 2016 [5]</w:t>
            </w:r>
          </w:p>
        </w:tc>
        <w:tc>
          <w:tcPr>
            <w:tcW w:type="dxa" w:w="821"/>
          </w:tcPr>
          <w:p>
            <w:pPr>
              <w:spacing w:before="0" w:after="0" w:lineRule="exact" w:line="200"/>
              <w:jc w:val="center"/>
            </w:pPr>
            <w:r/>
            <w:r>
              <w:rPr>
                <w:rFonts w:ascii="Times New Roman" w:hAnsi="Times New Roman"/>
                <w:i w:val="0"/>
                <w:sz w:val="15"/>
              </w:rPr>
              <w:t>0.592</w:t>
            </w:r>
          </w:p>
        </w:tc>
        <w:tc>
          <w:tcPr>
            <w:tcW w:type="dxa" w:w="806"/>
          </w:tcPr>
          <w:p>
            <w:pPr>
              <w:spacing w:before="0" w:after="0" w:lineRule="exact" w:line="200"/>
              <w:jc w:val="center"/>
            </w:pPr>
            <w:r/>
            <w:r>
              <w:rPr>
                <w:rFonts w:ascii="Times New Roman" w:hAnsi="Times New Roman"/>
                <w:i w:val="0"/>
                <w:sz w:val="15"/>
              </w:rPr>
              <w:t>0.97</w:t>
            </w:r>
          </w:p>
        </w:tc>
      </w:tr>
      <w:tr>
        <w:tc>
          <w:tcPr>
            <w:tcW w:type="dxa" w:w="2837"/>
          </w:tcPr>
          <w:p>
            <w:pPr>
              <w:spacing w:before="0" w:after="0" w:lineRule="exact" w:line="200"/>
              <w:jc w:val="left"/>
            </w:pPr>
            <w:r/>
            <w:r>
              <w:rPr>
                <w:rFonts w:ascii="Times New Roman" w:hAnsi="Times New Roman"/>
                <w:i w:val="0"/>
                <w:sz w:val="15"/>
              </w:rPr>
              <w:t>ConceptGrade (this work)</w:t>
            </w:r>
          </w:p>
        </w:tc>
        <w:tc>
          <w:tcPr>
            <w:tcW w:type="dxa" w:w="821"/>
          </w:tcPr>
          <w:p>
            <w:pPr>
              <w:spacing w:before="0" w:after="0" w:lineRule="exact" w:line="200"/>
              <w:jc w:val="center"/>
            </w:pPr>
            <w:r/>
            <w:r>
              <w:rPr>
                <w:rFonts w:ascii="Times New Roman" w:hAnsi="Times New Roman"/>
                <w:i w:val="0"/>
                <w:sz w:val="15"/>
              </w:rPr>
              <w:t>0.954</w:t>
            </w:r>
          </w:p>
        </w:tc>
        <w:tc>
          <w:tcPr>
            <w:tcW w:type="dxa" w:w="806"/>
          </w:tcPr>
          <w:p>
            <w:pPr>
              <w:spacing w:before="0" w:after="0" w:lineRule="exact" w:line="200"/>
              <w:jc w:val="center"/>
            </w:pPr>
            <w:r/>
            <w:r>
              <w:rPr>
                <w:rFonts w:ascii="Times New Roman" w:hAnsi="Times New Roman"/>
                <w:i w:val="0"/>
                <w:sz w:val="15"/>
              </w:rPr>
              <w:t>0.946</w:t>
            </w:r>
          </w:p>
        </w:tc>
      </w:tr>
    </w:tbl>
    <w:p>
      <w:pPr>
        <w:spacing w:before="0" w:after="0" w:lineRule="exact" w:line="120"/>
      </w:pPr>
    </w:p>
    <w:p>
      <w:pPr>
        <w:spacing w:before="0" w:after="80" w:lineRule="exact" w:line="200"/>
        <w:jc w:val="left"/>
      </w:pPr>
      <w:r>
        <w:rPr>
          <w:rFonts w:ascii="Times New Roman" w:hAnsi="Times New Roman"/>
          <w:b w:val="0"/>
          <w:i/>
          <w:sz w:val="16"/>
        </w:rPr>
        <w:t>Approximate comparison: different sample sizes and conditions.</w:t>
      </w:r>
    </w:p>
    <w:p>
      <w:pPr>
        <w:spacing w:before="120" w:after="40" w:line="240" w:lineRule="auto"/>
        <w:jc w:val="center"/>
      </w:pPr>
      <w:r>
        <w:drawing>
          <wp:inline xmlns:a="http://schemas.openxmlformats.org/drawingml/2006/main" xmlns:pic="http://schemas.openxmlformats.org/drawingml/2006/picture">
            <wp:extent cx="2834640" cy="1049362"/>
            <wp:docPr id="2" name="Picture 2"/>
            <wp:cNvGraphicFramePr>
              <a:graphicFrameLocks noChangeAspect="1"/>
            </wp:cNvGraphicFramePr>
            <a:graphic>
              <a:graphicData uri="http://schemas.openxmlformats.org/drawingml/2006/picture">
                <pic:pic>
                  <pic:nvPicPr>
                    <pic:cNvPr id="0" name="fig2_evaluation_results.png"/>
                    <pic:cNvPicPr/>
                  </pic:nvPicPr>
                  <pic:blipFill>
                    <a:blip r:embed="rId10"/>
                    <a:stretch>
                      <a:fillRect/>
                    </a:stretch>
                  </pic:blipFill>
                  <pic:spPr>
                    <a:xfrm>
                      <a:off x="0" y="0"/>
                      <a:ext cx="2834640" cy="1049362"/>
                    </a:xfrm>
                    <a:prstGeom prst="rect"/>
                  </pic:spPr>
                </pic:pic>
              </a:graphicData>
            </a:graphic>
          </wp:inline>
        </w:drawing>
      </w:r>
    </w:p>
    <w:p>
      <w:pPr>
        <w:spacing w:before="20" w:after="120" w:line="240" w:lineRule="auto"/>
        <w:jc w:val="center"/>
      </w:pPr>
      <w:r>
        <w:rPr>
          <w:rFonts w:ascii="Times New Roman" w:hAnsi="Times New Roman"/>
          <w:b w:val="0"/>
          <w:i/>
          <w:sz w:val="16"/>
        </w:rPr>
        <w:t>Fig. 2. Pearson r, QWK, RMSE for all systems. Error bars = 95% bootstrap CIs.</w:t>
      </w:r>
    </w:p>
    <w:p>
      <w:pPr>
        <w:spacing w:before="120" w:after="40" w:line="240" w:lineRule="auto"/>
        <w:jc w:val="center"/>
      </w:pPr>
      <w:r>
        <w:drawing>
          <wp:inline xmlns:a="http://schemas.openxmlformats.org/drawingml/2006/main" xmlns:pic="http://schemas.openxmlformats.org/drawingml/2006/picture">
            <wp:extent cx="2834640" cy="1152935"/>
            <wp:docPr id="3" name="Picture 3"/>
            <wp:cNvGraphicFramePr>
              <a:graphicFrameLocks noChangeAspect="1"/>
            </wp:cNvGraphicFramePr>
            <a:graphic>
              <a:graphicData uri="http://schemas.openxmlformats.org/drawingml/2006/picture">
                <pic:pic>
                  <pic:nvPicPr>
                    <pic:cNvPr id="0" name="fig4_score_analysis.png"/>
                    <pic:cNvPicPr/>
                  </pic:nvPicPr>
                  <pic:blipFill>
                    <a:blip r:embed="rId11"/>
                    <a:stretch>
                      <a:fillRect/>
                    </a:stretch>
                  </pic:blipFill>
                  <pic:spPr>
                    <a:xfrm>
                      <a:off x="0" y="0"/>
                      <a:ext cx="2834640" cy="1152935"/>
                    </a:xfrm>
                    <a:prstGeom prst="rect"/>
                  </pic:spPr>
                </pic:pic>
              </a:graphicData>
            </a:graphic>
          </wp:inline>
        </w:drawing>
      </w:r>
    </w:p>
    <w:p>
      <w:pPr>
        <w:spacing w:before="20" w:after="120" w:line="240" w:lineRule="auto"/>
        <w:jc w:val="center"/>
      </w:pPr>
      <w:r>
        <w:rPr>
          <w:rFonts w:ascii="Times New Roman" w:hAnsi="Times New Roman"/>
          <w:b w:val="0"/>
          <w:i/>
          <w:sz w:val="16"/>
        </w:rPr>
        <w:t>Fig. 3. Predicted vs. human scores (left). ConceptGrade clusters tightly along the diagonal. Score distribution (right).</w:t>
      </w:r>
    </w:p>
    <w:p>
      <w:pPr>
        <w:spacing w:before="80" w:after="20" w:lineRule="exact" w:line="220"/>
        <w:jc w:val="left"/>
      </w:pPr>
      <w:r>
        <w:rPr>
          <w:rFonts w:ascii="Times New Roman" w:hAnsi="Times New Roman"/>
          <w:b/>
          <w:i/>
          <w:sz w:val="18"/>
        </w:rPr>
        <w:t>B. Statistical Significance</w:t>
      </w:r>
    </w:p>
    <w:p>
      <w:pPr>
        <w:spacing w:before="80" w:after="20" w:lineRule="exact" w:line="200"/>
        <w:jc w:val="center"/>
      </w:pPr>
      <w:r>
        <w:rPr>
          <w:rFonts w:ascii="Times New Roman" w:hAnsi="Times New Roman"/>
          <w:b/>
          <w:i w:val="0"/>
          <w:sz w:val="16"/>
        </w:rPr>
        <w:t>TABLE IV.  Wilcoxon Signed-Rank Tests (one-tailed)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016"/>
            <w:shd w:val="clear" w:color="auto" w:fill="D7D7D7"/>
          </w:tcPr>
          <w:p>
            <w:pPr>
              <w:spacing w:before="0" w:after="0" w:lineRule="exact" w:line="200"/>
              <w:jc w:val="center"/>
            </w:pPr>
            <w:r/>
            <w:r>
              <w:rPr>
                <w:rFonts w:ascii="Times New Roman" w:hAnsi="Times New Roman"/>
                <w:b/>
                <w:i w:val="0"/>
                <w:sz w:val="15"/>
              </w:rPr>
              <w:t>Comparison</w:t>
            </w:r>
          </w:p>
        </w:tc>
        <w:tc>
          <w:tcPr>
            <w:tcW w:type="dxa" w:w="648"/>
            <w:shd w:val="clear" w:color="auto" w:fill="D7D7D7"/>
          </w:tcPr>
          <w:p>
            <w:pPr>
              <w:spacing w:before="0" w:after="0" w:lineRule="exact" w:line="200"/>
              <w:jc w:val="center"/>
            </w:pPr>
            <w:r/>
            <w:r>
              <w:rPr>
                <w:rFonts w:ascii="Times New Roman" w:hAnsi="Times New Roman"/>
                <w:b/>
                <w:i w:val="0"/>
                <w:sz w:val="15"/>
              </w:rPr>
              <w:t>W</w:t>
            </w:r>
          </w:p>
        </w:tc>
        <w:tc>
          <w:tcPr>
            <w:tcW w:type="dxa" w:w="1224"/>
            <w:shd w:val="clear" w:color="auto" w:fill="D7D7D7"/>
          </w:tcPr>
          <w:p>
            <w:pPr>
              <w:spacing w:before="0" w:after="0" w:lineRule="exact" w:line="200"/>
              <w:jc w:val="center"/>
            </w:pPr>
            <w:r/>
            <w:r>
              <w:rPr>
                <w:rFonts w:ascii="Times New Roman" w:hAnsi="Times New Roman"/>
                <w:b/>
                <w:i w:val="0"/>
                <w:sz w:val="15"/>
              </w:rPr>
              <w:t>p-value</w:t>
            </w:r>
          </w:p>
        </w:tc>
        <w:tc>
          <w:tcPr>
            <w:tcW w:type="dxa" w:w="576"/>
            <w:shd w:val="clear" w:color="auto" w:fill="D7D7D7"/>
          </w:tcPr>
          <w:p>
            <w:pPr>
              <w:spacing w:before="0" w:after="0" w:lineRule="exact" w:line="200"/>
              <w:jc w:val="center"/>
            </w:pPr>
            <w:r/>
            <w:r>
              <w:rPr>
                <w:rFonts w:ascii="Times New Roman" w:hAnsi="Times New Roman"/>
                <w:b/>
                <w:i w:val="0"/>
                <w:sz w:val="15"/>
              </w:rPr>
              <w:t>Sig.</w:t>
            </w:r>
          </w:p>
        </w:tc>
      </w:tr>
      <w:tr>
        <w:tc>
          <w:tcPr>
            <w:tcW w:type="dxa" w:w="2016"/>
          </w:tcPr>
          <w:p>
            <w:pPr>
              <w:spacing w:before="0" w:after="0" w:lineRule="exact" w:line="200"/>
              <w:jc w:val="left"/>
            </w:pPr>
            <w:r/>
            <w:r>
              <w:rPr>
                <w:rFonts w:ascii="Times New Roman" w:hAnsi="Times New Roman"/>
                <w:i w:val="0"/>
                <w:sz w:val="15"/>
              </w:rPr>
              <w:t>ConceptGrade &gt; Cosine</w:t>
            </w:r>
          </w:p>
        </w:tc>
        <w:tc>
          <w:tcPr>
            <w:tcW w:type="dxa" w:w="648"/>
          </w:tcPr>
          <w:p>
            <w:pPr>
              <w:spacing w:before="0" w:after="0" w:lineRule="exact" w:line="200"/>
              <w:jc w:val="center"/>
            </w:pPr>
            <w:r/>
            <w:r>
              <w:rPr>
                <w:rFonts w:ascii="Times New Roman" w:hAnsi="Times New Roman"/>
                <w:i w:val="0"/>
                <w:sz w:val="15"/>
              </w:rPr>
              <w:t>448.0</w:t>
            </w:r>
          </w:p>
        </w:tc>
        <w:tc>
          <w:tcPr>
            <w:tcW w:type="dxa" w:w="1224"/>
          </w:tcPr>
          <w:p>
            <w:pPr>
              <w:spacing w:before="0" w:after="0" w:lineRule="exact" w:line="200"/>
              <w:jc w:val="center"/>
            </w:pPr>
            <w:r/>
            <w:r>
              <w:rPr>
                <w:rFonts w:ascii="Times New Roman" w:hAnsi="Times New Roman"/>
                <w:i w:val="0"/>
                <w:sz w:val="15"/>
              </w:rPr>
              <w:t>4.65e-06</w:t>
            </w:r>
          </w:p>
        </w:tc>
        <w:tc>
          <w:tcPr>
            <w:tcW w:type="dxa" w:w="576"/>
          </w:tcPr>
          <w:p>
            <w:pPr>
              <w:spacing w:before="0" w:after="0" w:lineRule="exact" w:line="200"/>
              <w:jc w:val="center"/>
            </w:pPr>
            <w:r/>
            <w:r>
              <w:rPr>
                <w:rFonts w:ascii="Times New Roman" w:hAnsi="Times New Roman"/>
                <w:i w:val="0"/>
                <w:sz w:val="15"/>
              </w:rPr>
              <w:t>***</w:t>
            </w:r>
          </w:p>
        </w:tc>
      </w:tr>
      <w:tr>
        <w:tc>
          <w:tcPr>
            <w:tcW w:type="dxa" w:w="2016"/>
          </w:tcPr>
          <w:p>
            <w:pPr>
              <w:spacing w:before="0" w:after="0" w:lineRule="exact" w:line="200"/>
              <w:jc w:val="left"/>
            </w:pPr>
            <w:r/>
            <w:r>
              <w:rPr>
                <w:rFonts w:ascii="Times New Roman" w:hAnsi="Times New Roman"/>
                <w:i w:val="0"/>
                <w:sz w:val="15"/>
              </w:rPr>
              <w:t>ConceptGrade &gt; LLM</w:t>
            </w:r>
          </w:p>
        </w:tc>
        <w:tc>
          <w:tcPr>
            <w:tcW w:type="dxa" w:w="648"/>
          </w:tcPr>
          <w:p>
            <w:pPr>
              <w:spacing w:before="0" w:after="0" w:lineRule="exact" w:line="200"/>
              <w:jc w:val="center"/>
            </w:pPr>
            <w:r/>
            <w:r>
              <w:rPr>
                <w:rFonts w:ascii="Times New Roman" w:hAnsi="Times New Roman"/>
                <w:i w:val="0"/>
                <w:sz w:val="15"/>
              </w:rPr>
              <w:t>444.0</w:t>
            </w:r>
          </w:p>
        </w:tc>
        <w:tc>
          <w:tcPr>
            <w:tcW w:type="dxa" w:w="1224"/>
          </w:tcPr>
          <w:p>
            <w:pPr>
              <w:spacing w:before="0" w:after="0" w:lineRule="exact" w:line="200"/>
              <w:jc w:val="center"/>
            </w:pPr>
            <w:r/>
            <w:r>
              <w:rPr>
                <w:rFonts w:ascii="Times New Roman" w:hAnsi="Times New Roman"/>
                <w:i w:val="0"/>
                <w:sz w:val="15"/>
              </w:rPr>
              <w:t>6.80e-06</w:t>
            </w:r>
          </w:p>
        </w:tc>
        <w:tc>
          <w:tcPr>
            <w:tcW w:type="dxa" w:w="576"/>
          </w:tcPr>
          <w:p>
            <w:pPr>
              <w:spacing w:before="0" w:after="0" w:lineRule="exact" w:line="200"/>
              <w:jc w:val="center"/>
            </w:pPr>
            <w:r/>
            <w:r>
              <w:rPr>
                <w:rFonts w:ascii="Times New Roman" w:hAnsi="Times New Roman"/>
                <w:i w:val="0"/>
                <w:sz w:val="15"/>
              </w:rPr>
              <w:t>***</w:t>
            </w:r>
          </w:p>
        </w:tc>
      </w:tr>
      <w:tr>
        <w:tc>
          <w:tcPr>
            <w:tcW w:type="dxa" w:w="2016"/>
          </w:tcPr>
          <w:p>
            <w:pPr>
              <w:spacing w:before="0" w:after="0" w:lineRule="exact" w:line="200"/>
              <w:jc w:val="left"/>
            </w:pPr>
            <w:r/>
            <w:r>
              <w:rPr>
                <w:rFonts w:ascii="Times New Roman" w:hAnsi="Times New Roman"/>
                <w:i w:val="0"/>
                <w:sz w:val="15"/>
              </w:rPr>
              <w:t>LLM &gt; Cosine</w:t>
            </w:r>
          </w:p>
        </w:tc>
        <w:tc>
          <w:tcPr>
            <w:tcW w:type="dxa" w:w="648"/>
          </w:tcPr>
          <w:p>
            <w:pPr>
              <w:spacing w:before="0" w:after="0" w:lineRule="exact" w:line="200"/>
              <w:jc w:val="center"/>
            </w:pPr>
            <w:r/>
            <w:r>
              <w:rPr>
                <w:rFonts w:ascii="Times New Roman" w:hAnsi="Times New Roman"/>
                <w:i w:val="0"/>
                <w:sz w:val="15"/>
              </w:rPr>
              <w:t>410.0</w:t>
            </w:r>
          </w:p>
        </w:tc>
        <w:tc>
          <w:tcPr>
            <w:tcW w:type="dxa" w:w="1224"/>
          </w:tcPr>
          <w:p>
            <w:pPr>
              <w:spacing w:before="0" w:after="0" w:lineRule="exact" w:line="200"/>
              <w:jc w:val="center"/>
            </w:pPr>
            <w:r/>
            <w:r>
              <w:rPr>
                <w:rFonts w:ascii="Times New Roman" w:hAnsi="Times New Roman"/>
                <w:i w:val="0"/>
                <w:sz w:val="15"/>
              </w:rPr>
              <w:t>1.31e-04</w:t>
            </w:r>
          </w:p>
        </w:tc>
        <w:tc>
          <w:tcPr>
            <w:tcW w:type="dxa" w:w="576"/>
          </w:tcPr>
          <w:p>
            <w:pPr>
              <w:spacing w:before="0" w:after="0" w:lineRule="exact" w:line="200"/>
              <w:jc w:val="center"/>
            </w:pPr>
            <w:r/>
            <w:r>
              <w:rPr>
                <w:rFonts w:ascii="Times New Roman" w:hAnsi="Times New Roman"/>
                <w:i w:val="0"/>
                <w:sz w:val="15"/>
              </w:rPr>
              <w:t>***</w:t>
            </w:r>
          </w:p>
        </w:tc>
      </w:tr>
    </w:tbl>
    <w:p>
      <w:pPr>
        <w:spacing w:before="0" w:after="0" w:lineRule="exact" w:line="120"/>
      </w:pPr>
    </w:p>
    <w:p>
      <w:pPr>
        <w:spacing w:before="0" w:after="80" w:lineRule="exact" w:line="200"/>
        <w:jc w:val="left"/>
      </w:pPr>
      <w:r>
        <w:rPr>
          <w:rFonts w:ascii="Times New Roman" w:hAnsi="Times New Roman"/>
          <w:b w:val="0"/>
          <w:i/>
          <w:sz w:val="16"/>
        </w:rPr>
        <w:t>*** p &lt; 0.001.  MAE: ConceptGrade=0.799, LLM=1.503, Cosine=1.864</w:t>
      </w:r>
    </w:p>
    <w:p>
      <w:pPr>
        <w:spacing w:before="140" w:after="40" w:lineRule="exact" w:line="240"/>
        <w:jc w:val="center"/>
      </w:pPr>
      <w:r>
        <w:rPr>
          <w:rFonts w:ascii="Times New Roman" w:hAnsi="Times New Roman"/>
          <w:b/>
          <w:i w:val="0"/>
          <w:sz w:val="20"/>
        </w:rPr>
        <w:t>VI. ABLATION STUDY</w:t>
      </w:r>
    </w:p>
    <w:p>
      <w:pPr>
        <w:spacing w:before="0" w:after="40" w:lineRule="exact" w:line="220"/>
        <w:jc w:val="both"/>
      </w:pPr>
      <w:r>
        <w:rPr>
          <w:rFonts w:ascii="Times New Roman" w:hAnsi="Times New Roman"/>
          <w:b w:val="0"/>
          <w:i w:val="0"/>
          <w:sz w:val="18"/>
        </w:rPr>
        <w:t>Seven conditions: full system, five conditions each removing one scoring signal, and a cosine-only baseline. Removed weights are set to zero; remaining weights are renormalised to sum to 1.0.</w:t>
      </w:r>
    </w:p>
    <w:p>
      <w:pPr>
        <w:spacing w:before="80" w:after="20" w:lineRule="exact" w:line="200"/>
        <w:jc w:val="center"/>
      </w:pPr>
      <w:r>
        <w:rPr>
          <w:rFonts w:ascii="Times New Roman" w:hAnsi="Times New Roman"/>
          <w:b/>
          <w:i w:val="0"/>
          <w:sz w:val="16"/>
        </w:rPr>
        <w:t>TABLE V.  Ablation Results (n = 30)</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800"/>
            <w:shd w:val="clear" w:color="auto" w:fill="D7D7D7"/>
          </w:tcPr>
          <w:p>
            <w:pPr>
              <w:spacing w:before="0" w:after="0" w:lineRule="exact" w:line="200"/>
              <w:jc w:val="center"/>
            </w:pPr>
            <w:r/>
            <w:r>
              <w:rPr>
                <w:rFonts w:ascii="Times New Roman" w:hAnsi="Times New Roman"/>
                <w:b/>
                <w:i w:val="0"/>
                <w:sz w:val="15"/>
              </w:rPr>
              <w:t>Condition</w:t>
            </w:r>
          </w:p>
        </w:tc>
        <w:tc>
          <w:tcPr>
            <w:tcW w:type="dxa" w:w="576"/>
            <w:shd w:val="clear" w:color="auto" w:fill="D7D7D7"/>
          </w:tcPr>
          <w:p>
            <w:pPr>
              <w:spacing w:before="0" w:after="0" w:lineRule="exact" w:line="200"/>
              <w:jc w:val="center"/>
            </w:pPr>
            <w:r/>
            <w:r>
              <w:rPr>
                <w:rFonts w:ascii="Times New Roman" w:hAnsi="Times New Roman"/>
                <w:b/>
                <w:i w:val="0"/>
                <w:sz w:val="15"/>
              </w:rPr>
              <w:t>r</w:t>
            </w:r>
          </w:p>
        </w:tc>
        <w:tc>
          <w:tcPr>
            <w:tcW w:type="dxa" w:w="648"/>
            <w:shd w:val="clear" w:color="auto" w:fill="D7D7D7"/>
          </w:tcPr>
          <w:p>
            <w:pPr>
              <w:spacing w:before="0" w:after="0" w:lineRule="exact" w:line="200"/>
              <w:jc w:val="center"/>
            </w:pPr>
            <w:r/>
            <w:r>
              <w:rPr>
                <w:rFonts w:ascii="Times New Roman" w:hAnsi="Times New Roman"/>
                <w:b/>
                <w:i w:val="0"/>
                <w:sz w:val="15"/>
              </w:rPr>
              <w:t>Δr</w:t>
            </w:r>
          </w:p>
        </w:tc>
        <w:tc>
          <w:tcPr>
            <w:tcW w:type="dxa" w:w="576"/>
            <w:shd w:val="clear" w:color="auto" w:fill="D7D7D7"/>
          </w:tcPr>
          <w:p>
            <w:pPr>
              <w:spacing w:before="0" w:after="0" w:lineRule="exact" w:line="200"/>
              <w:jc w:val="center"/>
            </w:pPr>
            <w:r/>
            <w:r>
              <w:rPr>
                <w:rFonts w:ascii="Times New Roman" w:hAnsi="Times New Roman"/>
                <w:b/>
                <w:i w:val="0"/>
                <w:sz w:val="15"/>
              </w:rPr>
              <w:t>QWK</w:t>
            </w:r>
          </w:p>
        </w:tc>
        <w:tc>
          <w:tcPr>
            <w:tcW w:type="dxa" w:w="864"/>
            <w:shd w:val="clear" w:color="auto" w:fill="D7D7D7"/>
          </w:tcPr>
          <w:p>
            <w:pPr>
              <w:spacing w:before="0" w:after="0" w:lineRule="exact" w:line="200"/>
              <w:jc w:val="center"/>
            </w:pPr>
            <w:r/>
            <w:r>
              <w:rPr>
                <w:rFonts w:ascii="Times New Roman" w:hAnsi="Times New Roman"/>
                <w:b/>
                <w:i w:val="0"/>
                <w:sz w:val="15"/>
              </w:rPr>
              <w:t>ΔQ</w:t>
            </w:r>
          </w:p>
        </w:tc>
      </w:tr>
      <w:tr>
        <w:tc>
          <w:tcPr>
            <w:tcW w:type="dxa" w:w="1800"/>
          </w:tcPr>
          <w:p>
            <w:pPr>
              <w:spacing w:before="0" w:after="0" w:lineRule="exact" w:line="200"/>
              <w:jc w:val="left"/>
            </w:pPr>
            <w:r/>
            <w:r>
              <w:rPr>
                <w:rFonts w:ascii="Times New Roman" w:hAnsi="Times New Roman"/>
                <w:b/>
                <w:i w:val="0"/>
                <w:sz w:val="15"/>
              </w:rPr>
              <w:t>Full ConceptGrade</w:t>
            </w:r>
          </w:p>
        </w:tc>
        <w:tc>
          <w:tcPr>
            <w:tcW w:type="dxa" w:w="576"/>
          </w:tcPr>
          <w:p>
            <w:pPr>
              <w:spacing w:before="0" w:after="0" w:lineRule="exact" w:line="200"/>
              <w:jc w:val="center"/>
            </w:pPr>
            <w:r/>
            <w:r>
              <w:rPr>
                <w:rFonts w:ascii="Times New Roman" w:hAnsi="Times New Roman"/>
                <w:b/>
                <w:i w:val="0"/>
                <w:sz w:val="15"/>
              </w:rPr>
              <w:t>0.954</w:t>
            </w:r>
          </w:p>
        </w:tc>
        <w:tc>
          <w:tcPr>
            <w:tcW w:type="dxa" w:w="648"/>
          </w:tcPr>
          <w:p>
            <w:pPr>
              <w:spacing w:before="0" w:after="0" w:lineRule="exact" w:line="200"/>
              <w:jc w:val="center"/>
            </w:pPr>
            <w:r/>
            <w:r>
              <w:rPr>
                <w:rFonts w:ascii="Times New Roman" w:hAnsi="Times New Roman"/>
                <w:b/>
                <w:i w:val="0"/>
                <w:sz w:val="15"/>
              </w:rPr>
              <w:t>—</w:t>
            </w:r>
          </w:p>
        </w:tc>
        <w:tc>
          <w:tcPr>
            <w:tcW w:type="dxa" w:w="576"/>
          </w:tcPr>
          <w:p>
            <w:pPr>
              <w:spacing w:before="0" w:after="0" w:lineRule="exact" w:line="200"/>
              <w:jc w:val="center"/>
            </w:pPr>
            <w:r/>
            <w:r>
              <w:rPr>
                <w:rFonts w:ascii="Times New Roman" w:hAnsi="Times New Roman"/>
                <w:b/>
                <w:i w:val="0"/>
                <w:sz w:val="15"/>
              </w:rPr>
              <w:t>0.721</w:t>
            </w:r>
          </w:p>
        </w:tc>
        <w:tc>
          <w:tcPr>
            <w:tcW w:type="dxa" w:w="864"/>
          </w:tcPr>
          <w:p>
            <w:pPr>
              <w:spacing w:before="0" w:after="0" w:lineRule="exact" w:line="200"/>
              <w:jc w:val="center"/>
            </w:pPr>
            <w:r/>
            <w:r>
              <w:rPr>
                <w:rFonts w:ascii="Times New Roman" w:hAnsi="Times New Roman"/>
                <w:b/>
                <w:i w:val="0"/>
                <w:sz w:val="15"/>
              </w:rPr>
              <w:t>—</w:t>
            </w:r>
          </w:p>
        </w:tc>
      </w:tr>
      <w:tr>
        <w:tc>
          <w:tcPr>
            <w:tcW w:type="dxa" w:w="1800"/>
          </w:tcPr>
          <w:p>
            <w:pPr>
              <w:spacing w:before="0" w:after="0" w:lineRule="exact" w:line="200"/>
              <w:jc w:val="left"/>
            </w:pPr>
            <w:r/>
            <w:r>
              <w:rPr>
                <w:rFonts w:ascii="Times New Roman" w:hAnsi="Times New Roman"/>
                <w:b w:val="0"/>
                <w:i w:val="0"/>
                <w:sz w:val="15"/>
              </w:rPr>
              <w:t>- Concept Coverage</w:t>
            </w:r>
          </w:p>
        </w:tc>
        <w:tc>
          <w:tcPr>
            <w:tcW w:type="dxa" w:w="576"/>
          </w:tcPr>
          <w:p>
            <w:pPr>
              <w:spacing w:before="0" w:after="0" w:lineRule="exact" w:line="200"/>
              <w:jc w:val="center"/>
            </w:pPr>
            <w:r/>
            <w:r>
              <w:rPr>
                <w:rFonts w:ascii="Times New Roman" w:hAnsi="Times New Roman"/>
                <w:b w:val="0"/>
                <w:i w:val="0"/>
                <w:sz w:val="15"/>
              </w:rPr>
              <w:t>0.895</w:t>
            </w:r>
          </w:p>
        </w:tc>
        <w:tc>
          <w:tcPr>
            <w:tcW w:type="dxa" w:w="648"/>
          </w:tcPr>
          <w:p>
            <w:pPr>
              <w:spacing w:before="0" w:after="0" w:lineRule="exact" w:line="200"/>
              <w:jc w:val="center"/>
            </w:pPr>
            <w:r/>
            <w:r>
              <w:rPr>
                <w:rFonts w:ascii="Times New Roman" w:hAnsi="Times New Roman"/>
                <w:b w:val="0"/>
                <w:i w:val="0"/>
                <w:sz w:val="15"/>
              </w:rPr>
              <w:t>-0.059</w:t>
            </w:r>
          </w:p>
        </w:tc>
        <w:tc>
          <w:tcPr>
            <w:tcW w:type="dxa" w:w="576"/>
          </w:tcPr>
          <w:p>
            <w:pPr>
              <w:spacing w:before="0" w:after="0" w:lineRule="exact" w:line="200"/>
              <w:jc w:val="center"/>
            </w:pPr>
            <w:r/>
            <w:r>
              <w:rPr>
                <w:rFonts w:ascii="Times New Roman" w:hAnsi="Times New Roman"/>
                <w:b w:val="0"/>
                <w:i w:val="0"/>
                <w:sz w:val="15"/>
              </w:rPr>
              <w:t>0.305</w:t>
            </w:r>
          </w:p>
        </w:tc>
        <w:tc>
          <w:tcPr>
            <w:tcW w:type="dxa" w:w="864"/>
          </w:tcPr>
          <w:p>
            <w:pPr>
              <w:spacing w:before="0" w:after="0" w:lineRule="exact" w:line="200"/>
              <w:jc w:val="center"/>
            </w:pPr>
            <w:r/>
            <w:r>
              <w:rPr>
                <w:rFonts w:ascii="Times New Roman" w:hAnsi="Times New Roman"/>
                <w:b w:val="0"/>
                <w:i w:val="0"/>
                <w:sz w:val="15"/>
              </w:rPr>
              <w:t>-0.416</w:t>
            </w:r>
          </w:p>
        </w:tc>
      </w:tr>
      <w:tr>
        <w:tc>
          <w:tcPr>
            <w:tcW w:type="dxa" w:w="1800"/>
          </w:tcPr>
          <w:p>
            <w:pPr>
              <w:spacing w:before="0" w:after="0" w:lineRule="exact" w:line="200"/>
              <w:jc w:val="left"/>
            </w:pPr>
            <w:r/>
            <w:r>
              <w:rPr>
                <w:rFonts w:ascii="Times New Roman" w:hAnsi="Times New Roman"/>
                <w:b w:val="0"/>
                <w:i w:val="0"/>
                <w:sz w:val="15"/>
              </w:rPr>
              <w:t>- SOLO Proxy</w:t>
            </w:r>
          </w:p>
        </w:tc>
        <w:tc>
          <w:tcPr>
            <w:tcW w:type="dxa" w:w="576"/>
          </w:tcPr>
          <w:p>
            <w:pPr>
              <w:spacing w:before="0" w:after="0" w:lineRule="exact" w:line="200"/>
              <w:jc w:val="center"/>
            </w:pPr>
            <w:r/>
            <w:r>
              <w:rPr>
                <w:rFonts w:ascii="Times New Roman" w:hAnsi="Times New Roman"/>
                <w:b w:val="0"/>
                <w:i w:val="0"/>
                <w:sz w:val="15"/>
              </w:rPr>
              <w:t>0.933</w:t>
            </w:r>
          </w:p>
        </w:tc>
        <w:tc>
          <w:tcPr>
            <w:tcW w:type="dxa" w:w="648"/>
          </w:tcPr>
          <w:p>
            <w:pPr>
              <w:spacing w:before="0" w:after="0" w:lineRule="exact" w:line="200"/>
              <w:jc w:val="center"/>
            </w:pPr>
            <w:r/>
            <w:r>
              <w:rPr>
                <w:rFonts w:ascii="Times New Roman" w:hAnsi="Times New Roman"/>
                <w:b w:val="0"/>
                <w:i w:val="0"/>
                <w:sz w:val="15"/>
              </w:rPr>
              <w:t>-0.021</w:t>
            </w:r>
          </w:p>
        </w:tc>
        <w:tc>
          <w:tcPr>
            <w:tcW w:type="dxa" w:w="576"/>
          </w:tcPr>
          <w:p>
            <w:pPr>
              <w:spacing w:before="0" w:after="0" w:lineRule="exact" w:line="200"/>
              <w:jc w:val="center"/>
            </w:pPr>
            <w:r/>
            <w:r>
              <w:rPr>
                <w:rFonts w:ascii="Times New Roman" w:hAnsi="Times New Roman"/>
                <w:b w:val="0"/>
                <w:i w:val="0"/>
                <w:sz w:val="15"/>
              </w:rPr>
              <w:t>0.525</w:t>
            </w:r>
          </w:p>
        </w:tc>
        <w:tc>
          <w:tcPr>
            <w:tcW w:type="dxa" w:w="864"/>
          </w:tcPr>
          <w:p>
            <w:pPr>
              <w:spacing w:before="0" w:after="0" w:lineRule="exact" w:line="200"/>
              <w:jc w:val="center"/>
            </w:pPr>
            <w:r/>
            <w:r>
              <w:rPr>
                <w:rFonts w:ascii="Times New Roman" w:hAnsi="Times New Roman"/>
                <w:b w:val="0"/>
                <w:i w:val="0"/>
                <w:sz w:val="15"/>
              </w:rPr>
              <w:t>-0.196</w:t>
            </w:r>
          </w:p>
        </w:tc>
      </w:tr>
      <w:tr>
        <w:tc>
          <w:tcPr>
            <w:tcW w:type="dxa" w:w="1800"/>
          </w:tcPr>
          <w:p>
            <w:pPr>
              <w:spacing w:before="0" w:after="0" w:lineRule="exact" w:line="200"/>
              <w:jc w:val="left"/>
            </w:pPr>
            <w:r/>
            <w:r>
              <w:rPr>
                <w:rFonts w:ascii="Times New Roman" w:hAnsi="Times New Roman"/>
                <w:b w:val="0"/>
                <w:i w:val="0"/>
                <w:sz w:val="15"/>
              </w:rPr>
              <w:t>- Depth / Blooms</w:t>
            </w:r>
          </w:p>
        </w:tc>
        <w:tc>
          <w:tcPr>
            <w:tcW w:type="dxa" w:w="576"/>
          </w:tcPr>
          <w:p>
            <w:pPr>
              <w:spacing w:before="0" w:after="0" w:lineRule="exact" w:line="200"/>
              <w:jc w:val="center"/>
            </w:pPr>
            <w:r/>
            <w:r>
              <w:rPr>
                <w:rFonts w:ascii="Times New Roman" w:hAnsi="Times New Roman"/>
                <w:b w:val="0"/>
                <w:i w:val="0"/>
                <w:sz w:val="15"/>
              </w:rPr>
              <w:t>0.964</w:t>
            </w:r>
          </w:p>
        </w:tc>
        <w:tc>
          <w:tcPr>
            <w:tcW w:type="dxa" w:w="648"/>
          </w:tcPr>
          <w:p>
            <w:pPr>
              <w:spacing w:before="0" w:after="0" w:lineRule="exact" w:line="200"/>
              <w:jc w:val="center"/>
            </w:pPr>
            <w:r/>
            <w:r>
              <w:rPr>
                <w:rFonts w:ascii="Times New Roman" w:hAnsi="Times New Roman"/>
                <w:b w:val="0"/>
                <w:i w:val="0"/>
                <w:sz w:val="15"/>
              </w:rPr>
              <w:t>+0.010</w:t>
            </w:r>
          </w:p>
        </w:tc>
        <w:tc>
          <w:tcPr>
            <w:tcW w:type="dxa" w:w="576"/>
          </w:tcPr>
          <w:p>
            <w:pPr>
              <w:spacing w:before="0" w:after="0" w:lineRule="exact" w:line="200"/>
              <w:jc w:val="center"/>
            </w:pPr>
            <w:r/>
            <w:r>
              <w:rPr>
                <w:rFonts w:ascii="Times New Roman" w:hAnsi="Times New Roman"/>
                <w:b w:val="0"/>
                <w:i w:val="0"/>
                <w:sz w:val="15"/>
              </w:rPr>
              <w:t>0.571</w:t>
            </w:r>
          </w:p>
        </w:tc>
        <w:tc>
          <w:tcPr>
            <w:tcW w:type="dxa" w:w="864"/>
          </w:tcPr>
          <w:p>
            <w:pPr>
              <w:spacing w:before="0" w:after="0" w:lineRule="exact" w:line="200"/>
              <w:jc w:val="center"/>
            </w:pPr>
            <w:r/>
            <w:r>
              <w:rPr>
                <w:rFonts w:ascii="Times New Roman" w:hAnsi="Times New Roman"/>
                <w:b w:val="0"/>
                <w:i w:val="0"/>
                <w:sz w:val="15"/>
              </w:rPr>
              <w:t>-0.150</w:t>
            </w:r>
          </w:p>
        </w:tc>
      </w:tr>
      <w:tr>
        <w:tc>
          <w:tcPr>
            <w:tcW w:type="dxa" w:w="1800"/>
          </w:tcPr>
          <w:p>
            <w:pPr>
              <w:spacing w:before="0" w:after="0" w:lineRule="exact" w:line="200"/>
              <w:jc w:val="left"/>
            </w:pPr>
            <w:r/>
            <w:r>
              <w:rPr>
                <w:rFonts w:ascii="Times New Roman" w:hAnsi="Times New Roman"/>
                <w:b w:val="0"/>
                <w:i w:val="0"/>
                <w:sz w:val="15"/>
              </w:rPr>
              <w:t>- Cosine Signal</w:t>
            </w:r>
          </w:p>
        </w:tc>
        <w:tc>
          <w:tcPr>
            <w:tcW w:type="dxa" w:w="576"/>
          </w:tcPr>
          <w:p>
            <w:pPr>
              <w:spacing w:before="0" w:after="0" w:lineRule="exact" w:line="200"/>
              <w:jc w:val="center"/>
            </w:pPr>
            <w:r/>
            <w:r>
              <w:rPr>
                <w:rFonts w:ascii="Times New Roman" w:hAnsi="Times New Roman"/>
                <w:b w:val="0"/>
                <w:i w:val="0"/>
                <w:sz w:val="15"/>
              </w:rPr>
              <w:t>0.954</w:t>
            </w:r>
          </w:p>
        </w:tc>
        <w:tc>
          <w:tcPr>
            <w:tcW w:type="dxa" w:w="648"/>
          </w:tcPr>
          <w:p>
            <w:pPr>
              <w:spacing w:before="0" w:after="0" w:lineRule="exact" w:line="200"/>
              <w:jc w:val="center"/>
            </w:pPr>
            <w:r/>
            <w:r>
              <w:rPr>
                <w:rFonts w:ascii="Times New Roman" w:hAnsi="Times New Roman"/>
                <w:b w:val="0"/>
                <w:i w:val="0"/>
                <w:sz w:val="15"/>
              </w:rPr>
              <w:t>+0.001</w:t>
            </w:r>
          </w:p>
        </w:tc>
        <w:tc>
          <w:tcPr>
            <w:tcW w:type="dxa" w:w="576"/>
          </w:tcPr>
          <w:p>
            <w:pPr>
              <w:spacing w:before="0" w:after="0" w:lineRule="exact" w:line="200"/>
              <w:jc w:val="center"/>
            </w:pPr>
            <w:r/>
            <w:r>
              <w:rPr>
                <w:rFonts w:ascii="Times New Roman" w:hAnsi="Times New Roman"/>
                <w:b w:val="0"/>
                <w:i w:val="0"/>
                <w:sz w:val="15"/>
              </w:rPr>
              <w:t>0.604</w:t>
            </w:r>
          </w:p>
        </w:tc>
        <w:tc>
          <w:tcPr>
            <w:tcW w:type="dxa" w:w="864"/>
          </w:tcPr>
          <w:p>
            <w:pPr>
              <w:spacing w:before="0" w:after="0" w:lineRule="exact" w:line="200"/>
              <w:jc w:val="center"/>
            </w:pPr>
            <w:r/>
            <w:r>
              <w:rPr>
                <w:rFonts w:ascii="Times New Roman" w:hAnsi="Times New Roman"/>
                <w:b w:val="0"/>
                <w:i w:val="0"/>
                <w:sz w:val="15"/>
              </w:rPr>
              <w:t>-0.117</w:t>
            </w:r>
          </w:p>
        </w:tc>
      </w:tr>
      <w:tr>
        <w:tc>
          <w:tcPr>
            <w:tcW w:type="dxa" w:w="1800"/>
          </w:tcPr>
          <w:p>
            <w:pPr>
              <w:spacing w:before="0" w:after="0" w:lineRule="exact" w:line="200"/>
              <w:jc w:val="left"/>
            </w:pPr>
            <w:r/>
            <w:r>
              <w:rPr>
                <w:rFonts w:ascii="Times New Roman" w:hAnsi="Times New Roman"/>
                <w:b w:val="0"/>
                <w:i w:val="0"/>
                <w:sz w:val="15"/>
              </w:rPr>
              <w:t>- Misconception</w:t>
            </w:r>
          </w:p>
        </w:tc>
        <w:tc>
          <w:tcPr>
            <w:tcW w:type="dxa" w:w="576"/>
          </w:tcPr>
          <w:p>
            <w:pPr>
              <w:spacing w:before="0" w:after="0" w:lineRule="exact" w:line="200"/>
              <w:jc w:val="center"/>
            </w:pPr>
            <w:r/>
            <w:r>
              <w:rPr>
                <w:rFonts w:ascii="Times New Roman" w:hAnsi="Times New Roman"/>
                <w:b w:val="0"/>
                <w:i w:val="0"/>
                <w:sz w:val="15"/>
              </w:rPr>
              <w:t>0.951</w:t>
            </w:r>
          </w:p>
        </w:tc>
        <w:tc>
          <w:tcPr>
            <w:tcW w:type="dxa" w:w="648"/>
          </w:tcPr>
          <w:p>
            <w:pPr>
              <w:spacing w:before="0" w:after="0" w:lineRule="exact" w:line="200"/>
              <w:jc w:val="center"/>
            </w:pPr>
            <w:r/>
            <w:r>
              <w:rPr>
                <w:rFonts w:ascii="Times New Roman" w:hAnsi="Times New Roman"/>
                <w:b w:val="0"/>
                <w:i w:val="0"/>
                <w:sz w:val="15"/>
              </w:rPr>
              <w:t>-0.003</w:t>
            </w:r>
          </w:p>
        </w:tc>
        <w:tc>
          <w:tcPr>
            <w:tcW w:type="dxa" w:w="576"/>
          </w:tcPr>
          <w:p>
            <w:pPr>
              <w:spacing w:before="0" w:after="0" w:lineRule="exact" w:line="200"/>
              <w:jc w:val="center"/>
            </w:pPr>
            <w:r/>
            <w:r>
              <w:rPr>
                <w:rFonts w:ascii="Times New Roman" w:hAnsi="Times New Roman"/>
                <w:b w:val="0"/>
                <w:i w:val="0"/>
                <w:sz w:val="15"/>
              </w:rPr>
              <w:t>0.746</w:t>
            </w:r>
          </w:p>
        </w:tc>
        <w:tc>
          <w:tcPr>
            <w:tcW w:type="dxa" w:w="864"/>
          </w:tcPr>
          <w:p>
            <w:pPr>
              <w:spacing w:before="0" w:after="0" w:lineRule="exact" w:line="200"/>
              <w:jc w:val="center"/>
            </w:pPr>
            <w:r/>
            <w:r>
              <w:rPr>
                <w:rFonts w:ascii="Times New Roman" w:hAnsi="Times New Roman"/>
                <w:b w:val="0"/>
                <w:i w:val="0"/>
                <w:sz w:val="15"/>
              </w:rPr>
              <w:t>+0.025</w:t>
            </w:r>
          </w:p>
        </w:tc>
      </w:tr>
      <w:tr>
        <w:tc>
          <w:tcPr>
            <w:tcW w:type="dxa" w:w="1800"/>
          </w:tcPr>
          <w:p>
            <w:pPr>
              <w:spacing w:before="0" w:after="0" w:lineRule="exact" w:line="200"/>
              <w:jc w:val="left"/>
            </w:pPr>
            <w:r/>
            <w:r>
              <w:rPr>
                <w:rFonts w:ascii="Times New Roman" w:hAnsi="Times New Roman"/>
                <w:b/>
                <w:i w:val="0"/>
                <w:sz w:val="15"/>
              </w:rPr>
              <w:t>Cosine-Only</w:t>
            </w:r>
          </w:p>
        </w:tc>
        <w:tc>
          <w:tcPr>
            <w:tcW w:type="dxa" w:w="576"/>
          </w:tcPr>
          <w:p>
            <w:pPr>
              <w:spacing w:before="0" w:after="0" w:lineRule="exact" w:line="200"/>
              <w:jc w:val="center"/>
            </w:pPr>
            <w:r/>
            <w:r>
              <w:rPr>
                <w:rFonts w:ascii="Times New Roman" w:hAnsi="Times New Roman"/>
                <w:b/>
                <w:i w:val="0"/>
                <w:sz w:val="15"/>
              </w:rPr>
              <w:t>0.565</w:t>
            </w:r>
          </w:p>
        </w:tc>
        <w:tc>
          <w:tcPr>
            <w:tcW w:type="dxa" w:w="648"/>
          </w:tcPr>
          <w:p>
            <w:pPr>
              <w:spacing w:before="0" w:after="0" w:lineRule="exact" w:line="200"/>
              <w:jc w:val="center"/>
            </w:pPr>
            <w:r/>
            <w:r>
              <w:rPr>
                <w:rFonts w:ascii="Times New Roman" w:hAnsi="Times New Roman"/>
                <w:b/>
                <w:i w:val="0"/>
                <w:sz w:val="15"/>
              </w:rPr>
              <w:t>-0.389</w:t>
            </w:r>
          </w:p>
        </w:tc>
        <w:tc>
          <w:tcPr>
            <w:tcW w:type="dxa" w:w="576"/>
          </w:tcPr>
          <w:p>
            <w:pPr>
              <w:spacing w:before="0" w:after="0" w:lineRule="exact" w:line="200"/>
              <w:jc w:val="center"/>
            </w:pPr>
            <w:r/>
            <w:r>
              <w:rPr>
                <w:rFonts w:ascii="Times New Roman" w:hAnsi="Times New Roman"/>
                <w:b/>
                <w:i w:val="0"/>
                <w:sz w:val="15"/>
              </w:rPr>
              <w:t>0.087</w:t>
            </w:r>
          </w:p>
        </w:tc>
        <w:tc>
          <w:tcPr>
            <w:tcW w:type="dxa" w:w="864"/>
          </w:tcPr>
          <w:p>
            <w:pPr>
              <w:spacing w:before="0" w:after="0" w:lineRule="exact" w:line="200"/>
              <w:jc w:val="center"/>
            </w:pPr>
            <w:r/>
            <w:r>
              <w:rPr>
                <w:rFonts w:ascii="Times New Roman" w:hAnsi="Times New Roman"/>
                <w:b/>
                <w:i w:val="0"/>
                <w:sz w:val="15"/>
              </w:rPr>
              <w:t>-0.634</w:t>
            </w:r>
          </w:p>
        </w:tc>
      </w:tr>
    </w:tbl>
    <w:p>
      <w:pPr>
        <w:spacing w:before="0" w:after="0" w:lineRule="exact" w:line="120"/>
      </w:pPr>
    </w:p>
    <w:p>
      <w:pPr>
        <w:spacing w:before="0" w:after="80" w:lineRule="exact" w:line="200"/>
        <w:jc w:val="left"/>
      </w:pPr>
      <w:r>
        <w:rPr>
          <w:rFonts w:ascii="Times New Roman" w:hAnsi="Times New Roman"/>
          <w:b w:val="0"/>
          <w:i/>
          <w:sz w:val="16"/>
        </w:rPr>
        <w:t>*** p&lt;0.001, ** p&lt;0.01, n.s. p&gt;0.05  (full vs. each ablation)</w:t>
      </w:r>
    </w:p>
    <w:p>
      <w:pPr>
        <w:spacing w:before="0" w:after="40" w:lineRule="exact" w:line="220"/>
        <w:jc w:val="both"/>
      </w:pPr>
      <w:r>
        <w:rPr>
          <w:rFonts w:ascii="Times New Roman" w:hAnsi="Times New Roman"/>
          <w:b w:val="0"/>
          <w:i w:val="0"/>
          <w:sz w:val="18"/>
        </w:rPr>
        <w:t>Key findings: (1) Removing concept coverage causes the biggest drop (Δr = −0.059, ΔQWK = −0.416, p &lt; 0.001) -- KG grounding is the core accuracy driver. (2) SOLO adds ΔQWK = +0.196 (p &lt; 0.001). (3) Bloom depth adds ΔQWK = +0.150 (p &lt; 0.01). (4) Misconception detection has no significant correlation impact (p = 0.835) but names the specific error type and provides a remediation hint.</w:t>
      </w:r>
    </w:p>
    <w:p>
      <w:pPr>
        <w:spacing w:before="120" w:after="40" w:line="240" w:lineRule="auto"/>
        <w:jc w:val="center"/>
      </w:pPr>
      <w:r>
        <w:drawing>
          <wp:inline xmlns:a="http://schemas.openxmlformats.org/drawingml/2006/main" xmlns:pic="http://schemas.openxmlformats.org/drawingml/2006/picture">
            <wp:extent cx="2834640" cy="1048354"/>
            <wp:docPr id="4" name="Picture 4"/>
            <wp:cNvGraphicFramePr>
              <a:graphicFrameLocks noChangeAspect="1"/>
            </wp:cNvGraphicFramePr>
            <a:graphic>
              <a:graphicData uri="http://schemas.openxmlformats.org/drawingml/2006/picture">
                <pic:pic>
                  <pic:nvPicPr>
                    <pic:cNvPr id="0" name="fig9_component_importance.png"/>
                    <pic:cNvPicPr/>
                  </pic:nvPicPr>
                  <pic:blipFill>
                    <a:blip r:embed="rId12"/>
                    <a:stretch>
                      <a:fillRect/>
                    </a:stretch>
                  </pic:blipFill>
                  <pic:spPr>
                    <a:xfrm>
                      <a:off x="0" y="0"/>
                      <a:ext cx="2834640" cy="1048354"/>
                    </a:xfrm>
                    <a:prstGeom prst="rect"/>
                  </pic:spPr>
                </pic:pic>
              </a:graphicData>
            </a:graphic>
          </wp:inline>
        </w:drawing>
      </w:r>
    </w:p>
    <w:p>
      <w:pPr>
        <w:spacing w:before="20" w:after="120" w:line="240" w:lineRule="auto"/>
        <w:jc w:val="center"/>
      </w:pPr>
      <w:r>
        <w:rPr>
          <w:rFonts w:ascii="Times New Roman" w:hAnsi="Times New Roman"/>
          <w:b w:val="0"/>
          <w:i/>
          <w:sz w:val="16"/>
        </w:rPr>
        <w:t>Fig. 4. ΔQWK when each component is removed. Concept coverage dominates.</w:t>
      </w:r>
    </w:p>
    <w:p>
      <w:pPr>
        <w:spacing w:before="120" w:after="40" w:line="240" w:lineRule="auto"/>
        <w:jc w:val="center"/>
      </w:pPr>
      <w:r>
        <w:drawing>
          <wp:inline xmlns:a="http://schemas.openxmlformats.org/drawingml/2006/main" xmlns:pic="http://schemas.openxmlformats.org/drawingml/2006/picture">
            <wp:extent cx="2834640" cy="1152935"/>
            <wp:docPr id="5" name="Picture 5"/>
            <wp:cNvGraphicFramePr>
              <a:graphicFrameLocks noChangeAspect="1"/>
            </wp:cNvGraphicFramePr>
            <a:graphic>
              <a:graphicData uri="http://schemas.openxmlformats.org/drawingml/2006/picture">
                <pic:pic>
                  <pic:nvPicPr>
                    <pic:cNvPr id="0" name="fig3_ablation_study.png"/>
                    <pic:cNvPicPr/>
                  </pic:nvPicPr>
                  <pic:blipFill>
                    <a:blip r:embed="rId13"/>
                    <a:stretch>
                      <a:fillRect/>
                    </a:stretch>
                  </pic:blipFill>
                  <pic:spPr>
                    <a:xfrm>
                      <a:off x="0" y="0"/>
                      <a:ext cx="2834640" cy="1152935"/>
                    </a:xfrm>
                    <a:prstGeom prst="rect"/>
                  </pic:spPr>
                </pic:pic>
              </a:graphicData>
            </a:graphic>
          </wp:inline>
        </w:drawing>
      </w:r>
    </w:p>
    <w:p>
      <w:pPr>
        <w:spacing w:before="20" w:after="120" w:line="240" w:lineRule="auto"/>
        <w:jc w:val="center"/>
      </w:pPr>
      <w:r>
        <w:rPr>
          <w:rFonts w:ascii="Times New Roman" w:hAnsi="Times New Roman"/>
          <w:b w:val="0"/>
          <w:i/>
          <w:sz w:val="16"/>
        </w:rPr>
        <w:t>Fig. 5. Pearson r and QWK across all seven ablation conditions.</w:t>
      </w:r>
    </w:p>
    <w:p>
      <w:pPr>
        <w:spacing w:before="140" w:after="40" w:lineRule="exact" w:line="240"/>
        <w:jc w:val="center"/>
      </w:pPr>
      <w:r>
        <w:rPr>
          <w:rFonts w:ascii="Times New Roman" w:hAnsi="Times New Roman"/>
          <w:b/>
          <w:i w:val="0"/>
          <w:sz w:val="20"/>
        </w:rPr>
        <w:t>VII. DISCUSSION</w:t>
      </w:r>
    </w:p>
    <w:p>
      <w:pPr>
        <w:spacing w:before="80" w:after="20" w:lineRule="exact" w:line="220"/>
        <w:jc w:val="left"/>
      </w:pPr>
      <w:r>
        <w:rPr>
          <w:rFonts w:ascii="Times New Roman" w:hAnsi="Times New Roman"/>
          <w:b/>
          <w:i/>
          <w:sz w:val="18"/>
        </w:rPr>
        <w:t>A. Scope of the Current Results</w:t>
      </w:r>
    </w:p>
    <w:p>
      <w:pPr>
        <w:spacing w:before="0" w:after="40" w:lineRule="exact" w:line="220"/>
        <w:jc w:val="both"/>
      </w:pPr>
      <w:r>
        <w:rPr>
          <w:rFonts w:ascii="Times New Roman" w:hAnsi="Times New Roman"/>
          <w:b w:val="0"/>
          <w:i w:val="0"/>
          <w:sz w:val="18"/>
        </w:rPr>
        <w:t>Our 30-sample evaluation gives wider bootstrap CIs than the full 630-sample corpus, but the performance gaps are large enough that conclusions remain well-supported. The depth and SOLO components use rule-based approximations in offline mode, so results likely underestimate the full pipeline's potential. Domain coverage is currently limited to Data Structures; a Programming / OOP KG (62 concepts, 116 relationships) has been built but not yet evaluated.</w:t>
      </w:r>
    </w:p>
    <w:p>
      <w:pPr>
        <w:spacing w:before="80" w:after="20" w:lineRule="exact" w:line="220"/>
        <w:jc w:val="left"/>
      </w:pPr>
      <w:r>
        <w:rPr>
          <w:rFonts w:ascii="Times New Roman" w:hAnsi="Times New Roman"/>
          <w:b/>
          <w:i/>
          <w:sz w:val="18"/>
        </w:rPr>
        <w:t>B. Diagnostic Value Beyond the Score</w:t>
      </w:r>
    </w:p>
    <w:p>
      <w:pPr>
        <w:spacing w:before="0" w:after="40" w:lineRule="exact" w:line="220"/>
        <w:jc w:val="both"/>
      </w:pPr>
      <w:r>
        <w:rPr>
          <w:rFonts w:ascii="Times New Roman" w:hAnsi="Times New Roman"/>
          <w:b w:val="0"/>
          <w:i w:val="0"/>
          <w:sz w:val="18"/>
        </w:rPr>
        <w:t>ConceptGrade produces structured output alongside each grade: matched and missing concepts, flagged wrong relationships (e.g., "stack uses FIFO" triggers DS-STACK-01), Bloom and SOLO levels with justification, and a misconception category with a remediation hint. Instructors can use this to identify systematic gaps across a whole class, not just individual errors.</w:t>
      </w:r>
    </w:p>
    <w:p>
      <w:pPr>
        <w:spacing w:before="120" w:after="40" w:line="240" w:lineRule="auto"/>
        <w:jc w:val="center"/>
      </w:pPr>
      <w:r>
        <w:drawing>
          <wp:inline xmlns:a="http://schemas.openxmlformats.org/drawingml/2006/main" xmlns:pic="http://schemas.openxmlformats.org/drawingml/2006/picture">
            <wp:extent cx="2834640" cy="1227280"/>
            <wp:docPr id="6" name="Picture 6"/>
            <wp:cNvGraphicFramePr>
              <a:graphicFrameLocks noChangeAspect="1"/>
            </wp:cNvGraphicFramePr>
            <a:graphic>
              <a:graphicData uri="http://schemas.openxmlformats.org/drawingml/2006/picture">
                <pic:pic>
                  <pic:nvPicPr>
                    <pic:cNvPr id="0" name="fig5_knowledge_graph_stats.png"/>
                    <pic:cNvPicPr/>
                  </pic:nvPicPr>
                  <pic:blipFill>
                    <a:blip r:embed="rId14"/>
                    <a:stretch>
                      <a:fillRect/>
                    </a:stretch>
                  </pic:blipFill>
                  <pic:spPr>
                    <a:xfrm>
                      <a:off x="0" y="0"/>
                      <a:ext cx="2834640" cy="1227280"/>
                    </a:xfrm>
                    <a:prstGeom prst="rect"/>
                  </pic:spPr>
                </pic:pic>
              </a:graphicData>
            </a:graphic>
          </wp:inline>
        </w:drawing>
      </w:r>
    </w:p>
    <w:p>
      <w:pPr>
        <w:spacing w:before="20" w:after="120" w:line="240" w:lineRule="auto"/>
        <w:jc w:val="center"/>
      </w:pPr>
      <w:r>
        <w:rPr>
          <w:rFonts w:ascii="Times New Roman" w:hAnsi="Times New Roman"/>
          <w:b w:val="0"/>
          <w:i/>
          <w:sz w:val="16"/>
        </w:rPr>
        <w:t>Fig. 6. Data Structures KG: concept type (left) and relationship type (right) distributions.</w:t>
      </w:r>
    </w:p>
    <w:p>
      <w:pPr>
        <w:spacing w:before="120" w:after="40" w:line="240" w:lineRule="auto"/>
        <w:jc w:val="center"/>
      </w:pPr>
      <w:r>
        <w:drawing>
          <wp:inline xmlns:a="http://schemas.openxmlformats.org/drawingml/2006/main" xmlns:pic="http://schemas.openxmlformats.org/drawingml/2006/picture">
            <wp:extent cx="2834640" cy="1226221"/>
            <wp:docPr id="7" name="Picture 7"/>
            <wp:cNvGraphicFramePr>
              <a:graphicFrameLocks noChangeAspect="1"/>
            </wp:cNvGraphicFramePr>
            <a:graphic>
              <a:graphicData uri="http://schemas.openxmlformats.org/drawingml/2006/picture">
                <pic:pic>
                  <pic:nvPicPr>
                    <pic:cNvPr id="0" name="fig10_confidence_intervals.png"/>
                    <pic:cNvPicPr/>
                  </pic:nvPicPr>
                  <pic:blipFill>
                    <a:blip r:embed="rId15"/>
                    <a:stretch>
                      <a:fillRect/>
                    </a:stretch>
                  </pic:blipFill>
                  <pic:spPr>
                    <a:xfrm>
                      <a:off x="0" y="0"/>
                      <a:ext cx="2834640" cy="1226221"/>
                    </a:xfrm>
                    <a:prstGeom prst="rect"/>
                  </pic:spPr>
                </pic:pic>
              </a:graphicData>
            </a:graphic>
          </wp:inline>
        </w:drawing>
      </w:r>
    </w:p>
    <w:p>
      <w:pPr>
        <w:spacing w:before="20" w:after="120" w:line="240" w:lineRule="auto"/>
        <w:jc w:val="center"/>
      </w:pPr>
      <w:r>
        <w:rPr>
          <w:rFonts w:ascii="Times New Roman" w:hAnsi="Times New Roman"/>
          <w:b w:val="0"/>
          <w:i/>
          <w:sz w:val="16"/>
        </w:rPr>
        <w:t>Fig. 7. 95% bootstrap CIs for r and QWK. ConceptGrade's lower bound exceeds the LLM Zero-Shot point estimate.</w:t>
      </w:r>
    </w:p>
    <w:p>
      <w:pPr>
        <w:spacing w:before="140" w:after="40" w:lineRule="exact" w:line="240"/>
        <w:jc w:val="center"/>
      </w:pPr>
      <w:r>
        <w:rPr>
          <w:rFonts w:ascii="Times New Roman" w:hAnsi="Times New Roman"/>
          <w:b/>
          <w:i w:val="0"/>
          <w:sz w:val="20"/>
        </w:rPr>
        <w:t>VIII. CONCLUSION</w:t>
      </w:r>
    </w:p>
    <w:p>
      <w:pPr>
        <w:spacing w:before="0" w:after="40" w:lineRule="exact" w:line="220"/>
        <w:jc w:val="both"/>
      </w:pPr>
      <w:r>
        <w:rPr>
          <w:rFonts w:ascii="Times New Roman" w:hAnsi="Times New Roman"/>
          <w:b w:val="0"/>
          <w:i w:val="0"/>
          <w:sz w:val="18"/>
        </w:rPr>
        <w:t>ConceptGrade shows that grounding automated grading in an explicit domain knowledge graph produces clear gains in accuracy and interpretability. The system reaches r = 0.954 on the Mohler benchmark, beating TF-IDF cosine (r = 0.578) and LLM zero-shot (r = 0.878) at p &lt; 10⁻⁵. The ablation confirms concept coverage drives most of the improvement (ΔQWK = −0.416 when removed). The SOLO classifier, new to free-text CS assessment, contributes an additional ΔQWK = −0.196.</w:t>
      </w:r>
    </w:p>
    <w:p>
      <w:pPr>
        <w:spacing w:before="0" w:after="40" w:lineRule="exact" w:line="220"/>
        <w:jc w:val="both"/>
      </w:pPr>
      <w:r>
        <w:rPr>
          <w:rFonts w:ascii="Times New Roman" w:hAnsi="Times New Roman"/>
          <w:b w:val="0"/>
          <w:i w:val="0"/>
          <w:sz w:val="18"/>
        </w:rPr>
        <w:t>Beyond the grade, ConceptGrade outputs missing concepts, flagged wrong relationships, cognitive depth levels, and misconception patterns with remediation hints -- no additional annotated training data required.</w:t>
      </w:r>
    </w:p>
    <w:p>
      <w:pPr>
        <w:spacing w:before="0" w:after="40" w:lineRule="exact" w:line="220"/>
        <w:jc w:val="both"/>
      </w:pPr>
      <w:r>
        <w:rPr>
          <w:rFonts w:ascii="Times New Roman" w:hAnsi="Times New Roman"/>
          <w:b w:val="0"/>
          <w:i w:val="0"/>
          <w:sz w:val="18"/>
        </w:rPr>
        <w:t>Next steps: evaluate on the full 630-sample Mohler corpus; run live-LLM experiments to measure the offline vs. online performance gap; test the Programming / OOP KG; collect human Bloom and SOLO labels for validation; and deploy within a learning management system.</w:t>
      </w:r>
    </w:p>
    <w:p>
      <w:pPr>
        <w:spacing w:before="120" w:after="40" w:line="240" w:lineRule="auto"/>
        <w:jc w:val="center"/>
      </w:pPr>
      <w:r>
        <w:drawing>
          <wp:inline xmlns:a="http://schemas.openxmlformats.org/drawingml/2006/main" xmlns:pic="http://schemas.openxmlformats.org/drawingml/2006/picture">
            <wp:extent cx="2834640" cy="1640269"/>
            <wp:docPr id="8" name="Picture 8"/>
            <wp:cNvGraphicFramePr>
              <a:graphicFrameLocks noChangeAspect="1"/>
            </wp:cNvGraphicFramePr>
            <a:graphic>
              <a:graphicData uri="http://schemas.openxmlformats.org/drawingml/2006/picture">
                <pic:pic>
                  <pic:nvPicPr>
                    <pic:cNvPr id="0" name="fig6_blooms_taxonomy.png"/>
                    <pic:cNvPicPr/>
                  </pic:nvPicPr>
                  <pic:blipFill>
                    <a:blip r:embed="rId16"/>
                    <a:stretch>
                      <a:fillRect/>
                    </a:stretch>
                  </pic:blipFill>
                  <pic:spPr>
                    <a:xfrm>
                      <a:off x="0" y="0"/>
                      <a:ext cx="2834640" cy="1640269"/>
                    </a:xfrm>
                    <a:prstGeom prst="rect"/>
                  </pic:spPr>
                </pic:pic>
              </a:graphicData>
            </a:graphic>
          </wp:inline>
        </w:drawing>
      </w:r>
    </w:p>
    <w:p>
      <w:pPr>
        <w:spacing w:before="20" w:after="120" w:line="240" w:lineRule="auto"/>
        <w:jc w:val="center"/>
      </w:pPr>
      <w:r>
        <w:rPr>
          <w:rFonts w:ascii="Times New Roman" w:hAnsi="Times New Roman"/>
          <w:b w:val="0"/>
          <w:i/>
          <w:sz w:val="16"/>
        </w:rPr>
        <w:t>Fig. 8. Bloom's Taxonomy: six levels from L1 (Remember) to L6 (Create).</w:t>
      </w:r>
    </w:p>
    <w:p>
      <w:pPr>
        <w:spacing w:before="120" w:after="40" w:line="240" w:lineRule="auto"/>
        <w:jc w:val="center"/>
      </w:pPr>
      <w:r>
        <w:drawing>
          <wp:inline xmlns:a="http://schemas.openxmlformats.org/drawingml/2006/main" xmlns:pic="http://schemas.openxmlformats.org/drawingml/2006/picture">
            <wp:extent cx="2834640" cy="1401395"/>
            <wp:docPr id="9" name="Picture 9"/>
            <wp:cNvGraphicFramePr>
              <a:graphicFrameLocks noChangeAspect="1"/>
            </wp:cNvGraphicFramePr>
            <a:graphic>
              <a:graphicData uri="http://schemas.openxmlformats.org/drawingml/2006/picture">
                <pic:pic>
                  <pic:nvPicPr>
                    <pic:cNvPr id="0" name="fig7_solo_taxonomy.png"/>
                    <pic:cNvPicPr/>
                  </pic:nvPicPr>
                  <pic:blipFill>
                    <a:blip r:embed="rId17"/>
                    <a:stretch>
                      <a:fillRect/>
                    </a:stretch>
                  </pic:blipFill>
                  <pic:spPr>
                    <a:xfrm>
                      <a:off x="0" y="0"/>
                      <a:ext cx="2834640" cy="1401395"/>
                    </a:xfrm>
                    <a:prstGeom prst="rect"/>
                  </pic:spPr>
                </pic:pic>
              </a:graphicData>
            </a:graphic>
          </wp:inline>
        </w:drawing>
      </w:r>
    </w:p>
    <w:p>
      <w:pPr>
        <w:spacing w:before="20" w:after="120" w:line="240" w:lineRule="auto"/>
        <w:jc w:val="center"/>
      </w:pPr>
      <w:r>
        <w:rPr>
          <w:rFonts w:ascii="Times New Roman" w:hAnsi="Times New Roman"/>
          <w:b w:val="0"/>
          <w:i/>
          <w:sz w:val="16"/>
        </w:rPr>
        <w:t>Fig. 9. SOLO Taxonomy: five structural complexity levels. First automated SOLO classifier for free-text CS responses.</w:t>
      </w:r>
    </w:p>
    <w:p>
      <w:pPr>
        <w:spacing w:before="120" w:after="40" w:line="240" w:lineRule="auto"/>
        <w:jc w:val="center"/>
      </w:pPr>
      <w:r>
        <w:drawing>
          <wp:inline xmlns:a="http://schemas.openxmlformats.org/drawingml/2006/main" xmlns:pic="http://schemas.openxmlformats.org/drawingml/2006/picture">
            <wp:extent cx="2834640" cy="1403692"/>
            <wp:docPr id="10" name="Picture 10"/>
            <wp:cNvGraphicFramePr>
              <a:graphicFrameLocks noChangeAspect="1"/>
            </wp:cNvGraphicFramePr>
            <a:graphic>
              <a:graphicData uri="http://schemas.openxmlformats.org/drawingml/2006/picture">
                <pic:pic>
                  <pic:nvPicPr>
                    <pic:cNvPr id="0" name="fig8_misconception_taxonomy.png"/>
                    <pic:cNvPicPr/>
                  </pic:nvPicPr>
                  <pic:blipFill>
                    <a:blip r:embed="rId18"/>
                    <a:stretch>
                      <a:fillRect/>
                    </a:stretch>
                  </pic:blipFill>
                  <pic:spPr>
                    <a:xfrm>
                      <a:off x="0" y="0"/>
                      <a:ext cx="2834640" cy="1403692"/>
                    </a:xfrm>
                    <a:prstGeom prst="rect"/>
                  </pic:spPr>
                </pic:pic>
              </a:graphicData>
            </a:graphic>
          </wp:inline>
        </w:drawing>
      </w:r>
    </w:p>
    <w:p>
      <w:pPr>
        <w:spacing w:before="20" w:after="120" w:line="240" w:lineRule="auto"/>
        <w:jc w:val="center"/>
      </w:pPr>
      <w:r>
        <w:rPr>
          <w:rFonts w:ascii="Times New Roman" w:hAnsi="Times New Roman"/>
          <w:b w:val="0"/>
          <w:i/>
          <w:sz w:val="16"/>
        </w:rPr>
        <w:t>Fig. 10. 16-entry CS misconception taxonomy with severity levels.</w:t>
      </w:r>
    </w:p>
    <w:p>
      <w:pPr>
        <w:spacing w:before="140" w:after="40" w:lineRule="exact" w:line="240"/>
        <w:jc w:val="center"/>
      </w:pPr>
      <w:r>
        <w:rPr>
          <w:rFonts w:ascii="Times New Roman" w:hAnsi="Times New Roman"/>
          <w:b/>
          <w:i w:val="0"/>
          <w:sz w:val="20"/>
        </w:rPr>
        <w:t>REFERENCES</w:t>
      </w:r>
    </w:p>
    <w:p>
      <w:pPr>
        <w:spacing w:before="0" w:after="20" w:lineRule="exact" w:line="200"/>
        <w:ind w:left="283" w:hanging="283"/>
        <w:jc w:val="both"/>
      </w:pPr>
      <w:r>
        <w:rPr>
          <w:rFonts w:ascii="Times New Roman" w:hAnsi="Times New Roman"/>
          <w:b w:val="0"/>
          <w:i w:val="0"/>
          <w:sz w:val="15"/>
        </w:rPr>
        <w:t>[1] M. Mohler and R. Mihalcea, "Text-to-text semantic similarity for automatic short answer grading," in Proc. EACL, Athens, 2009, pp. 567–575.</w:t>
      </w:r>
    </w:p>
    <w:p>
      <w:pPr>
        <w:spacing w:before="0" w:after="20" w:lineRule="exact" w:line="200"/>
        <w:ind w:left="283" w:hanging="283"/>
        <w:jc w:val="both"/>
      </w:pPr>
      <w:r>
        <w:rPr>
          <w:rFonts w:ascii="Times New Roman" w:hAnsi="Times New Roman"/>
          <w:b w:val="0"/>
          <w:i w:val="0"/>
          <w:sz w:val="15"/>
        </w:rPr>
        <w:t>[2] M. Mohler, R. Bunescu, and R. Mihalcea, "Learning to grade short answer questions using semantic similarity measures and dependency graph alignments," in Proc. ACL, Portland, OR, 2011, pp. 752–762.</w:t>
      </w:r>
    </w:p>
    <w:p>
      <w:pPr>
        <w:spacing w:before="0" w:after="20" w:lineRule="exact" w:line="200"/>
        <w:ind w:left="283" w:hanging="283"/>
        <w:jc w:val="both"/>
      </w:pPr>
      <w:r>
        <w:rPr>
          <w:rFonts w:ascii="Times New Roman" w:hAnsi="Times New Roman"/>
          <w:b w:val="0"/>
          <w:i w:val="0"/>
          <w:sz w:val="15"/>
        </w:rPr>
        <w:t>[3] J. Devlin, M.-W. Chang, K. Lee, and K. Toutanova, "BERT: Pre-training of deep bidirectional transformers for language understanding," in Proc. NAACL, Minneapolis, MN, 2019, pp. 4171–4186.</w:t>
      </w:r>
    </w:p>
    <w:p>
      <w:pPr>
        <w:spacing w:before="0" w:after="20" w:lineRule="exact" w:line="200"/>
        <w:ind w:left="283" w:hanging="283"/>
        <w:jc w:val="both"/>
      </w:pPr>
      <w:r>
        <w:rPr>
          <w:rFonts w:ascii="Times New Roman" w:hAnsi="Times New Roman"/>
          <w:b w:val="0"/>
          <w:i w:val="0"/>
          <w:sz w:val="15"/>
        </w:rPr>
        <w:t>[4] T. Sung, N. Nain, and H. K. Sharma, "Pre-trained language model-based automatic short answer grading for CS education," IEEE Access, vol. 11, pp. 31542–31553, 2023.</w:t>
      </w:r>
    </w:p>
    <w:p>
      <w:pPr>
        <w:spacing w:before="0" w:after="20" w:lineRule="exact" w:line="200"/>
        <w:ind w:left="283" w:hanging="283"/>
        <w:jc w:val="both"/>
      </w:pPr>
      <w:r>
        <w:rPr>
          <w:rFonts w:ascii="Times New Roman" w:hAnsi="Times New Roman"/>
          <w:b w:val="0"/>
          <w:i w:val="0"/>
          <w:sz w:val="15"/>
        </w:rPr>
        <w:t>[5] M. A. Sultan, C. Salazar, and T. Sumner, "Fast and easy short answer grading with high accuracy," in Proc. NAACL-HLT, San Diego, CA, 2016.</w:t>
      </w:r>
    </w:p>
    <w:p>
      <w:pPr>
        <w:spacing w:before="0" w:after="20" w:lineRule="exact" w:line="200"/>
        <w:ind w:left="283" w:hanging="283"/>
        <w:jc w:val="both"/>
      </w:pPr>
      <w:r>
        <w:rPr>
          <w:rFonts w:ascii="Times New Roman" w:hAnsi="Times New Roman"/>
          <w:b w:val="0"/>
          <w:i w:val="0"/>
          <w:sz w:val="15"/>
        </w:rPr>
        <w:t>[6] M. Dzikovska et al., "SemEval-2013 Task 7: The joint student response analysis and 8th recognizing textual entailment challenge," in Proc. SemEval, Atlanta, GA, 2013, pp. 263–274.</w:t>
      </w:r>
    </w:p>
    <w:p>
      <w:pPr>
        <w:spacing w:before="0" w:after="20" w:lineRule="exact" w:line="200"/>
        <w:ind w:left="283" w:hanging="283"/>
        <w:jc w:val="both"/>
      </w:pPr>
      <w:r>
        <w:rPr>
          <w:rFonts w:ascii="Times New Roman" w:hAnsi="Times New Roman"/>
          <w:b w:val="0"/>
          <w:i w:val="0"/>
          <w:sz w:val="15"/>
        </w:rPr>
        <w:t>[7] B. S. Bloom et al., Taxonomy of Educational Objectives: Cognitive Domain. New York: David McKay, 1956.</w:t>
      </w:r>
    </w:p>
    <w:p>
      <w:pPr>
        <w:spacing w:before="0" w:after="20" w:lineRule="exact" w:line="200"/>
        <w:ind w:left="283" w:hanging="283"/>
        <w:jc w:val="both"/>
      </w:pPr>
      <w:r>
        <w:rPr>
          <w:rFonts w:ascii="Times New Roman" w:hAnsi="Times New Roman"/>
          <w:b w:val="0"/>
          <w:i w:val="0"/>
          <w:sz w:val="15"/>
        </w:rPr>
        <w:t>[8] L. W. Anderson and D. R. Krathwohl, A Taxonomy for Learning, Teaching, and Assessing. New York: Longman, 2001.</w:t>
      </w:r>
    </w:p>
    <w:p>
      <w:pPr>
        <w:spacing w:before="0" w:after="20" w:lineRule="exact" w:line="200"/>
        <w:ind w:left="283" w:hanging="283"/>
        <w:jc w:val="both"/>
      </w:pPr>
      <w:r>
        <w:rPr>
          <w:rFonts w:ascii="Times New Roman" w:hAnsi="Times New Roman"/>
          <w:b w:val="0"/>
          <w:i w:val="0"/>
          <w:sz w:val="15"/>
        </w:rPr>
        <w:t>[9] A. T. Corbett and J. R. Anderson, "Knowledge tracing: Modeling the acquisition of procedural knowledge," UMUAI, vol. 4, no. 4, pp. 253–278, 1994.</w:t>
      </w:r>
    </w:p>
    <w:p>
      <w:pPr>
        <w:spacing w:before="0" w:after="20" w:lineRule="exact" w:line="200"/>
        <w:ind w:left="283" w:hanging="283"/>
        <w:jc w:val="both"/>
      </w:pPr>
      <w:r>
        <w:rPr>
          <w:rFonts w:ascii="Times New Roman" w:hAnsi="Times New Roman"/>
          <w:b w:val="0"/>
          <w:i w:val="0"/>
          <w:sz w:val="15"/>
        </w:rPr>
        <w:t>[10] C. Pan et al., "Prerequisite relation learning for concepts in MOOCs," in Proc. ACL, Vancouver, BC, 2017, pp. 1447–1456.</w:t>
      </w:r>
    </w:p>
    <w:p>
      <w:pPr>
        <w:spacing w:before="0" w:after="20" w:lineRule="exact" w:line="200"/>
        <w:ind w:left="283" w:hanging="283"/>
        <w:jc w:val="both"/>
      </w:pPr>
      <w:r>
        <w:rPr>
          <w:rFonts w:ascii="Times New Roman" w:hAnsi="Times New Roman"/>
          <w:b w:val="0"/>
          <w:i w:val="0"/>
          <w:sz w:val="15"/>
        </w:rPr>
        <w:t>[11] N. Leacock and M. Chodorow, "C-rater: Automated scoring of short-answer questions," Computers in Human Behavior, vol. 19, no. 4, pp. 491–508, 2003.</w:t>
      </w:r>
    </w:p>
    <w:p>
      <w:pPr>
        <w:spacing w:before="0" w:after="20" w:lineRule="exact" w:line="200"/>
        <w:ind w:left="283" w:hanging="283"/>
        <w:jc w:val="both"/>
      </w:pPr>
      <w:r>
        <w:rPr>
          <w:rFonts w:ascii="Times New Roman" w:hAnsi="Times New Roman"/>
          <w:b w:val="0"/>
          <w:i w:val="0"/>
          <w:sz w:val="15"/>
        </w:rPr>
        <w:t>[12] P. Bhandari et al., "Can ChatGPT replace human evaluators? An empirical study of automatic short answer grading," arXiv:2308.12505, 2023.</w:t>
      </w:r>
    </w:p>
    <w:p>
      <w:pPr>
        <w:spacing w:before="0" w:after="20" w:lineRule="exact" w:line="200"/>
        <w:ind w:left="283" w:hanging="283"/>
        <w:jc w:val="both"/>
      </w:pPr>
      <w:r>
        <w:rPr>
          <w:rFonts w:ascii="Times New Roman" w:hAnsi="Times New Roman"/>
          <w:b w:val="0"/>
          <w:i w:val="0"/>
          <w:sz w:val="15"/>
        </w:rPr>
        <w:t>[13] H. Gao et al., "Automated short answer grading using large language models: A zero-shot and few-shot exploration," in Proc. ICALT, 2024.</w:t>
      </w:r>
    </w:p>
    <w:p>
      <w:pPr>
        <w:spacing w:before="0" w:after="20" w:lineRule="exact" w:line="200"/>
        <w:ind w:left="283" w:hanging="283"/>
        <w:jc w:val="both"/>
      </w:pPr>
      <w:r>
        <w:rPr>
          <w:rFonts w:ascii="Times New Roman" w:hAnsi="Times New Roman"/>
          <w:b w:val="0"/>
          <w:i w:val="0"/>
          <w:sz w:val="15"/>
        </w:rPr>
        <w:t>[14] E. Emirtekin and Y. Ozarslan, "Automated classification of student responses using Bloom's taxonomy with LLMs," Computers &amp; Education: AI, vol. 8, 2025.</w:t>
      </w:r>
    </w:p>
    <w:p>
      <w:pPr>
        <w:spacing w:before="0" w:after="20" w:lineRule="exact" w:line="200"/>
        <w:ind w:left="283" w:hanging="283"/>
        <w:jc w:val="both"/>
      </w:pPr>
      <w:r>
        <w:rPr>
          <w:rFonts w:ascii="Times New Roman" w:hAnsi="Times New Roman"/>
          <w:b w:val="0"/>
          <w:i w:val="0"/>
          <w:sz w:val="15"/>
        </w:rPr>
        <w:t>[15] J. B. Biggs and K. F. Collis, Evaluating the Quality of Learning: The SOLO Taxonomy. New York: Academic Press, 1982.</w:t>
      </w:r>
    </w:p>
    <w:p>
      <w:pPr>
        <w:spacing w:before="0" w:after="20" w:lineRule="exact" w:line="200"/>
        <w:ind w:left="283" w:hanging="283"/>
        <w:jc w:val="both"/>
      </w:pPr>
      <w:r>
        <w:rPr>
          <w:rFonts w:ascii="Times New Roman" w:hAnsi="Times New Roman"/>
          <w:b w:val="0"/>
          <w:i w:val="0"/>
          <w:sz w:val="15"/>
        </w:rPr>
        <w:t>[16] J. R. Landis and G. G. Koch, "The measurement of observer agreement for categorical data," Biometrics, vol. 33, no. 1, pp. 159–174, 1977.</w:t>
      </w:r>
    </w:p>
    <w:sectPr w:rsidR="00FC693F" w:rsidRPr="0006063C" w:rsidSect="00034616">
      <w:pgSz w:w="12240" w:h="15840"/>
      <w:pgMar w:top="1440" w:right="1080" w:bottom="1440" w:left="1080" w:header="720" w:footer="720" w:gutter="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