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20"/>
        <w:jc w:val="center"/>
      </w:pPr>
      <w:r>
        <w:rPr>
          <w:b/>
          <w:sz w:val="26"/>
        </w:rPr>
        <w:t>ConceptGrade: A Knowledge Graph-Grounded Visual Analytics System</w:t>
        <w:br/>
        <w:t>for Automated Essay Grading</w:t>
      </w:r>
    </w:p>
    <w:p>
      <w:pPr>
        <w:spacing w:after="240"/>
        <w:jc w:val="center"/>
      </w:pPr>
      <w:r>
        <w:rPr>
          <w:i/>
          <w:sz w:val="20"/>
        </w:rPr>
        <w:t>Brahmaji Katragadda</w:t>
      </w:r>
    </w:p>
    <w:p>
      <w:pPr>
        <w:pStyle w:val="Heading1"/>
        <w:jc w:val="left"/>
      </w:pPr>
      <w:r>
        <w:rPr>
          <w:b/>
          <w:sz w:val="20"/>
        </w:rPr>
        <w:t>Abstract</w:t>
      </w:r>
    </w:p>
    <w:p>
      <w:pPr>
        <w:spacing w:after="120"/>
        <w:ind w:firstLine="360"/>
      </w:pPr>
      <w:r>
        <w:rPr>
          <w:rFonts w:ascii="Times New Roman" w:hAnsi="Times New Roman"/>
          <w:i/>
          <w:sz w:val="18"/>
        </w:rPr>
        <w:t>Why do instructors distrust automated essay grading systems? Because they are black boxes. A neural model assigns a score, but neither students nor instructors understand the reasoning. ConceptGrade inverts this paradigm by making grading explicitly transparent: we extract a knowledge graph from the instructor's rubric, match student answers against this graph using a five-stage pipeline (self-consistent extraction, confidence-weighted comparison, LLM verification, chain coverage analysis, and final aggregation), and expose the decision path through an interactive Visual Analytics dashboard. This "interpretability by design" approach yields quantifiable improvements: 32.4% mean absolute error (MAE) reduction over a pure language model baseline across three datasets (1,239 answers total; Wilcoxon p=0.0013). More importantly, it returns agency to instructors: they can inspect any answer, see which concepts the system matched, identify which were missed, trace the logical reasoning chain, and understand why the system assigned a particular score. We present a full-stack implementation (Python pipeline, NestJS REST API, React dashboard) that scales to course-size datasets (~400 answers) and is ready for classroom deployment.</w:t>
      </w:r>
    </w:p>
    <w:p>
      <w:pPr>
        <w:spacing w:after="240"/>
      </w:pPr>
      <w:r>
        <w:rPr>
          <w:rFonts w:ascii="Times New Roman" w:hAnsi="Times New Roman"/>
          <w:b/>
          <w:sz w:val="18"/>
        </w:rPr>
        <w:t xml:space="preserve">Keywords: </w:t>
      </w:r>
      <w:r>
        <w:rPr>
          <w:rFonts w:ascii="Times New Roman" w:hAnsi="Times New Roman"/>
          <w:sz w:val="18"/>
        </w:rPr>
        <w:t>Automated essay grading, Knowledge graphs, Visual analytics, Explainable AI, Educational assessment, Short-answer evaluation, Interpretability</w:t>
      </w:r>
    </w:p>
    <w:p/>
    <w:p>
      <w:pPr>
        <w:pStyle w:val="Heading2"/>
        <w:spacing w:after="120"/>
        <w:jc w:val="left"/>
      </w:pPr>
      <w:r>
        <w:rPr>
          <w:b/>
          <w:sz w:val="22"/>
        </w:rPr>
        <w:t>1. Introduction</w:t>
      </w:r>
    </w:p>
    <w:p>
      <w:pPr>
        <w:pStyle w:val="Heading3"/>
        <w:spacing w:after="120"/>
        <w:jc w:val="left"/>
      </w:pPr>
      <w:r>
        <w:rPr>
          <w:b/>
          <w:sz w:val="20"/>
        </w:rPr>
        <w:t>1.1 Motivation</w:t>
      </w:r>
    </w:p>
    <w:p>
      <w:pPr>
        <w:spacing w:line="240" w:lineRule="auto" w:after="120"/>
        <w:ind w:firstLine="360"/>
      </w:pPr>
      <w:r>
        <w:rPr>
          <w:rFonts w:ascii="Times New Roman" w:hAnsi="Times New Roman"/>
          <w:sz w:val="20"/>
        </w:rPr>
        <w:t>Automated short-answer grading (ASAG) has become essential in courses with hundreds of students, where manual grading is infeasible. Yet instructors remain skeptical of existing ASAG systems for two reasons:</w:t>
      </w:r>
    </w:p>
    <w:p>
      <w:pPr>
        <w:pStyle w:val="ListBullet"/>
        <w:ind w:firstLine="360"/>
      </w:pPr>
      <w:r>
        <w:t>Fragility to rephrasing: Consider the question, "What role does the enzyme play in catalysis?" A student who answers "The enzyme speeds up the reaction" has understood the concept, but string-based metrics (edit distance, TF-IDF cosine similarity) score it lower than a parroted answer ("The enzyme catalyzes the reaction"). Instructors know that understanding is independent of wording, yet most ASAG systems conflate the two.</w:t>
      </w:r>
    </w:p>
    <w:p>
      <w:pPr>
        <w:pStyle w:val="ListBullet"/>
        <w:ind w:firstLine="360"/>
      </w:pPr>
      <w:r>
        <w:t>Opacity in decision-making: Large language models achieve high correlation with human grading on benchmark datasets, making them superficially attractive. However, when an LLM assigns a 2/5 to an answer, neither the instructor nor the student learns why. Which concepts did the system think were missing? Did it misunderstand a key phrase? Was the logical flow unclear? Without transparency, instructors cannot validate the system's reasoning or provide actionable feedback to students.</w:t>
      </w:r>
    </w:p>
    <w:p>
      <w:pPr>
        <w:spacing w:line="240" w:lineRule="auto" w:after="120"/>
        <w:ind w:firstLine="360"/>
      </w:pPr>
      <w:r>
        <w:rPr>
          <w:rFonts w:ascii="Times New Roman" w:hAnsi="Times New Roman"/>
          <w:sz w:val="20"/>
        </w:rPr>
        <w:t>ConceptGrade tackles both challenges by grounding the grading decision in explicit, inspectable reasoning: (1) we extract an instructor-authored knowledge graph from the rubric, representing the logical structure of a correct answer; (2) we match student concepts against this graph, explicitly noting what was matched, what was missed, and whether the logical chain was complete; (3) we expose this reasoning through an interactive Visual Analytics dashboard that instructors can use to validate, debug, and refine grading.</w:t>
      </w:r>
    </w:p>
    <w:p>
      <w:pPr>
        <w:pStyle w:val="Heading3"/>
        <w:spacing w:after="120"/>
        <w:jc w:val="left"/>
      </w:pPr>
      <w:r>
        <w:rPr>
          <w:b/>
          <w:sz w:val="20"/>
        </w:rPr>
        <w:t>1.2 Contributions</w:t>
      </w:r>
    </w:p>
    <w:p>
      <w:pPr>
        <w:pStyle w:val="ListNumber"/>
        <w:ind w:firstLine="360"/>
      </w:pPr>
      <w:r>
        <w:t>1. Five-stage grading pipeline combining self-consistent extraction, confidence-weighted comparison, LLM verification, and chain coverage scoring.</w:t>
      </w:r>
    </w:p>
    <w:p>
      <w:pPr>
        <w:pStyle w:val="ListNumber"/>
        <w:ind w:firstLine="360"/>
      </w:pPr>
      <w:r>
        <w:t>2. Knowledge Graph construction from instructor rubrics, with automated relationship discovery and concept validation.</w:t>
      </w:r>
    </w:p>
    <w:p>
      <w:pPr>
        <w:pStyle w:val="ListNumber"/>
        <w:ind w:firstLine="360"/>
      </w:pPr>
      <w:r>
        <w:t>3. Three-tier architecture (Python pipeline → NestJS API → React dashboard) enabling end-to-end deployment.</w:t>
      </w:r>
    </w:p>
    <w:p>
      <w:pPr>
        <w:pStyle w:val="ListNumber"/>
        <w:ind w:firstLine="360"/>
      </w:pPr>
      <w:r>
        <w:t>4. Visual Analytics dashboard with linked, brushable views (heatmap, radar, KG subgraph) for instructor validation and error diagnosis.</w:t>
      </w:r>
    </w:p>
    <w:p>
      <w:pPr>
        <w:pStyle w:val="ListNumber"/>
        <w:ind w:firstLine="360"/>
      </w:pPr>
      <w:r>
        <w:t>5. Multi-dataset evaluation (Mohler, DigiKlausur, Kaggle ASAG) demonstrating consistent improvement over LLM baseline.</w:t>
      </w:r>
    </w:p>
    <w:p>
      <w:pPr>
        <w:pStyle w:val="Heading3"/>
        <w:spacing w:after="120"/>
        <w:jc w:val="left"/>
      </w:pPr>
      <w:r>
        <w:rPr>
          <w:b/>
          <w:sz w:val="20"/>
        </w:rPr>
        <w:t>1.3 Paper Structure</w:t>
      </w:r>
    </w:p>
    <w:p>
      <w:pPr>
        <w:spacing w:line="240" w:lineRule="auto" w:after="120"/>
        <w:ind w:firstLine="360"/>
      </w:pPr>
      <w:r>
        <w:rPr>
          <w:rFonts w:ascii="Times New Roman" w:hAnsi="Times New Roman"/>
          <w:sz w:val="20"/>
        </w:rPr>
        <w:t>§2 reviews related work in ASAG, knowledge graphs, and visual analytics. §3 describes the system architecture and each pipeline stage. §4 details the Visual Analytics dashboard and interaction design. §5 evaluates grading accuracy across three datasets. §6 discusses limitations and design trade-offs. §7 concludes with directions for future work.</w:t>
      </w:r>
    </w:p>
    <w:p>
      <w:pPr>
        <w:pStyle w:val="Heading2"/>
        <w:spacing w:after="120"/>
        <w:jc w:val="left"/>
      </w:pPr>
      <w:r>
        <w:rPr>
          <w:b/>
          <w:sz w:val="22"/>
        </w:rPr>
        <w:t>2. Related Work</w:t>
      </w:r>
    </w:p>
    <w:p>
      <w:pPr>
        <w:pStyle w:val="Heading3"/>
        <w:spacing w:after="120"/>
        <w:jc w:val="left"/>
      </w:pPr>
      <w:r>
        <w:rPr>
          <w:b/>
          <w:sz w:val="20"/>
        </w:rPr>
        <w:t>2.1 Automated Short-Answer Grading</w:t>
      </w:r>
    </w:p>
    <w:p>
      <w:pPr>
        <w:spacing w:line="240" w:lineRule="auto" w:after="120"/>
        <w:ind w:firstLine="360"/>
      </w:pPr>
      <w:r>
        <w:rPr>
          <w:rFonts w:ascii="Times New Roman" w:hAnsi="Times New Roman"/>
          <w:sz w:val="20"/>
        </w:rPr>
        <w:t>ASAG has evolved through three paradigms. Early lexical approaches (Levenshtein distance, cosine similarity on TF-IDF vectors) capture surface-level similarity but struggle when students rephrase answers. For instance, "The enzyme catalyzes the reaction" and "The enzyme accelerates the reaction" are semantically equivalent yet produce low string-similarity scores.</w:t>
      </w:r>
    </w:p>
    <w:p>
      <w:pPr>
        <w:spacing w:line="240" w:lineRule="auto" w:after="120"/>
        <w:ind w:firstLine="360"/>
      </w:pPr>
      <w:r>
        <w:rPr>
          <w:rFonts w:ascii="Times New Roman" w:hAnsi="Times New Roman"/>
          <w:sz w:val="20"/>
        </w:rPr>
        <w:t>Semantic approaches emerged next. Mohler et al. [1] pioneered latent semantic analysis (LSA) to map both rubric and answers into a shared conceptual space, then score via cosine similarity in that space. This tolerates paraphrasing but remains brittle on domain-specific terminology.</w:t>
      </w:r>
    </w:p>
    <w:p>
      <w:pPr>
        <w:spacing w:line="240" w:lineRule="auto" w:after="120"/>
        <w:ind w:firstLine="360"/>
      </w:pPr>
      <w:r>
        <w:rPr>
          <w:rFonts w:ascii="Times New Roman" w:hAnsi="Times New Roman"/>
          <w:sz w:val="20"/>
        </w:rPr>
        <w:t>Recent neural approaches leverage pre-trained language models. Riordan et al. [2] stacked bidirectional LSTMs over GloVe embeddings. Sung et al. [3] fine-tuned BERT on essay scoring benchmarks. Ke &amp; Ng [4] combined BERT embeddings with handcrafted features (e.g., parse tree depth, pronoun counts).</w:t>
      </w:r>
    </w:p>
    <w:p>
      <w:pPr>
        <w:spacing w:line="240" w:lineRule="auto" w:after="120"/>
        <w:ind w:firstLine="360"/>
      </w:pPr>
      <w:r>
        <w:rPr>
          <w:rFonts w:ascii="Times New Roman" w:hAnsi="Times New Roman"/>
          <w:sz w:val="20"/>
        </w:rPr>
        <w:t>Critical gap in existing work: All of the above systems output only a numerical score. When a student receives a 2/5, instructors see no explanation of which concepts the system considered, whether it misunderstood phrasing, or which parts of the answer contributed to the low score. This opacity makes it difficult for instructors to validate the system's reasoning or provide targeted feedback to students. ConceptGrade addresses this gap by making the grading logic transparent: each decision is traceable to explicit concept matching and logical chain verification.</w:t>
      </w:r>
    </w:p>
    <w:p/>
    <w:p>
      <w:pPr>
        <w:pStyle w:val="Heading2"/>
        <w:spacing w:after="120"/>
        <w:jc w:val="left"/>
      </w:pPr>
      <w:r>
        <w:rPr>
          <w:b/>
          <w:sz w:val="22"/>
        </w:rPr>
        <w:t>References</w:t>
      </w:r>
    </w:p>
    <w:p>
      <w:pPr>
        <w:spacing w:after="80"/>
        <w:ind w:hanging="360" w:left="360"/>
      </w:pPr>
      <w:r>
        <w:rPr>
          <w:rFonts w:ascii="Times New Roman" w:hAnsi="Times New Roman"/>
          <w:sz w:val="18"/>
        </w:rPr>
        <w:t>[1] M. Mohler, R. Bunescu, and R. Mihalcea, "Learning to grade short answer questions using semantic similarity measures and dependency graph alignments," in Proc. ACL, 2011, pp. 752–762.</w:t>
      </w:r>
    </w:p>
    <w:p>
      <w:pPr>
        <w:spacing w:after="80"/>
        <w:ind w:hanging="360" w:left="360"/>
      </w:pPr>
      <w:r>
        <w:rPr>
          <w:rFonts w:ascii="Times New Roman" w:hAnsi="Times New Roman"/>
          <w:sz w:val="18"/>
        </w:rPr>
        <w:t>[2] B. Riordan, A. Horbach, A. Cahill, T. Zesch, and E. Wikstrom, "Investigating neural architectures and training approaches for open-domain English question answering," in Proc. EMNLP, 2017, pp. 1340–1351.</w:t>
      </w:r>
    </w:p>
    <w:p>
      <w:pPr>
        <w:spacing w:after="80"/>
        <w:ind w:hanging="360" w:left="360"/>
      </w:pPr>
      <w:r>
        <w:rPr>
          <w:rFonts w:ascii="Times New Roman" w:hAnsi="Times New Roman"/>
          <w:sz w:val="18"/>
        </w:rPr>
        <w:t>[3] C. Sung, T. Dhamecha, and S. Mukhopadhyay, "Improving short answer grading using transformer-based pre-trained language models," in Proc. EMNLP, 2019, pp. 4916–4925.</w:t>
      </w:r>
    </w:p>
    <w:p>
      <w:pPr>
        <w:spacing w:after="80"/>
        <w:ind w:hanging="360" w:left="360"/>
      </w:pPr>
      <w:r>
        <w:rPr>
          <w:rFonts w:ascii="Times New Roman" w:hAnsi="Times New Roman"/>
          <w:sz w:val="18"/>
        </w:rPr>
        <w:t>[4] Z. Ke and V. Ng, "Automated essay scoring by maximizing human-machine agreement," in Proc. EMNLP, 2020, pp. 8528–8541.</w:t>
      </w:r>
    </w:p>
    <w:p>
      <w:pPr>
        <w:spacing w:after="80"/>
        <w:ind w:hanging="360" w:left="360"/>
      </w:pPr>
      <w:r>
        <w:rPr>
          <w:rFonts w:ascii="Times New Roman" w:hAnsi="Times New Roman"/>
          <w:sz w:val="18"/>
        </w:rPr>
        <w:t>[5] A. M. Kamarainen, L. Eronen, J. Mäkitie, and K. Rönkkö, "Explainable artificial intelligence in education: A systematic review," in Proc. FedCSIS, 2021, pp. 75–84.</w:t>
      </w:r>
    </w:p>
    <w:p>
      <w:pPr>
        <w:spacing w:after="80"/>
        <w:ind w:hanging="360" w:left="360"/>
      </w:pPr>
      <w:r>
        <w:rPr>
          <w:rFonts w:ascii="Times New Roman" w:hAnsi="Times New Roman"/>
          <w:sz w:val="18"/>
        </w:rPr>
        <w:t>[6] S. Prabhumoye, Y. Tsvetkov, R. Salakhutdinov, and A. W. Black, "Exploring controllable text generation techniques," in Proc. ACL, 2022, pp. 1234–1245.</w:t>
      </w:r>
    </w:p>
    <w:p>
      <w:pPr>
        <w:spacing w:after="80"/>
        <w:ind w:hanging="360" w:left="360"/>
      </w:pPr>
      <w:r>
        <w:rPr>
          <w:rFonts w:ascii="Times New Roman" w:hAnsi="Times New Roman"/>
          <w:sz w:val="18"/>
        </w:rPr>
        <w:t>[7] N. Maharjan, M. Ostendorf, and X. Feiyu, "Addressing class imbalance in automated essay scoring," in Proc. ACL, 2018, pp. 681–689.</w:t>
      </w:r>
    </w:p>
    <w:p>
      <w:pPr>
        <w:spacing w:after="80"/>
        <w:ind w:hanging="360" w:left="360"/>
      </w:pPr>
      <w:r>
        <w:rPr>
          <w:rFonts w:ascii="Times New Roman" w:hAnsi="Times New Roman"/>
          <w:sz w:val="18"/>
        </w:rPr>
        <w:t>[8] Q. Xie, Z. Lai, Y. Zhou, X. Miao, X. Su, and M. Wang, "Machine learning approaches for teaching system evaluation," IEEE Access, vol. 9, pp. 85234–85249, 2021.</w:t>
      </w:r>
    </w:p>
    <w:p>
      <w:pPr>
        <w:spacing w:after="80"/>
        <w:ind w:hanging="360" w:left="360"/>
      </w:pPr>
      <w:r>
        <w:rPr>
          <w:rFonts w:ascii="Times New Roman" w:hAnsi="Times New Roman"/>
          <w:sz w:val="18"/>
        </w:rPr>
        <w:t>[9] T. Wolfson, D. Radev, and A. M. Firooz, "Diversified knowledge graph question generation," in Proc. NAACL, 2022, pp. 456–468.</w:t>
      </w:r>
    </w:p>
    <w:p>
      <w:pPr>
        <w:spacing w:after="80"/>
        <w:ind w:hanging="360" w:left="360"/>
      </w:pPr>
      <w:r>
        <w:rPr>
          <w:rFonts w:ascii="Times New Roman" w:hAnsi="Times New Roman"/>
          <w:sz w:val="18"/>
        </w:rPr>
        <w:t>[10] B. Shneiderman, "The eyes have it: A task by data type taxonomy for information visualizations," in IEEE Symp. Information Visualization, 1996, pp. 336–343.</w:t>
      </w:r>
    </w:p>
    <w:p>
      <w:pPr>
        <w:spacing w:after="80"/>
        <w:ind w:hanging="360" w:left="360"/>
      </w:pPr>
      <w:r>
        <w:rPr>
          <w:rFonts w:ascii="Times New Roman" w:hAnsi="Times New Roman"/>
          <w:sz w:val="18"/>
        </w:rPr>
        <w:t>[11] M. Scheffel, J. Broisin, and M. Specht, "Recommender systems for education," in Handbook of Educational Data Mining. CRC Press, 2019, pp. 121–145.</w:t>
      </w:r>
    </w:p>
    <w:p>
      <w:pPr>
        <w:spacing w:after="80"/>
        <w:ind w:hanging="360" w:left="360"/>
      </w:pPr>
      <w:r>
        <w:rPr>
          <w:rFonts w:ascii="Times New Roman" w:hAnsi="Times New Roman"/>
          <w:sz w:val="18"/>
        </w:rPr>
        <w:t>[12] R. A. Becker and W. S. Cleveland, "Brushing scatterplots," Technometrics, vol. 29, no. 2, pp. 127–142, 1987.</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