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Seminar 1 — Presentation Script &amp; Q&amp;A Prep</w:t>
      </w:r>
    </w:p>
    <w:p>
      <w:pPr>
        <w:pStyle w:val="Heading1"/>
        <w:spacing w:after="150" w:before="320"/>
      </w:pPr>
      <w:r>
        <w:t xml:space="preserve">ConceptGrade: System Design &amp; Motivation</w:t>
      </w:r>
    </w:p>
    <w:p>
      <w:pPr>
        <w:spacing w:after="160"/>
      </w:pPr>
      <w:r>
        <w:rPr>
          <w:b/>
          <w:bCs/>
        </w:rPr>
        <w:t xml:space="preserve">Slot:</w:t>
      </w:r>
      <w:r>
        <w:t xml:space="preserve"> 30–40 min, faculty + research committee, substantial open Q&amp;A expected. </w:t>
      </w:r>
      <w:r>
        <w:rPr>
          <w:b/>
          <w:bCs/>
        </w:rPr>
        <w:t xml:space="preserve">Target talk length:</w:t>
      </w:r>
      <w:r>
        <w:t xml:space="preserve"> ~22–24 min, leaving 10–18 min for Q&amp;A. </w:t>
      </w:r>
      <w:r>
        <w:rPr>
          <w:b/>
          <w:bCs/>
        </w:rPr>
        <w:t xml:space="preserve">Deck:</w:t>
      </w:r>
      <w:r>
        <w:t xml:space="preserve"> </w:t>
      </w:r>
      <w:r>
        <w:rPr>
          <w:rFonts w:ascii="Courier New" w:cs="Courier New" w:eastAsia="Courier New" w:hAnsi="Courier New"/>
        </w:rPr>
        <w:t xml:space="preserve">Seminar1_SystemDesign.pptx</w:t>
      </w:r>
      <w:r>
        <w:t xml:space="preserve"> (16 slides).</w:t>
      </w:r>
    </w:p>
    <w:p>
      <w:pPr>
        <w:pBdr>
          <w:bottom w:val="single" w:color="CADCFC" w:sz="8" w:space="4"/>
        </w:pBdr>
        <w:spacing w:after="220"/>
      </w:pPr>
      <w:r>
        <w:t xml:space="preserve"/>
      </w:r>
    </w:p>
    <w:p>
      <w:pPr>
        <w:pStyle w:val="Heading1"/>
        <w:spacing w:after="150" w:before="320"/>
      </w:pPr>
      <w:r>
        <w:t xml:space="preserve">How to use this document</w:t>
      </w:r>
    </w:p>
    <w:p>
      <w:pPr>
        <w:spacing w:after="160"/>
      </w:pPr>
      <w:r>
        <w:t xml:space="preserve">Each slide has: a </w:t>
      </w:r>
      <w:r>
        <w:rPr>
          <w:b/>
          <w:bCs/>
        </w:rPr>
        <w:t xml:space="preserve">spoken script</w:t>
      </w:r>
      <w:r>
        <w:t xml:space="preserve"> (say it in your own words, don't read verbatim), a </w:t>
      </w:r>
      <w:r>
        <w:rPr>
          <w:b/>
          <w:bCs/>
        </w:rPr>
        <w:t xml:space="preserve">timing budget</w:t>
      </w:r>
      <w:r>
        <w:t xml:space="preserve">, and a </w:t>
      </w:r>
      <w:r>
        <w:rPr>
          <w:b/>
          <w:bCs/>
        </w:rPr>
        <w:t xml:space="preserve">transition line</w:t>
      </w:r>
      <w:r>
        <w:t xml:space="preserve"> into the next slide. Rehearse out loud at least twice against a timer before the real thing — this script runs long on paper and short in practice, or vice versa, and you won't know which until you say it out loud.</w:t>
      </w:r>
    </w:p>
    <w:p>
      <w:pPr>
        <w:spacing w:after="160"/>
      </w:pPr>
      <w:r>
        <w:t xml:space="preserve">The committee already knows you found and fixed a fabrication issue somewhere in this project (it's in your reproducibility record). Don't over-apologize for it if it comes up — the honest framing throughout this deck (the "86.9% worse alone" finding on Slide 12, the disclosed limitations on Slide 15) *is* the answer to "can I trust these numbers," so let the deck's own honesty do the work.</w:t>
      </w:r>
    </w:p>
    <w:p>
      <w:pPr>
        <w:pBdr>
          <w:bottom w:val="single" w:color="CADCFC" w:sz="8" w:space="4"/>
        </w:pBdr>
        <w:spacing w:after="220"/>
      </w:pPr>
      <w:r>
        <w:t xml:space="preserve"/>
      </w:r>
    </w:p>
    <w:p>
      <w:pPr>
        <w:pStyle w:val="Heading1"/>
        <w:spacing w:after="150" w:before="320"/>
      </w:pPr>
      <w:r>
        <w:t xml:space="preserve">Slide 1 — Title (0:30)</w:t>
      </w:r>
    </w:p>
    <w:p>
      <w:pPr>
        <w:spacing w:after="160"/>
      </w:pPr>
      <w:r>
        <w:rPr>
          <w:b/>
          <w:bCs/>
        </w:rPr>
        <w:t xml:space="preserve">Say:</w:t>
      </w:r>
      <w:r>
        <w:t xml:space="preserve"> State the title, that this is Seminar 1 of 3 (System Design), and one sentence on what the other two cover — "Today is architecture and design decisions; Seminar 2 is the empirical evaluation; Seminar 3 is a diagnostic deep-dive into where the system's scoring broke and what we did about it." This sets committee expectations so nobody asks "but does it work?" prematurely — you can point forward to Seminar 2 without dodging.</w:t>
      </w:r>
    </w:p>
    <w:p>
      <w:pPr>
        <w:spacing w:after="160"/>
      </w:pPr>
      <w:r>
        <w:rPr>
          <w:b/>
          <w:bCs/>
        </w:rPr>
        <w:t xml:space="preserve">Transition:</w:t>
      </w:r>
      <w:r>
        <w:t xml:space="preserve"> "Let me start with the problem this is actually solving."</w:t>
      </w:r>
    </w:p>
    <w:p>
      <w:pPr>
        <w:pBdr>
          <w:bottom w:val="single" w:color="CADCFC" w:sz="8" w:space="4"/>
        </w:pBdr>
        <w:spacing w:after="220"/>
      </w:pPr>
      <w:r>
        <w:t xml:space="preserve"/>
      </w:r>
    </w:p>
    <w:p>
      <w:pPr>
        <w:pStyle w:val="Heading1"/>
        <w:spacing w:after="150" w:before="320"/>
      </w:pPr>
      <w:r>
        <w:t xml:space="preserve">Slide 2 — The Problem (2:00)</w:t>
      </w:r>
    </w:p>
    <w:p>
      <w:pPr>
        <w:spacing w:after="90"/>
      </w:pPr>
      <w:r>
        <w:rPr>
          <w:b/>
          <w:bCs/>
        </w:rPr>
        <w:t xml:space="preserve">Say:</w:t>
      </w:r>
    </w:p>
    <w:p>
      <w:pPr>
        <w:pStyle w:val="ListParagraph"/>
        <w:numPr>
          <w:ilvl w:val="0"/>
          <w:numId w:val="1"/>
        </w:numPr>
        <w:spacing w:after="90"/>
      </w:pPr>
      <w:r>
        <w:t xml:space="preserve">Manual grading of CS short-answers doesn't scale — large classes, delayed feedback, inconsistent graders.</w:t>
      </w:r>
    </w:p>
    <w:p>
      <w:pPr>
        <w:pStyle w:val="ListParagraph"/>
        <w:numPr>
          <w:ilvl w:val="0"/>
          <w:numId w:val="1"/>
        </w:numPr>
        <w:spacing w:after="90"/>
      </w:pPr>
      <w:r>
        <w:t xml:space="preserve">Two things prior automated approaches get wrong, not one:</w:t>
      </w:r>
    </w:p>
    <w:p>
      <w:pPr>
        <w:pStyle w:val="ListParagraph"/>
        <w:numPr>
          <w:ilvl w:val="1"/>
          <w:numId w:val="1"/>
        </w:numPr>
        <w:spacing w:after="90"/>
      </w:pPr>
      <w:r>
        <w:rPr>
          <w:b/>
          <w:bCs/>
        </w:rPr>
        <w:t xml:space="preserve">Score without explanation</w:t>
      </w:r>
      <w:r>
        <w:t xml:space="preserve"> — lexical, embedding, and LLM zero-shot graders output a number, not *which concepts* were understood.</w:t>
      </w:r>
    </w:p>
    <w:p>
      <w:pPr>
        <w:pStyle w:val="ListParagraph"/>
        <w:numPr>
          <w:ilvl w:val="1"/>
          <w:numId w:val="1"/>
        </w:numPr>
        <w:spacing w:after="90"/>
      </w:pPr>
      <w:r>
        <w:rPr>
          <w:b/>
          <w:bCs/>
        </w:rPr>
        <w:t xml:space="preserve">No record of misconceptions</w:t>
      </w:r>
      <w:r>
        <w:t xml:space="preserve"> — a grade alone can't tell an instructor a student confused LIFO with FIFO, versus never engaging with the concept at all.</w:t>
      </w:r>
    </w:p>
    <w:p>
      <w:pPr>
        <w:pStyle w:val="ListParagraph"/>
        <w:numPr>
          <w:ilvl w:val="0"/>
          <w:numId w:val="1"/>
        </w:numPr>
        <w:spacing w:after="90"/>
      </w:pPr>
      <w:r>
        <w:t xml:space="preserve">ConceptGrade's premise: treat grading as a </w:t>
      </w:r>
      <w:r>
        <w:rPr>
          <w:b/>
          <w:bCs/>
        </w:rPr>
        <w:t xml:space="preserve">knowledge-graph matching task</w:t>
      </w:r>
      <w:r>
        <w:t xml:space="preserve"> — convert each free-text answer into a typed concept graph, compare it against an expert domain graph. That comparison is what makes the explanation and the misconception record possible — they're not bolted on afterward, they fall out of the representation choice.</w:t>
      </w:r>
    </w:p>
    <w:p>
      <w:pPr>
        <w:spacing w:after="160"/>
      </w:pPr>
      <w:r>
        <w:rPr>
          <w:b/>
          <w:bCs/>
        </w:rPr>
        <w:t xml:space="preserve">Anticipate:</w:t>
      </w:r>
      <w:r>
        <w:t xml:space="preserve"> "Why is this a graph problem and not just a classification problem?" → Because the *output* needs to be structured (which concepts, which relationships) for the explanation to exist. A classifier gives you a label; a graph comparison gives you a diff.</w:t>
      </w:r>
    </w:p>
    <w:p>
      <w:pPr>
        <w:spacing w:after="160"/>
      </w:pPr>
      <w:r>
        <w:rPr>
          <w:b/>
          <w:bCs/>
        </w:rPr>
        <w:t xml:space="preserve">Transition:</w:t>
      </w:r>
      <w:r>
        <w:t xml:space="preserve"> "This isn't a new idea in education research — it's called concept-map assessment. Here's where ConceptGrade sits relative to what's been tried."</w:t>
      </w:r>
    </w:p>
    <w:p>
      <w:pPr>
        <w:pBdr>
          <w:bottom w:val="single" w:color="CADCFC" w:sz="8" w:space="4"/>
        </w:pBdr>
        <w:spacing w:after="220"/>
      </w:pPr>
      <w:r>
        <w:t xml:space="preserve"/>
      </w:r>
    </w:p>
    <w:p>
      <w:pPr>
        <w:pStyle w:val="Heading1"/>
        <w:spacing w:after="150" w:before="320"/>
      </w:pPr>
      <w:r>
        <w:t xml:space="preserve">Slide 3 — What Prior Approaches Miss (2:30)</w:t>
      </w:r>
    </w:p>
    <w:p>
      <w:pPr>
        <w:spacing w:after="90"/>
      </w:pPr>
      <w:r>
        <w:rPr>
          <w:b/>
          <w:bCs/>
        </w:rPr>
        <w:t xml:space="preserve">Say:</w:t>
      </w:r>
    </w:p>
    <w:p>
      <w:pPr>
        <w:pStyle w:val="ListParagraph"/>
        <w:numPr>
          <w:ilvl w:val="0"/>
          <w:numId w:val="1"/>
        </w:numPr>
        <w:spacing w:after="90"/>
      </w:pPr>
      <w:r>
        <w:t xml:space="preserve">Walk the four points left to right, correlation numbers as landmarks, not the point:</w:t>
      </w:r>
    </w:p>
    <w:p>
      <w:pPr>
        <w:pStyle w:val="ListParagraph"/>
        <w:numPr>
          <w:ilvl w:val="0"/>
          <w:numId w:val="1"/>
        </w:numPr>
        <w:spacing w:after="90"/>
      </w:pPr>
      <w:r>
        <w:t xml:space="preserve">Lexical/LSA (Mohler &amp; Mihalcea): r=0.493 — surface overlap only, no concept structure.</w:t>
      </w:r>
    </w:p>
    <w:p>
      <w:pPr>
        <w:pStyle w:val="ListParagraph"/>
        <w:numPr>
          <w:ilvl w:val="0"/>
          <w:numId w:val="1"/>
        </w:numPr>
        <w:spacing w:after="90"/>
      </w:pPr>
      <w:r>
        <w:t xml:space="preserve">Dependency graphs (Mohler et al. 2011): r=0.518 — structural alignment, but still no *explicit* KG to compare against.</w:t>
      </w:r>
    </w:p>
    <w:p>
      <w:pPr>
        <w:pStyle w:val="ListParagraph"/>
        <w:numPr>
          <w:ilvl w:val="0"/>
          <w:numId w:val="1"/>
        </w:numPr>
        <w:spacing w:after="90"/>
      </w:pPr>
      <w:r>
        <w:t xml:space="preserve">Transformer fine-tuning (BERT-based): r=0.620 — best raw correlation among these, but fully opaque.</w:t>
      </w:r>
    </w:p>
    <w:p>
      <w:pPr>
        <w:pStyle w:val="ListParagraph"/>
        <w:numPr>
          <w:ilvl w:val="0"/>
          <w:numId w:val="1"/>
        </w:numPr>
        <w:spacing w:after="90"/>
      </w:pPr>
      <w:r>
        <w:t xml:space="preserve">LLM zero-shot (your own </w:t>
      </w:r>
      <w:r>
        <w:rPr>
          <w:rFonts w:ascii="Courier New" w:cs="Courier New" w:eastAsia="Courier New" w:hAnsi="Courier New"/>
        </w:rPr>
        <w:t xml:space="preserve">C_LLM</w:t>
      </w:r>
      <w:r>
        <w:t xml:space="preserve"> baseline): competitive, but keeps no explicit conceptual record.</w:t>
      </w:r>
    </w:p>
    <w:p>
      <w:pPr>
        <w:pStyle w:val="ListParagraph"/>
        <w:numPr>
          <w:ilvl w:val="0"/>
          <w:numId w:val="1"/>
        </w:numPr>
        <w:spacing w:after="90"/>
      </w:pPr>
      <w:r>
        <w:t xml:space="preserve">The throughline: correlation goes up as methods get more powerful, but *none* of them keep an inspectable, structured record of what the student actually demonstrated. That's the gap.</w:t>
      </w:r>
    </w:p>
    <w:p>
      <w:pPr>
        <w:pStyle w:val="ListParagraph"/>
        <w:numPr>
          <w:ilvl w:val="0"/>
          <w:numId w:val="1"/>
        </w:numPr>
        <w:spacing w:after="90"/>
      </w:pPr>
      <w:r>
        <w:t xml:space="preserve">Land the intellectual lineage explicitly: "ConceptGrade extends concept-map assessment — where students traditionally *draw* node-link diagrams that get graded against an expert map — to free-text answers, by inferring an equivalent graph automatically via LLM extraction." This is the one sentence that tells the committee you know the education-research lineage, not just the ML side.</w:t>
      </w:r>
    </w:p>
    <w:p>
      <w:pPr>
        <w:spacing w:after="160"/>
      </w:pPr>
      <w:r>
        <w:rPr>
          <w:b/>
          <w:bCs/>
        </w:rPr>
        <w:t xml:space="preserve">Anticipate:</w:t>
      </w:r>
      <w:r>
        <w:t xml:space="preserve"> "If BERT fine-tuning gets the best raw correlation, why not just use that?" → Because raw correlation isn't the target metric here — inspectability is. A fine-tuned BERT model that scores well still can't tell an instructor *why*. This paper is trading some of that ceiling for structure, and Seminar 2 is honest about what that trade costs in practice.</w:t>
      </w:r>
    </w:p>
    <w:p>
      <w:pPr>
        <w:spacing w:after="160"/>
      </w:pPr>
      <w:r>
        <w:rPr>
          <w:b/>
          <w:bCs/>
        </w:rPr>
        <w:t xml:space="preserve">Transition:</w:t>
      </w:r>
      <w:r>
        <w:t xml:space="preserve"> "So — five things this work actually contributes, concretely."</w:t>
      </w:r>
    </w:p>
    <w:p>
      <w:pPr>
        <w:pBdr>
          <w:bottom w:val="single" w:color="CADCFC" w:sz="8" w:space="4"/>
        </w:pBdr>
        <w:spacing w:after="220"/>
      </w:pPr>
      <w:r>
        <w:t xml:space="preserve"/>
      </w:r>
    </w:p>
    <w:p>
      <w:pPr>
        <w:pStyle w:val="Heading1"/>
        <w:spacing w:after="150" w:before="320"/>
      </w:pPr>
      <w:r>
        <w:t xml:space="preserve">Slide 4 — Five Contributions (2:00)</w:t>
      </w:r>
    </w:p>
    <w:p>
      <w:pPr>
        <w:spacing w:after="160"/>
      </w:pPr>
      <w:r>
        <w:rPr>
          <w:b/>
          <w:bCs/>
        </w:rPr>
        <w:t xml:space="preserve">Say:</w:t>
      </w:r>
      <w:r>
        <w:t xml:space="preserve"> Go through the five briskly — this is a signpost slide, not a deep-dive slide. Resist the urge to defend each one here; you'll do that on the layer-by-layer slides.</w:t>
      </w:r>
    </w:p>
    <w:p>
      <w:pPr>
        <w:pStyle w:val="ListParagraph"/>
        <w:numPr>
          <w:ilvl w:val="0"/>
          <w:numId w:val="1"/>
        </w:numPr>
        <w:spacing w:after="90"/>
      </w:pPr>
      <w:r>
        <w:t xml:space="preserve">Five-layer pipeline (extraction → KG comparison → depth → misconceptions → verifier).</w:t>
      </w:r>
    </w:p>
    <w:p>
      <w:pPr>
        <w:pStyle w:val="ListParagraph"/>
        <w:numPr>
          <w:ilvl w:val="0"/>
          <w:numId w:val="1"/>
        </w:numPr>
        <w:spacing w:after="90"/>
      </w:pPr>
      <w:r>
        <w:t xml:space="preserve">A hand-built Data Structures KG, frozen before evaluation — emphasize *frozen before evaluation*, it's a methodological safeguard, say it plainly.</w:t>
      </w:r>
    </w:p>
    <w:p>
      <w:pPr>
        <w:pStyle w:val="ListParagraph"/>
        <w:numPr>
          <w:ilvl w:val="0"/>
          <w:numId w:val="1"/>
        </w:numPr>
        <w:spacing w:after="90"/>
      </w:pPr>
      <w:r>
        <w:t xml:space="preserve">An honest, real-data evaluation — "small, response-level-significant, but question-level-fragile gain, with the true source of the gain identified via ablation." This is your thesis statement for the whole three-seminar series — say it exactly like this every time it comes up.</w:t>
      </w:r>
    </w:p>
    <w:p>
      <w:pPr>
        <w:pStyle w:val="ListParagraph"/>
        <w:numPr>
          <w:ilvl w:val="0"/>
          <w:numId w:val="1"/>
        </w:numPr>
        <w:spacing w:after="90"/>
      </w:pPr>
      <w:r>
        <w:t xml:space="preserve">Self-consistency ensembling, fairly tested — "a real robustness claim that partially collapses under an equally-resourced control, reported as found, not as hoped."</w:t>
      </w:r>
    </w:p>
    <w:p>
      <w:pPr>
        <w:pStyle w:val="ListParagraph"/>
        <w:numPr>
          <w:ilvl w:val="0"/>
          <w:numId w:val="1"/>
        </w:numPr>
        <w:spacing w:after="90"/>
      </w:pPr>
      <w:r>
        <w:t xml:space="preserve">A reproducible, cost-transparent protocol — 300+ automated checks recompute every reported number from cached predictions.</w:t>
      </w:r>
    </w:p>
    <w:p>
      <w:pPr>
        <w:pStyle w:val="ListParagraph"/>
        <w:numPr>
          <w:ilvl w:val="0"/>
          <w:numId w:val="1"/>
        </w:numPr>
        <w:spacing w:after="90"/>
      </w:pPr>
      <w:r>
        <w:t xml:space="preserve">Close with the framing sentence on the slide: "We frame this as an empirical study of where and why KG-LLM hybrid grading helps — not a claim that it always does." This is your thesis. Say it slowly. It's the sentence that should survive if the committee remembers nothing else.</w:t>
      </w:r>
    </w:p>
    <w:p>
      <w:pPr>
        <w:spacing w:after="160"/>
      </w:pPr>
      <w:r>
        <w:rPr>
          <w:b/>
          <w:bCs/>
        </w:rPr>
        <w:t xml:space="preserve">Transition:</w:t>
      </w:r>
      <w:r>
        <w:t xml:space="preserve"> "Let's look at how the system actually works, end to end."</w:t>
      </w:r>
    </w:p>
    <w:p>
      <w:pPr>
        <w:pBdr>
          <w:bottom w:val="single" w:color="CADCFC" w:sz="8" w:space="4"/>
        </w:pBdr>
        <w:spacing w:after="220"/>
      </w:pPr>
      <w:r>
        <w:t xml:space="preserve"/>
      </w:r>
    </w:p>
    <w:p>
      <w:pPr>
        <w:pStyle w:val="Heading1"/>
        <w:spacing w:after="150" w:before="320"/>
      </w:pPr>
      <w:r>
        <w:t xml:space="preserve">Slide 5 — System Architecture (2:00)</w:t>
      </w:r>
    </w:p>
    <w:p>
      <w:pPr>
        <w:spacing w:after="90"/>
      </w:pPr>
      <w:r>
        <w:rPr>
          <w:b/>
          <w:bCs/>
        </w:rPr>
        <w:t xml:space="preserve">Say:</w:t>
      </w:r>
    </w:p>
    <w:p>
      <w:pPr>
        <w:pStyle w:val="ListParagraph"/>
        <w:numPr>
          <w:ilvl w:val="0"/>
          <w:numId w:val="1"/>
        </w:numPr>
        <w:spacing w:after="90"/>
      </w:pPr>
      <w:r>
        <w:t xml:space="preserve">One pass left to right: Concept Extraction → KG Comparison → Cognitive Depth → Misconception Detection → Score Synthesis + Verifier. Question + student answer in; score + explanation out.</w:t>
      </w:r>
    </w:p>
    <w:p>
      <w:pPr>
        <w:pStyle w:val="ListParagraph"/>
        <w:numPr>
          <w:ilvl w:val="0"/>
          <w:numId w:val="1"/>
        </w:numPr>
        <w:spacing w:after="90"/>
      </w:pPr>
      <w:r>
        <w:t xml:space="preserve">Name the mechanism under each box in one breath: LLM (</w:t>
      </w:r>
      <w:r>
        <w:rPr>
          <w:rFonts w:ascii="Courier New" w:cs="Courier New" w:eastAsia="Courier New" w:hAnsi="Courier New"/>
        </w:rPr>
        <w:t xml:space="preserve">gemini-2.5-flash</w:t>
      </w:r>
      <w:r>
        <w:t xml:space="preserve">) with 3× self-consistency; deterministic LLM-free matching; Bloom's + SOLO; a 16-entry validated taxonomy; blend into an LLM Verifier at weight w=1.0.</w:t>
      </w:r>
    </w:p>
    <w:p>
      <w:pPr>
        <w:pStyle w:val="ListParagraph"/>
        <w:numPr>
          <w:ilvl w:val="0"/>
          <w:numId w:val="1"/>
        </w:numPr>
        <w:spacing w:after="90"/>
      </w:pPr>
      <w:r>
        <w:t xml:space="preserve">Don't over-explain any one box yet — flag that each gets its own slide shortly, and that Layer 5's </w:t>
      </w:r>
      <w:r>
        <w:rPr>
          <w:rFonts w:ascii="Courier New" w:cs="Courier New" w:eastAsia="Courier New" w:hAnsi="Courier New"/>
        </w:rPr>
        <w:t xml:space="preserve">w=1.0</w:t>
      </w:r>
      <w:r>
        <w:t xml:space="preserve"> is the single most important number in the whole architecture diagram — "hold that thought, I'll come back to it."</w:t>
      </w:r>
    </w:p>
    <w:p>
      <w:pPr>
        <w:spacing w:after="160"/>
      </w:pPr>
      <w:r>
        <w:rPr>
          <w:b/>
          <w:bCs/>
        </w:rPr>
        <w:t xml:space="preserve">Anticipate:</w:t>
      </w:r>
      <w:r>
        <w:t xml:space="preserve"> "Why five layers instead of end-to-end fine-tuning?" → Same answer as Slide 3: interpretability and structured feedback are the design goal, not raw accuracy alone. Each layer produces an inspectable artifact (the concept graph, the depth label, the misconception tag) that the final grade doesn't have to reconstruct after the fact.</w:t>
      </w:r>
    </w:p>
    <w:p>
      <w:pPr>
        <w:spacing w:after="160"/>
      </w:pPr>
      <w:r>
        <w:rPr>
          <w:b/>
          <w:bCs/>
        </w:rPr>
        <w:t xml:space="preserve">Transition:</w:t>
      </w:r>
      <w:r>
        <w:t xml:space="preserve"> "Before the layer-by-layer breakdown, I want to show this isn't a diagram — it's a running system."</w:t>
      </w:r>
    </w:p>
    <w:p>
      <w:pPr>
        <w:pBdr>
          <w:bottom w:val="single" w:color="CADCFC" w:sz="8" w:space="4"/>
        </w:pBdr>
        <w:spacing w:after="220"/>
      </w:pPr>
      <w:r>
        <w:t xml:space="preserve"/>
      </w:r>
    </w:p>
    <w:p>
      <w:pPr>
        <w:pStyle w:val="Heading1"/>
        <w:spacing w:after="150" w:before="320"/>
      </w:pPr>
      <w:r>
        <w:t xml:space="preserve">Slide 6 — The Live Application (1:30)</w:t>
      </w:r>
    </w:p>
    <w:p>
      <w:pPr>
        <w:spacing w:after="160"/>
      </w:pPr>
      <w:r>
        <w:rPr>
          <w:b/>
          <w:bCs/>
        </w:rPr>
        <w:t xml:space="preserve">Say:</w:t>
      </w:r>
      <w:r>
        <w:t xml:space="preserve"> This is the real NodeGrade platform's node-graph editor, not a mockup. Point out one or two concrete UI elements in the screenshot — the graph nodes, the editing surface — and say plainly "everything I'm about to describe is implemented and running, not a proposed design." If you can, have the actual app open as a backup in case someone asks to see it live.</w:t>
      </w:r>
    </w:p>
    <w:p>
      <w:pPr>
        <w:spacing w:after="160"/>
      </w:pPr>
      <w:r>
        <w:rPr>
          <w:b/>
          <w:bCs/>
        </w:rPr>
        <w:t xml:space="preserve">Transition:</w:t>
      </w:r>
      <w:r>
        <w:t xml:space="preserve"> "Here's what a real graded answer looks like when submitted to this system."</w:t>
      </w:r>
    </w:p>
    <w:p>
      <w:pPr>
        <w:pBdr>
          <w:bottom w:val="single" w:color="CADCFC" w:sz="8" w:space="4"/>
        </w:pBdr>
        <w:spacing w:after="220"/>
      </w:pPr>
      <w:r>
        <w:t xml:space="preserve"/>
      </w:r>
    </w:p>
    <w:p>
      <w:pPr>
        <w:pStyle w:val="Heading1"/>
        <w:spacing w:after="150" w:before="320"/>
      </w:pPr>
      <w:r>
        <w:t xml:space="preserve">Slide 7 — Live Example (2:00)</w:t>
      </w:r>
    </w:p>
    <w:p>
      <w:pPr>
        <w:spacing w:after="90"/>
      </w:pPr>
      <w:r>
        <w:rPr>
          <w:b/>
          <w:bCs/>
        </w:rPr>
        <w:t xml:space="preserve">Say:</w:t>
      </w:r>
    </w:p>
    <w:p>
      <w:pPr>
        <w:pStyle w:val="ListParagraph"/>
        <w:numPr>
          <w:ilvl w:val="0"/>
          <w:numId w:val="1"/>
        </w:numPr>
        <w:spacing w:after="90"/>
      </w:pPr>
      <w:r>
        <w:t xml:space="preserve">Read the submitted answer aloud: "A stack is a data structure that uses FIFO order..." — pause after "FIFO" so the committee catches the error themselves before you name it.</w:t>
      </w:r>
    </w:p>
    <w:p>
      <w:pPr>
        <w:pStyle w:val="ListParagraph"/>
        <w:numPr>
          <w:ilvl w:val="0"/>
          <w:numId w:val="1"/>
        </w:numPr>
        <w:spacing w:after="90"/>
      </w:pPr>
      <w:r>
        <w:t xml:space="preserve">Walk the top screenshot (the score/explanation) then the misconceptions screenshot. Land on: this student would be flagged for confusing LIFO with FIFO — DS-STACK-01 — with a remediation hint, not just a low number.</w:t>
      </w:r>
    </w:p>
    <w:p>
      <w:pPr>
        <w:pStyle w:val="ListParagraph"/>
        <w:numPr>
          <w:ilvl w:val="0"/>
          <w:numId w:val="1"/>
        </w:numPr>
        <w:spacing w:after="90"/>
      </w:pPr>
      <w:r>
        <w:t xml:space="preserve">This slide is doing real work: it's proof that Layers 2 and 4 (KG comparison, misconception detection) produce something a human grader would actually find useful, independent of whether the final numeric score beats a baseline. Say that connection explicitly — it's your best defense against "but the accuracy gain is small" pushback later.</w:t>
      </w:r>
    </w:p>
    <w:p>
      <w:pPr>
        <w:spacing w:after="160"/>
      </w:pPr>
      <w:r>
        <w:rPr>
          <w:b/>
          <w:bCs/>
        </w:rPr>
        <w:t xml:space="preserve">Transition:</w:t>
      </w:r>
      <w:r>
        <w:t xml:space="preserve"> "Now let's go layer by layer through how that output gets built."</w:t>
      </w:r>
    </w:p>
    <w:p>
      <w:pPr>
        <w:pBdr>
          <w:bottom w:val="single" w:color="CADCFC" w:sz="8" w:space="4"/>
        </w:pBdr>
        <w:spacing w:after="220"/>
      </w:pPr>
      <w:r>
        <w:t xml:space="preserve"/>
      </w:r>
    </w:p>
    <w:p>
      <w:pPr>
        <w:pStyle w:val="Heading1"/>
        <w:spacing w:after="150" w:before="320"/>
      </w:pPr>
      <w:r>
        <w:t xml:space="preserve">Slide 8 — Layer 1: Concept Extraction (1:30)</w:t>
      </w:r>
    </w:p>
    <w:p>
      <w:pPr>
        <w:spacing w:after="90"/>
      </w:pPr>
      <w:r>
        <w:rPr>
          <w:b/>
          <w:bCs/>
        </w:rPr>
        <w:t xml:space="preserve">Say:</w:t>
      </w:r>
    </w:p>
    <w:p>
      <w:pPr>
        <w:pStyle w:val="ListParagraph"/>
        <w:numPr>
          <w:ilvl w:val="0"/>
          <w:numId w:val="1"/>
        </w:numPr>
        <w:spacing w:after="90"/>
      </w:pPr>
      <w:r>
        <w:t xml:space="preserve">The LLM receives the question and student answer, returns a typed student concept graph G_s = (V_s, E_s).</w:t>
      </w:r>
    </w:p>
    <w:p>
      <w:pPr>
        <w:pStyle w:val="ListParagraph"/>
        <w:numPr>
          <w:ilvl w:val="0"/>
          <w:numId w:val="1"/>
        </w:numPr>
        <w:spacing w:after="90"/>
      </w:pPr>
      <w:r>
        <w:t xml:space="preserve">Run 3× with self-consistency, majority-vote, min_votes = 2/3 — this reduces single-call extraction noise. (You'll revisit whether this actually helps, fairly tested, in Seminar 2 — you can foreshadow it here in one clause.)</w:t>
      </w:r>
    </w:p>
    <w:p>
      <w:pPr>
        <w:pStyle w:val="ListParagraph"/>
        <w:numPr>
          <w:ilvl w:val="0"/>
          <w:numId w:val="1"/>
        </w:numPr>
        <w:spacing w:after="90"/>
      </w:pPr>
      <w:r>
        <w:t xml:space="preserve">Question-focused ontology matching: a keyword matcher builds a focused ~10–20-concept subset of the 101-concept KG for the prompt, rather than always supplying the whole graph — this keeps the prompt tight and reduces spurious matches.</w:t>
      </w:r>
    </w:p>
    <w:p>
      <w:pPr>
        <w:pStyle w:val="ListParagraph"/>
        <w:numPr>
          <w:ilvl w:val="0"/>
          <w:numId w:val="1"/>
        </w:numPr>
        <w:spacing w:after="90"/>
      </w:pPr>
      <w:r>
        <w:t xml:space="preserve">Concepts below confidence τ=0.70 are filtered; surface forms resolve to canonical KG IDs via alias lookup.</w:t>
      </w:r>
    </w:p>
    <w:p>
      <w:pPr>
        <w:pStyle w:val="ListParagraph"/>
        <w:numPr>
          <w:ilvl w:val="0"/>
          <w:numId w:val="1"/>
        </w:numPr>
        <w:spacing w:after="90"/>
      </w:pPr>
      <w:r>
        <w:rPr>
          <w:b/>
          <w:bCs/>
        </w:rPr>
        <w:t xml:space="preserve">Own the bug, briefly, don't dwell:</w:t>
      </w:r>
      <w:r>
        <w:t xml:space="preserve"> "What is a queue?" tokenized without stripping punctuation → "queue?" never matched "queue" in KG text → a false out-of-domain flag on 106 of 1,262 samples. Found and fixed this year. One sentence, then move on — "more in Seminar 3" is written on the slide for a reason; let it do the deferring for you.</w:t>
      </w:r>
    </w:p>
    <w:p>
      <w:pPr>
        <w:spacing w:after="160"/>
      </w:pPr>
      <w:r>
        <w:rPr>
          <w:b/>
          <w:bCs/>
        </w:rPr>
        <w:t xml:space="preserve">Anticipate:</w:t>
      </w:r>
      <w:r>
        <w:t xml:space="preserve"> "Why threshold 0.70 specifically?" → If you don't have a principled answer beyond "it was fixed before evaluation and not tuned on the real data," say exactly that — it's honest and matches your own disclosed-limitations framing. Don't invent a justification you don't have.</w:t>
      </w:r>
    </w:p>
    <w:p>
      <w:pPr>
        <w:spacing w:after="160"/>
      </w:pPr>
      <w:r>
        <w:rPr>
          <w:b/>
          <w:bCs/>
        </w:rPr>
        <w:t xml:space="preserve">Transition:</w:t>
      </w:r>
      <w:r>
        <w:t xml:space="preserve"> "Once we have that student graph, Layer 2 compares it against the expert graph — deterministically, no LLM involved."</w:t>
      </w:r>
    </w:p>
    <w:p>
      <w:pPr>
        <w:pBdr>
          <w:bottom w:val="single" w:color="CADCFC" w:sz="8" w:space="4"/>
        </w:pBdr>
        <w:spacing w:after="220"/>
      </w:pPr>
      <w:r>
        <w:t xml:space="preserve"/>
      </w:r>
    </w:p>
    <w:p>
      <w:pPr>
        <w:pStyle w:val="Heading1"/>
        <w:spacing w:after="150" w:before="320"/>
      </w:pPr>
      <w:r>
        <w:t xml:space="preserve">Slide 9 — Layer 2: KG Comparison (1:30)</w:t>
      </w:r>
    </w:p>
    <w:p>
      <w:pPr>
        <w:spacing w:after="90"/>
      </w:pPr>
      <w:r>
        <w:rPr>
          <w:b/>
          <w:bCs/>
        </w:rPr>
        <w:t xml:space="preserve">Say:</w:t>
      </w:r>
    </w:p>
    <w:p>
      <w:pPr>
        <w:pStyle w:val="ListParagraph"/>
        <w:numPr>
          <w:ilvl w:val="0"/>
          <w:numId w:val="1"/>
        </w:numPr>
        <w:spacing w:after="90"/>
      </w:pPr>
      <w:r>
        <w:t xml:space="preserve">Emphasize </w:t>
      </w:r>
      <w:r>
        <w:rPr>
          <w:b/>
          <w:bCs/>
        </w:rPr>
        <w:t xml:space="preserve">deterministic, LLM-free, no model calls, fully reproducible</w:t>
      </w:r>
      <w:r>
        <w:t xml:space="preserve"> — this is the one layer in the whole pipeline that isn't a language-model call, and that's a deliberate design choice worth naming.</w:t>
      </w:r>
    </w:p>
    <w:p>
      <w:pPr>
        <w:pStyle w:val="ListParagraph"/>
        <w:numPr>
          <w:ilvl w:val="0"/>
          <w:numId w:val="1"/>
        </w:numPr>
        <w:spacing w:after="90"/>
      </w:pPr>
      <w:r>
        <w:t xml:space="preserve">Three scores, say the formulas plainly:</w:t>
      </w:r>
    </w:p>
    <w:p>
      <w:pPr>
        <w:pStyle w:val="ListParagraph"/>
        <w:numPr>
          <w:ilvl w:val="0"/>
          <w:numId w:val="1"/>
        </w:numPr>
        <w:spacing w:after="90"/>
      </w:pPr>
      <w:r>
        <w:t xml:space="preserve">coverage = |V_s \cap V_e| / |V_e| — fraction of expert concepts the student hit.</w:t>
      </w:r>
    </w:p>
    <w:p>
      <w:pPr>
        <w:pStyle w:val="ListParagraph"/>
        <w:numPr>
          <w:ilvl w:val="0"/>
          <w:numId w:val="1"/>
        </w:numPr>
        <w:spacing w:after="90"/>
      </w:pPr>
      <w:r>
        <w:t xml:space="preserve">accuracy = correct edges / student edges — fraction of stated relationships that are right.</w:t>
      </w:r>
    </w:p>
    <w:p>
      <w:pPr>
        <w:pStyle w:val="ListParagraph"/>
        <w:numPr>
          <w:ilvl w:val="0"/>
          <w:numId w:val="1"/>
        </w:numPr>
        <w:spacing w:after="90"/>
      </w:pPr>
      <w:r>
        <w:t xml:space="preserve">integration = connected nodes / student nodes — how structurally connected the student's graph is, versus a disconnected list of terms.</w:t>
      </w:r>
    </w:p>
    <w:p>
      <w:pPr>
        <w:pStyle w:val="ListParagraph"/>
        <w:numPr>
          <w:ilvl w:val="0"/>
          <w:numId w:val="1"/>
        </w:numPr>
        <w:spacing w:after="90"/>
      </w:pPr>
      <w:r>
        <w:t xml:space="preserve">These three feed directly into the interpretable diagnostics — missing concepts, incorrect relationships — that show up as feedback to the student.</w:t>
      </w:r>
    </w:p>
    <w:p>
      <w:pPr>
        <w:spacing w:after="160"/>
      </w:pPr>
      <w:r>
        <w:rPr>
          <w:b/>
          <w:bCs/>
        </w:rPr>
        <w:t xml:space="preserve">Transition:</w:t>
      </w:r>
      <w:r>
        <w:t xml:space="preserve"> "The mechanism behind that concept-alignment step is worth a moment on its own — it's called Topological Reasoning Mapping."</w:t>
      </w:r>
    </w:p>
    <w:p>
      <w:pPr>
        <w:pBdr>
          <w:bottom w:val="single" w:color="CADCFC" w:sz="8" w:space="4"/>
        </w:pBdr>
        <w:spacing w:after="220"/>
      </w:pPr>
      <w:r>
        <w:t xml:space="preserve"/>
      </w:r>
    </w:p>
    <w:p>
      <w:pPr>
        <w:pStyle w:val="Heading1"/>
        <w:spacing w:after="150" w:before="320"/>
      </w:pPr>
      <w:r>
        <w:t xml:space="preserve">Slide 10 — Topological Reasoning Mapping / TRM (2:00)</w:t>
      </w:r>
    </w:p>
    <w:p>
      <w:pPr>
        <w:spacing w:after="90"/>
      </w:pPr>
      <w:r>
        <w:rPr>
          <w:b/>
          <w:bCs/>
        </w:rPr>
        <w:t xml:space="preserve">Say:</w:t>
      </w:r>
    </w:p>
    <w:p>
      <w:pPr>
        <w:pStyle w:val="ListParagraph"/>
        <w:numPr>
          <w:ilvl w:val="0"/>
          <w:numId w:val="1"/>
        </w:numPr>
        <w:spacing w:after="90"/>
      </w:pPr>
      <w:r>
        <w:t xml:space="preserve">Name it clearly as </w:t>
      </w:r>
      <w:r>
        <w:rPr>
          <w:b/>
          <w:bCs/>
        </w:rPr>
        <w:t xml:space="preserve">approximate subgraph matching, not NP-hard subgraph isomorphism</w:t>
      </w:r>
      <w:r>
        <w:t xml:space="preserve"> — this distinction matters if anyone in the room has a theory background, so make it explicit rather than let them wonder.</w:t>
      </w:r>
    </w:p>
    <w:p>
      <w:pPr>
        <w:pStyle w:val="ListParagraph"/>
        <w:numPr>
          <w:ilvl w:val="0"/>
          <w:numId w:val="1"/>
        </w:numPr>
        <w:spacing w:after="90"/>
      </w:pPr>
      <w:r>
        <w:t xml:space="preserve">Three phases:</w:t>
      </w:r>
    </w:p>
    <w:p>
      <w:pPr>
        <w:pStyle w:val="ListParagraph"/>
        <w:numPr>
          <w:ilvl w:val="1"/>
          <w:numId w:val="1"/>
        </w:numPr>
        <w:spacing w:after="90"/>
      </w:pPr>
      <w:r>
        <w:t xml:space="preserve">Concept alignment — each student concept matched to its nearest expert concept via BERT cosine similarity, threshold 0.70.</w:t>
      </w:r>
    </w:p>
    <w:p>
      <w:pPr>
        <w:pStyle w:val="ListParagraph"/>
        <w:numPr>
          <w:ilvl w:val="1"/>
          <w:numId w:val="1"/>
        </w:numPr>
        <w:spacing w:after="90"/>
      </w:pPr>
      <w:r>
        <w:t xml:space="preserve">Relationship matching — each student edge scored against the expert graph: 1.0 full match, 0.5 partial, 0.0 no match.</w:t>
      </w:r>
    </w:p>
    <w:p>
      <w:pPr>
        <w:pStyle w:val="ListParagraph"/>
        <w:numPr>
          <w:ilvl w:val="1"/>
          <w:numId w:val="1"/>
        </w:numPr>
        <w:spacing w:after="90"/>
      </w:pPr>
      <w:r>
        <w:t xml:space="preserve">Verifier confidence weighting — each matched concept weighted 1.0 if grounded in the answer text, 0.3 if it looks hallucinated.</w:t>
      </w:r>
    </w:p>
    <w:p>
      <w:pPr>
        <w:pStyle w:val="ListParagraph"/>
        <w:numPr>
          <w:ilvl w:val="0"/>
          <w:numId w:val="1"/>
        </w:numPr>
        <w:spacing w:after="90"/>
      </w:pPr>
      <w:r>
        <w:t xml:space="preserve">Complexity: O(|V_s|·|V_e| + |E_s|·|E_e|) — polynomial, not NP-complete — roughly 2.3 seconds per answer on a standard CPU at batch scale. Have this number ready verbatim; it's the kind of thing a committee member will ask you to repeat.</w:t>
      </w:r>
    </w:p>
    <w:p>
      <w:pPr>
        <w:spacing w:after="160"/>
      </w:pPr>
      <w:r>
        <w:rPr>
          <w:b/>
          <w:bCs/>
        </w:rPr>
        <w:t xml:space="preserve">Anticipate:</w:t>
      </w:r>
      <w:r>
        <w:t xml:space="preserve"> "Why not exact subgraph isomorphism?" → Exact isomorphism is NP-hard and brittle to any paraphrase — a student who says "push adds to the top" instead of the exact KG phrasing would fail an exact match entirely. The approximate, threshold-based matching is what makes free-text grading tractable at all; that's the whole point of the cosine-similarity alignment step.</w:t>
      </w:r>
    </w:p>
    <w:p>
      <w:pPr>
        <w:spacing w:after="160"/>
      </w:pPr>
      <w:r>
        <w:rPr>
          <w:b/>
          <w:bCs/>
        </w:rPr>
        <w:t xml:space="preserve">Transition:</w:t>
      </w:r>
      <w:r>
        <w:t xml:space="preserve"> "Layers 3 and 4 run in parallel with that comparison — depth and misconceptions."</w:t>
      </w:r>
    </w:p>
    <w:p>
      <w:pPr>
        <w:pBdr>
          <w:bottom w:val="single" w:color="CADCFC" w:sz="8" w:space="4"/>
        </w:pBdr>
        <w:spacing w:after="220"/>
      </w:pPr>
      <w:r>
        <w:t xml:space="preserve"/>
      </w:r>
    </w:p>
    <w:p>
      <w:pPr>
        <w:pStyle w:val="Heading1"/>
        <w:spacing w:after="150" w:before="320"/>
      </w:pPr>
      <w:r>
        <w:t xml:space="preserve">Slide 11 — Layers 3 &amp; 4: Depth &amp; Misconceptions (1:30)</w:t>
      </w:r>
    </w:p>
    <w:p>
      <w:pPr>
        <w:spacing w:after="90"/>
      </w:pPr>
      <w:r>
        <w:rPr>
          <w:b/>
          <w:bCs/>
        </w:rPr>
        <w:t xml:space="preserve">Say:</w:t>
      </w:r>
    </w:p>
    <w:p>
      <w:pPr>
        <w:pStyle w:val="ListParagraph"/>
        <w:numPr>
          <w:ilvl w:val="0"/>
          <w:numId w:val="1"/>
        </w:numPr>
        <w:spacing w:after="90"/>
      </w:pPr>
      <w:r>
        <w:t xml:space="preserve">Layer 3: a hybrid classifier jointly assigns Bloom's level (1–6, Remember→Create) and SOLO level (1–5, structural complexity of the response). Combined into depth = 0.55 · blooms_norm + 0.45 · solo_norm.</w:t>
      </w:r>
    </w:p>
    <w:p>
      <w:pPr>
        <w:pStyle w:val="ListParagraph"/>
        <w:numPr>
          <w:ilvl w:val="0"/>
          <w:numId w:val="1"/>
        </w:numPr>
        <w:spacing w:after="90"/>
      </w:pPr>
      <w:r>
        <w:t xml:space="preserve">Worth one sentence of framing: SOLO has received far less attention than Bloom's in automated CS assessment — applying both jointly is a small but real contribution.</w:t>
      </w:r>
    </w:p>
    <w:p>
      <w:pPr>
        <w:pStyle w:val="ListParagraph"/>
        <w:numPr>
          <w:ilvl w:val="0"/>
          <w:numId w:val="1"/>
        </w:numPr>
        <w:spacing w:after="90"/>
      </w:pPr>
      <w:r>
        <w:t xml:space="preserve">Layer 4: a 16-entry *validated* error taxonomy checked against every response. Example: DS-STACK-01, confuses LIFO with FIFO ordering. Each entry carries a severity level and a remediation hint surfaced to the student — "not just wrong."</w:t>
      </w:r>
    </w:p>
    <w:p>
      <w:pPr>
        <w:spacing w:after="160"/>
      </w:pPr>
      <w:r>
        <w:rPr>
          <w:b/>
          <w:bCs/>
        </w:rPr>
        <w:t xml:space="preserve">Transition:</w:t>
      </w:r>
      <w:r>
        <w:t xml:space="preserve"> "All five signals converge in Layer 5 — and this is the slide I most want the committee's attention on."</w:t>
      </w:r>
    </w:p>
    <w:p>
      <w:pPr>
        <w:pBdr>
          <w:bottom w:val="single" w:color="CADCFC" w:sz="8" w:space="4"/>
        </w:pBdr>
        <w:spacing w:after="220"/>
      </w:pPr>
      <w:r>
        <w:t xml:space="preserve"/>
      </w:r>
    </w:p>
    <w:p>
      <w:pPr>
        <w:pStyle w:val="Heading1"/>
        <w:spacing w:after="150" w:before="320"/>
      </w:pPr>
      <w:r>
        <w:t xml:space="preserve">Slide 12 — Layer 5: Score Synthesis &amp; Verification (2:30 — the pivotal slide)</w:t>
      </w:r>
    </w:p>
    <w:p>
      <w:pPr>
        <w:spacing w:after="90"/>
      </w:pPr>
      <w:r>
        <w:rPr>
          <w:b/>
          <w:bCs/>
        </w:rPr>
        <w:t xml:space="preserve">Say, slowly, and don't rush the formulas:</w:t>
      </w:r>
    </w:p>
    <w:p>
      <w:pPr>
        <w:pStyle w:val="ListParagraph"/>
        <w:numPr>
          <w:ilvl w:val="0"/>
          <w:numId w:val="1"/>
        </w:numPr>
        <w:spacing w:after="90"/>
      </w:pPr>
      <w:r>
        <w:t xml:space="preserve">knowledge = 0.45·cov + 0.35·acc + 0.20·int</w:t>
      </w:r>
    </w:p>
    <w:p>
      <w:pPr>
        <w:pStyle w:val="ListParagraph"/>
        <w:numPr>
          <w:ilvl w:val="0"/>
          <w:numId w:val="1"/>
        </w:numPr>
        <w:spacing w:after="90"/>
      </w:pPr>
      <w:r>
        <w:t xml:space="preserve">s_kg = (0.60·knowledge + 0.40·depth) × (1 − p_misc)</w:t>
      </w:r>
    </w:p>
    <w:p>
      <w:pPr>
        <w:pStyle w:val="ListParagraph"/>
        <w:numPr>
          <w:ilvl w:val="0"/>
          <w:numId w:val="1"/>
        </w:numPr>
        <w:spacing w:after="90"/>
      </w:pPr>
      <w:r>
        <w:t xml:space="preserve">final = (1 − w)·s_kg + w·verified, and </w:t>
      </w:r>
      <w:r>
        <w:rPr>
          <w:b/>
          <w:bCs/>
        </w:rPr>
        <w:t xml:space="preserve">at the deployed configuration, w = 1.0.</w:t>
      </w:r>
    </w:p>
    <w:p>
      <w:pPr>
        <w:pStyle w:val="ListParagraph"/>
        <w:numPr>
          <w:ilvl w:val="0"/>
          <w:numId w:val="1"/>
        </w:numPr>
        <w:spacing w:after="90"/>
      </w:pPr>
      <w:r>
        <w:t xml:space="preserve">Say what that number means in plain language, not just algebra: "At deployment, the Verifier's independent judgment entirely replaces the deterministic KG-formula score. The KG evidence still enters as *context* the Verifier reads — it's not thrown away — but arithmetically, it has zero weight in the final number."</w:t>
      </w:r>
    </w:p>
    <w:p>
      <w:pPr>
        <w:pStyle w:val="ListParagraph"/>
        <w:numPr>
          <w:ilvl w:val="0"/>
          <w:numId w:val="1"/>
        </w:numPr>
        <w:spacing w:after="90"/>
      </w:pPr>
      <w:r>
        <w:t xml:space="preserve">Then ask your own question out loud, exactly as written on the slide: "Is that an accident of tuning?" and answer it with the forward pointer: "Seminar 2 answers this with a real-data ablation and a call-budget-matched control — I'm not going to pre-empt that result today, but I want you to leave this room holding that question."</w:t>
      </w:r>
    </w:p>
    <w:p>
      <w:pPr>
        <w:pStyle w:val="ListParagraph"/>
        <w:numPr>
          <w:ilvl w:val="0"/>
          <w:numId w:val="1"/>
        </w:numPr>
        <w:spacing w:after="90"/>
      </w:pPr>
      <w:r>
        <w:t xml:space="preserve">This is deliberate suspense, not evasiveness — say so if it feels evasive in the room: "I'm choosing not to answer this today because the honest answer needs the evaluation data, which is Seminar 2's material, not System Design's."</w:t>
      </w:r>
    </w:p>
    <w:p>
      <w:pPr>
        <w:spacing w:after="90"/>
      </w:pPr>
      <w:r>
        <w:rPr>
          <w:b/>
          <w:bCs/>
        </w:rPr>
        <w:t xml:space="preserve">Anticipate (this slide will draw questions — expect them, don't be defensive):</w:t>
      </w:r>
    </w:p>
    <w:p>
      <w:pPr>
        <w:pStyle w:val="ListParagraph"/>
        <w:numPr>
          <w:ilvl w:val="0"/>
          <w:numId w:val="1"/>
        </w:numPr>
        <w:spacing w:after="90"/>
      </w:pPr>
      <w:r>
        <w:t xml:space="preserve">"If w=1.0 discards the KG score, why build the KG-comparison layer at all?" → Two honest reasons: (1) the KG evidence is what the Verifier *reads* as context — it's not causally inert, it's just not arithmetically weighted; (2) Layer 2's coverage/accuracy/ integration scores are what produce the structured student-facing feedback on Slide 14 — that value exists independent of whether the *numeric* grade depends on it. If pressed further: "That tension — a component that's useful for explanation but not (yet) for accuracy — is precisely the finding Seminar 2 quantifies (86.9% worse alone). I'm not hiding that it's a real limitation."</w:t>
      </w:r>
    </w:p>
    <w:p>
      <w:pPr>
        <w:pStyle w:val="ListParagraph"/>
        <w:numPr>
          <w:ilvl w:val="0"/>
          <w:numId w:val="1"/>
        </w:numPr>
        <w:spacing w:after="90"/>
      </w:pPr>
      <w:r>
        <w:t xml:space="preserve">"Was w=1.0 tuned, or chosen a priori?" → Be precise and don't guess beyond what you know: if it was selected via a sweep on cached data before the real-data evaluation, say that plainly and point to Seminar 2's ablation as the place that's examined rigorously.</w:t>
      </w:r>
    </w:p>
    <w:p>
      <w:pPr>
        <w:spacing w:after="160"/>
      </w:pPr>
      <w:r>
        <w:rPr>
          <w:b/>
          <w:bCs/>
        </w:rPr>
        <w:t xml:space="preserve">Transition:</w:t>
      </w:r>
      <w:r>
        <w:t xml:space="preserve"> "Layer 2's comparisons are only as good as the expert graph they're compared against — so let me show you that graph."</w:t>
      </w:r>
    </w:p>
    <w:p>
      <w:pPr>
        <w:pBdr>
          <w:bottom w:val="single" w:color="CADCFC" w:sz="8" w:space="4"/>
        </w:pBdr>
        <w:spacing w:after="220"/>
      </w:pPr>
      <w:r>
        <w:t xml:space="preserve"/>
      </w:r>
    </w:p>
    <w:p>
      <w:pPr>
        <w:pStyle w:val="Heading1"/>
        <w:spacing w:after="150" w:before="320"/>
      </w:pPr>
      <w:r>
        <w:t xml:space="preserve">Slide 13 — The Expert Domain Knowledge Graph (1:00)</w:t>
      </w:r>
    </w:p>
    <w:p>
      <w:pPr>
        <w:spacing w:after="90"/>
      </w:pPr>
      <w:r>
        <w:rPr>
          <w:b/>
          <w:bCs/>
        </w:rPr>
        <w:t xml:space="preserve">Say:</w:t>
      </w:r>
    </w:p>
    <w:p>
      <w:pPr>
        <w:pStyle w:val="ListParagraph"/>
        <w:numPr>
          <w:ilvl w:val="0"/>
          <w:numId w:val="1"/>
        </w:numPr>
        <w:spacing w:after="90"/>
      </w:pPr>
      <w:r>
        <w:t xml:space="preserve">101 concepts, 138 typed relationships, 8 semantic types. </w:t>
      </w:r>
      <w:r>
        <w:rPr>
          <w:b/>
          <w:bCs/>
        </w:rPr>
        <w:t xml:space="preserve">Frozen before evaluation began</w:t>
      </w:r>
      <w:r>
        <w:t xml:space="preserve"> — say this again, it's the second time on the deck and that's intentional repetition, not an accident.</w:t>
      </w:r>
    </w:p>
    <w:p>
      <w:pPr>
        <w:pStyle w:val="ListParagraph"/>
        <w:numPr>
          <w:ilvl w:val="0"/>
          <w:numId w:val="1"/>
        </w:numPr>
        <w:spacing w:after="90"/>
      </w:pPr>
      <w:r>
        <w:t xml:space="preserve">Three design rules, one breath each: pedagogical coverage (every concept in a standard intro Data Structures course); canonical identifiers (unique ID plus alias surface forms, which is what makes Layer 1's alias-lookup step possible); typed relationships (semantically labeled directed edges, not generic "related-to" links).</w:t>
      </w:r>
    </w:p>
    <w:p>
      <w:pPr>
        <w:spacing w:after="160"/>
      </w:pPr>
      <w:r>
        <w:rPr>
          <w:b/>
          <w:bCs/>
        </w:rPr>
        <w:t xml:space="preserve">Transition:</w:t>
      </w:r>
      <w:r>
        <w:t xml:space="preserve"> "All of that authoring effort exists to produce one thing: what the student actually sees."</w:t>
      </w:r>
    </w:p>
    <w:p>
      <w:pPr>
        <w:pBdr>
          <w:bottom w:val="single" w:color="CADCFC" w:sz="8" w:space="4"/>
        </w:pBdr>
        <w:spacing w:after="220"/>
      </w:pPr>
      <w:r>
        <w:t xml:space="preserve"/>
      </w:r>
    </w:p>
    <w:p>
      <w:pPr>
        <w:pStyle w:val="Heading1"/>
        <w:spacing w:after="150" w:before="320"/>
      </w:pPr>
      <w:r>
        <w:t xml:space="preserve">Slide 14 — What the Student Actually Sees (1:30)</w:t>
      </w:r>
    </w:p>
    <w:p>
      <w:pPr>
        <w:spacing w:after="160"/>
      </w:pPr>
      <w:r>
        <w:rPr>
          <w:b/>
          <w:bCs/>
        </w:rPr>
        <w:t xml:space="preserve">Say:</w:t>
      </w:r>
      <w:r>
        <w:t xml:space="preserve"> Walk the four feedback types with the example text on the slide, verbatim:</w:t>
      </w:r>
    </w:p>
    <w:p>
      <w:pPr>
        <w:pStyle w:val="ListParagraph"/>
        <w:numPr>
          <w:ilvl w:val="0"/>
          <w:numId w:val="1"/>
        </w:numPr>
        <w:spacing w:after="90"/>
      </w:pPr>
      <w:r>
        <w:t xml:space="preserve">Matched/missing concepts: "You mentioned stack and lifo, but missed push_operation and pop_operation."</w:t>
      </w:r>
    </w:p>
    <w:p>
      <w:pPr>
        <w:pStyle w:val="ListParagraph"/>
        <w:numPr>
          <w:ilvl w:val="0"/>
          <w:numId w:val="1"/>
        </w:numPr>
        <w:spacing w:after="90"/>
      </w:pPr>
      <w:r>
        <w:t xml:space="preserve">Incorrect relationships: "Stack uses FIFO is incorrect."</w:t>
      </w:r>
    </w:p>
    <w:p>
      <w:pPr>
        <w:pStyle w:val="ListParagraph"/>
        <w:numPr>
          <w:ilvl w:val="0"/>
          <w:numId w:val="1"/>
        </w:numPr>
        <w:spacing w:after="90"/>
      </w:pPr>
      <w:r>
        <w:t xml:space="preserve">Bloom's/SOLO level with justification — cognitive depth, not just correctness.</w:t>
      </w:r>
    </w:p>
    <w:p>
      <w:pPr>
        <w:pStyle w:val="ListParagraph"/>
        <w:numPr>
          <w:ilvl w:val="0"/>
          <w:numId w:val="1"/>
        </w:numPr>
        <w:spacing w:after="90"/>
      </w:pPr>
      <w:r>
        <w:t xml:space="preserve">Misconception + remediation: "DS-STACK-01: A stack uses LIFO, not FIFO. Review the push/pop mechanism."</w:t>
      </w:r>
    </w:p>
    <w:p>
      <w:pPr>
        <w:pStyle w:val="ListParagraph"/>
        <w:numPr>
          <w:ilvl w:val="0"/>
          <w:numId w:val="1"/>
        </w:numPr>
        <w:spacing w:after="90"/>
      </w:pPr>
      <w:r>
        <w:t xml:space="preserve">Close with the framing line on the slide: "The KG and misconception taxonomy carry this information cost at *authoring* time, not inference time." This is your answer to any "doesn't this all cost a lot to build?" pushback — the cost is paid once, up front, not per-student, per-answer.</w:t>
      </w:r>
    </w:p>
    <w:p>
      <w:pPr>
        <w:spacing w:after="160"/>
      </w:pPr>
      <w:r>
        <w:rPr>
          <w:b/>
          <w:bCs/>
        </w:rPr>
        <w:t xml:space="preserve">Transition:</w:t>
      </w:r>
      <w:r>
        <w:t xml:space="preserve"> "I want to close System Design with what I'm *not* claiming yet — scope and limitations, stated up front."</w:t>
      </w:r>
    </w:p>
    <w:p>
      <w:pPr>
        <w:pBdr>
          <w:bottom w:val="single" w:color="CADCFC" w:sz="8" w:space="4"/>
        </w:pBdr>
        <w:spacing w:after="220"/>
      </w:pPr>
      <w:r>
        <w:t xml:space="preserve"/>
      </w:r>
    </w:p>
    <w:p>
      <w:pPr>
        <w:pStyle w:val="Heading1"/>
        <w:spacing w:after="150" w:before="320"/>
      </w:pPr>
      <w:r>
        <w:t xml:space="preserve">Slide 15 — Scope &amp; Limitations (1:30)</w:t>
      </w:r>
    </w:p>
    <w:p>
      <w:pPr>
        <w:spacing w:after="160"/>
      </w:pPr>
      <w:r>
        <w:rPr>
          <w:b/>
          <w:bCs/>
        </w:rPr>
        <w:t xml:space="preserve">Say, plainly, no defensiveness — this slide is a strength, not an admission of weakness:</w:t>
      </w:r>
    </w:p>
    <w:p>
      <w:pPr>
        <w:pStyle w:val="ListParagraph"/>
        <w:numPr>
          <w:ilvl w:val="0"/>
          <w:numId w:val="1"/>
        </w:numPr>
        <w:spacing w:after="90"/>
      </w:pPr>
      <w:r>
        <w:t xml:space="preserve">Single model family: every LLM call uses </w:t>
      </w:r>
      <w:r>
        <w:rPr>
          <w:rFonts w:ascii="Courier New" w:cs="Courier New" w:eastAsia="Courier New" w:hAnsi="Courier New"/>
        </w:rPr>
        <w:t xml:space="preserve">gemini-2.5-flash</w:t>
      </w:r>
      <w:r>
        <w:t xml:space="preserve">; no cross-model validation yet.</w:t>
      </w:r>
    </w:p>
    <w:p>
      <w:pPr>
        <w:pStyle w:val="ListParagraph"/>
        <w:numPr>
          <w:ilvl w:val="0"/>
          <w:numId w:val="1"/>
        </w:numPr>
        <w:spacing w:after="90"/>
      </w:pPr>
      <w:r>
        <w:t xml:space="preserve">Single-author KG &amp; taxonomy: 101 concepts, 16 misconceptions, one research group. Machine-IRR pilot: κ=0.54, moderate agreement — and say explicitly, "that's a self-administered lower-bound estimate, not external validation. I want to be precise about what it isn't."</w:t>
      </w:r>
    </w:p>
    <w:p>
      <w:pPr>
        <w:pStyle w:val="ListParagraph"/>
        <w:numPr>
          <w:ilvl w:val="0"/>
          <w:numId w:val="1"/>
        </w:numPr>
        <w:spacing w:after="90"/>
      </w:pPr>
      <w:r>
        <w:t xml:space="preserve">Domain specificity: the expert KG covers Data Structures only; cross-domain evaluation is future work.</w:t>
      </w:r>
    </w:p>
    <w:p>
      <w:pPr>
        <w:pStyle w:val="ListParagraph"/>
        <w:numPr>
          <w:ilvl w:val="0"/>
          <w:numId w:val="1"/>
        </w:numPr>
        <w:spacing w:after="90"/>
      </w:pPr>
      <w:r>
        <w:t xml:space="preserve">Close with: "These are disclosed up front, not discovered by a reader — and Seminar 3 covers a deeper class of limitation found during the project's own internal audit."</w:t>
      </w:r>
    </w:p>
    <w:p>
      <w:pPr>
        <w:spacing w:after="160"/>
      </w:pPr>
      <w:r>
        <w:rPr>
          <w:b/>
          <w:bCs/>
        </w:rPr>
        <w:t xml:space="preserve">Anticipate:</w:t>
      </w:r>
      <w:r>
        <w:t xml:space="preserve"> "Given a single-author KG with only moderate machine-IRR, how much can you trust the coverage/accuracy numbers at all?" → Answer honestly: they're conditional on *this* KG; a different domain expert building an equivalent KG from the same source material would likely produce something overlapping but not identical. That's exactly why cross-KG / third-party construction (e.g., SIGCSE crowdsourcing) is named as future work rather than treated as solved.</w:t>
      </w:r>
    </w:p>
    <w:p>
      <w:pPr>
        <w:spacing w:after="160"/>
      </w:pPr>
      <w:r>
        <w:rPr>
          <w:b/>
          <w:bCs/>
        </w:rPr>
        <w:t xml:space="preserve">Transition:</w:t>
      </w:r>
      <w:r>
        <w:t xml:space="preserve"> "That's the system. Here's exactly what Seminar 2 will put this design to the test on."</w:t>
      </w:r>
    </w:p>
    <w:p>
      <w:pPr>
        <w:pBdr>
          <w:bottom w:val="single" w:color="CADCFC" w:sz="8" w:space="4"/>
        </w:pBdr>
        <w:spacing w:after="220"/>
      </w:pPr>
      <w:r>
        <w:t xml:space="preserve"/>
      </w:r>
    </w:p>
    <w:p>
      <w:pPr>
        <w:pStyle w:val="Heading1"/>
        <w:spacing w:after="150" w:before="320"/>
      </w:pPr>
      <w:r>
        <w:t xml:space="preserve">Slide 16 — Coming in Seminar 2 (0:30)</w:t>
      </w:r>
    </w:p>
    <w:p>
      <w:pPr>
        <w:spacing w:after="160"/>
      </w:pPr>
      <w:r>
        <w:rPr>
          <w:b/>
          <w:bCs/>
        </w:rPr>
        <w:t xml:space="preserve">Say:</w:t>
      </w:r>
      <w:r>
        <w:t xml:space="preserve"> Read the three forward-pointing questions as written — they work as written, don't paraphrase them into something softer:</w:t>
      </w:r>
    </w:p>
    <w:p>
      <w:pPr>
        <w:pStyle w:val="ListParagraph"/>
        <w:numPr>
          <w:ilvl w:val="0"/>
          <w:numId w:val="1"/>
        </w:numPr>
        <w:spacing w:after="90"/>
      </w:pPr>
      <w:r>
        <w:t xml:space="preserve">Does ConceptGrade really beat a zero-shot LLM baseline?</w:t>
      </w:r>
    </w:p>
    <w:p>
      <w:pPr>
        <w:pStyle w:val="ListParagraph"/>
        <w:numPr>
          <w:ilvl w:val="0"/>
          <w:numId w:val="1"/>
        </w:numPr>
        <w:spacing w:after="90"/>
      </w:pPr>
      <w:r>
        <w:t xml:space="preserve">Why does the raw KG-grounded score perform 86.9% worse than baseline — alone?</w:t>
      </w:r>
    </w:p>
    <w:p>
      <w:pPr>
        <w:pStyle w:val="ListParagraph"/>
        <w:numPr>
          <w:ilvl w:val="0"/>
          <w:numId w:val="1"/>
        </w:numPr>
        <w:spacing w:after="90"/>
      </w:pPr>
      <w:r>
        <w:t xml:space="preserve">Self-consistency looked like the strongest result in the project — what happened when it was tested fairly?</w:t>
      </w:r>
    </w:p>
    <w:p>
      <w:pPr>
        <w:spacing w:after="160"/>
      </w:pPr>
      <w:r>
        <w:rPr>
          <w:b/>
          <w:bCs/>
        </w:rPr>
        <w:t xml:space="preserve">Close:</w:t>
      </w:r>
      <w:r>
        <w:t xml:space="preserve"> Thank the committee, open the floor for questions.</w:t>
      </w:r>
    </w:p>
    <w:p>
      <w:pPr>
        <w:pBdr>
          <w:bottom w:val="single" w:color="CADCFC" w:sz="8" w:space="4"/>
        </w:pBdr>
        <w:spacing w:after="220"/>
      </w:pPr>
      <w:r>
        <w:t xml:space="preserve"/>
      </w:r>
    </w:p>
    <w:p>
      <w:pPr>
        <w:pStyle w:val="Heading1"/>
        <w:spacing w:after="150" w:before="320"/>
      </w:pPr>
      <w:r>
        <w:t xml:space="preserve">Timing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400"/>
        <w:gridCol w:w="3400"/>
      </w:tblGrid>
      <w:tr>
        <w:tc>
          <w:tcPr>
            <w:tcW w:type="dxa" w:w="5400"/>
            <w:shd w:fill="1E2761" w:val="clear"/>
          </w:tcPr>
          <w:p>
            <w:r>
              <w:rPr>
                <w:b/>
                <w:bCs/>
                <w:color w:val="FFFFFF"/>
              </w:rPr>
              <w:t xml:space="preserve">Slides</w:t>
            </w:r>
          </w:p>
        </w:tc>
        <w:tc>
          <w:tcPr>
            <w:tcW w:type="dxa" w:w="3400"/>
            <w:shd w:fill="1E2761" w:val="clear"/>
          </w:tcPr>
          <w:p>
            <w:r>
              <w:rPr>
                <w:b/>
                <w:bCs/>
                <w:color w:val="FFFFFF"/>
              </w:rPr>
              <w:t xml:space="preserve">Cumulative time</w:t>
            </w:r>
          </w:p>
        </w:tc>
      </w:tr>
      <w:tr>
        <w:tc>
          <w:tcPr>
            <w:tcW w:type="dxa" w:w="5400"/>
            <w:shd w:fill="F4F6FB" w:val="clear"/>
          </w:tcPr>
          <w:p>
            <w:r>
              <w:t xml:space="preserve">1–4 (motivation)</w:t>
            </w:r>
          </w:p>
        </w:tc>
        <w:tc>
          <w:tcPr>
            <w:tcW w:type="dxa" w:w="3400"/>
            <w:shd w:fill="F4F6FB" w:val="clear"/>
          </w:tcPr>
          <w:p>
            <w:r>
              <w:t xml:space="preserve">~7:00</w:t>
            </w:r>
          </w:p>
        </w:tc>
      </w:tr>
      <w:tr>
        <w:tc>
          <w:tcPr>
            <w:tcW w:type="dxa" w:w="5400"/>
            <w:shd w:fill="FFFFFF" w:val="clear"/>
          </w:tcPr>
          <w:p>
            <w:r>
              <w:t xml:space="preserve">5–7 (architecture + live demo)</w:t>
            </w:r>
          </w:p>
        </w:tc>
        <w:tc>
          <w:tcPr>
            <w:tcW w:type="dxa" w:w="3400"/>
            <w:shd w:fill="FFFFFF" w:val="clear"/>
          </w:tcPr>
          <w:p>
            <w:r>
              <w:t xml:space="preserve">~5:30</w:t>
            </w:r>
          </w:p>
        </w:tc>
      </w:tr>
      <w:tr>
        <w:tc>
          <w:tcPr>
            <w:tcW w:type="dxa" w:w="5400"/>
            <w:shd w:fill="F4F6FB" w:val="clear"/>
          </w:tcPr>
          <w:p>
            <w:r>
              <w:t xml:space="preserve">8–12 (layer-by-layer, incl. the w=1.0 slide)</w:t>
            </w:r>
          </w:p>
        </w:tc>
        <w:tc>
          <w:tcPr>
            <w:tcW w:type="dxa" w:w="3400"/>
            <w:shd w:fill="F4F6FB" w:val="clear"/>
          </w:tcPr>
          <w:p>
            <w:r>
              <w:t xml:space="preserve">~9:00</w:t>
            </w:r>
          </w:p>
        </w:tc>
      </w:tr>
      <w:tr>
        <w:tc>
          <w:tcPr>
            <w:tcW w:type="dxa" w:w="5400"/>
            <w:shd w:fill="FFFFFF" w:val="clear"/>
          </w:tcPr>
          <w:p>
            <w:r>
              <w:t xml:space="preserve">13–16 (KG detail, student view, limitations, close)</w:t>
            </w:r>
          </w:p>
        </w:tc>
        <w:tc>
          <w:tcPr>
            <w:tcW w:type="dxa" w:w="3400"/>
            <w:shd w:fill="FFFFFF" w:val="clear"/>
          </w:tcPr>
          <w:p>
            <w:r>
              <w:t xml:space="preserve">~4:30</w:t>
            </w:r>
          </w:p>
        </w:tc>
      </w:tr>
      <w:tr>
        <w:tc>
          <w:tcPr>
            <w:tcW w:type="dxa" w:w="5400"/>
            <w:shd w:fill="F4F6FB" w:val="clear"/>
          </w:tcPr>
          <w:p>
            <w:r>
              <w:rPr>
                <w:b/>
                <w:bCs/>
              </w:rPr>
              <w:t xml:space="preserve">Total prepared talk</w:t>
            </w:r>
          </w:p>
        </w:tc>
        <w:tc>
          <w:tcPr>
            <w:tcW w:type="dxa" w:w="3400"/>
            <w:shd w:fill="F4F6FB" w:val="clear"/>
          </w:tcPr>
          <w:p>
            <w:r>
              <w:rPr>
                <w:b/>
                <w:bCs/>
              </w:rPr>
              <w:t xml:space="preserve">~26:00</w:t>
            </w:r>
          </w:p>
        </w:tc>
      </w:tr>
    </w:tbl>
    <w:p>
      <w:pPr>
        <w:spacing w:after="200"/>
      </w:pPr>
    </w:p>
    <w:p>
      <w:pPr>
        <w:spacing w:after="160"/>
      </w:pPr>
      <w:r>
        <w:t xml:space="preserve">That leaves 4–14 minutes of your 30–40 minute slot for Q&amp;A depending on how the room runs — tight but workable. If you're running long in rehearsal, the safest cuts are trimming Slide 3's four-method walk to two sentences per method, and shortening Slide 13 (the KG stats are already reinforced from Slide 4 and Slide 5).</w:t>
      </w:r>
    </w:p>
    <w:p>
      <w:pPr>
        <w:pBdr>
          <w:bottom w:val="single" w:color="CADCFC" w:sz="8" w:space="4"/>
        </w:pBdr>
        <w:spacing w:after="220"/>
      </w:pPr>
      <w:r>
        <w:t xml:space="preserve"/>
      </w:r>
    </w:p>
    <w:p>
      <w:pPr>
        <w:pStyle w:val="Heading1"/>
        <w:spacing w:after="150" w:before="320"/>
      </w:pPr>
      <w:r>
        <w:t xml:space="preserve">Hardest questions the committee is likely to ask (defense prep)</w:t>
      </w:r>
    </w:p>
    <w:p>
      <w:pPr>
        <w:spacing w:after="160"/>
      </w:pPr>
      <w:r>
        <w:t xml:space="preserve">These are ranked roughly by how likely and how sharp they are, based on where this deck itself creates the opening.</w:t>
      </w:r>
    </w:p>
    <w:p>
      <w:pPr>
        <w:pStyle w:val="Heading2"/>
        <w:spacing w:after="110" w:before="260"/>
      </w:pPr>
      <w:r>
        <w:t xml:space="preserve">1. "If the KG score alone is worse than baseline, isn't this really just an LLM grading system with extra steps?" This is the sharpest question in the deck and it will probably come. Don't get defensive. Two-part answer:</w:t>
      </w:r>
    </w:p>
    <w:p>
      <w:pPr>
        <w:pStyle w:val="ListParagraph"/>
        <w:numPr>
          <w:ilvl w:val="0"/>
          <w:numId w:val="1"/>
        </w:numPr>
        <w:spacing w:after="90"/>
      </w:pPr>
      <w:r>
        <w:t xml:space="preserve">Not entirely — Layer 2's coverage/accuracy/integration scores are what generate the structured, per-concept feedback shown on Slide 14 (matched/missing concepts, incorrect relationships). That value is independent of whether the *numeric* grade the Verifier produces depends on it arithmetically.</w:t>
      </w:r>
    </w:p>
    <w:p>
      <w:pPr>
        <w:pStyle w:val="ListParagraph"/>
        <w:numPr>
          <w:ilvl w:val="0"/>
          <w:numId w:val="1"/>
        </w:numPr>
        <w:spacing w:after="90"/>
      </w:pPr>
      <w:r>
        <w:t xml:space="preserve">But it's a fair challenge to the paper's framing, and I'm not going to pretend otherwise — the honest reframe (which Seminar 2 makes explicit) is that the system's contribution right now is closer to *structured, KG-grounded explanation* than to *KG-driven accuracy*. Whether the KG-comparison score itself can be made more predictive is open future work.</w:t>
      </w:r>
    </w:p>
    <w:p>
      <w:pPr>
        <w:pStyle w:val="Heading2"/>
        <w:spacing w:after="110" w:before="260"/>
      </w:pPr>
      <w:r>
        <w:t xml:space="preserve">2. "Your baseline and your system use the same model but ConceptGrade got tuning the baseline didn't. Isn't that comparison unfair?"</w:t>
      </w:r>
    </w:p>
    <w:p>
      <w:pPr>
        <w:pStyle w:val="ListParagraph"/>
        <w:numPr>
          <w:ilvl w:val="0"/>
          <w:numId w:val="1"/>
        </w:numPr>
        <w:spacing w:after="90"/>
      </w:pPr>
      <w:r>
        <w:t xml:space="preserve">Yes, and it's disclosed rather than hidden (Slide 15's spirit, made concrete in Seminar 2's limitations section). Using the identical model for both sides rules out model-capability as a confound, but doesn't by itself rule out a tuning-budget asymmetry. Seminar 2 covers a call-budget-matched control specifically built to test this.</w:t>
      </w:r>
    </w:p>
    <w:p>
      <w:pPr>
        <w:pStyle w:val="Heading2"/>
        <w:spacing w:after="110" w:before="260"/>
      </w:pPr>
      <w:r>
        <w:t xml:space="preserve">3. "A 2.3-second-per-answer TRM cost, plus multiple LLM calls per response (3× self-consistency, depth, misconceptions, verifier) — what does this cost at scale for a real class?"</w:t>
      </w:r>
    </w:p>
    <w:p>
      <w:pPr>
        <w:pStyle w:val="ListParagraph"/>
        <w:numPr>
          <w:ilvl w:val="0"/>
          <w:numId w:val="1"/>
        </w:numPr>
        <w:spacing w:after="90"/>
      </w:pPr>
      <w:r>
        <w:t xml:space="preserve">Be ready with the call count: the reported configuration issues roughly 7 LLM calls per graded response (3 for self-consistency extraction, 1 depth, 2 misconception, 1 verifier), versus 1 for the baseline. That's a real, disclosed cost/latency tradeoff, not something to minimize if asked directly — Seminar 2 tests whether that extra compute budget alone (independent of the KG) explains part of the accuracy gain.</w:t>
      </w:r>
    </w:p>
    <w:p>
      <w:pPr>
        <w:pStyle w:val="Heading2"/>
        <w:spacing w:after="110" w:before="260"/>
      </w:pPr>
      <w:r>
        <w:t xml:space="preserve">4. "How do you know your misconception taxonomy and KG are actually correct, given one research group built both?"</w:t>
      </w:r>
    </w:p>
    <w:p>
      <w:pPr>
        <w:pStyle w:val="ListParagraph"/>
        <w:numPr>
          <w:ilvl w:val="0"/>
          <w:numId w:val="1"/>
        </w:numPr>
        <w:spacing w:after="90"/>
      </w:pPr>
      <w:r>
        <w:t xml:space="preserve">κ=0.54 machine-IRR is a self-administered lower bound, explicitly not external validation — say this exactly, don't round it up to sounding stronger than it is. Third-party KG construction (e.g., crowdsourced via SIGCSE) is named future work.</w:t>
      </w:r>
    </w:p>
    <w:p>
      <w:pPr>
        <w:pStyle w:val="Heading2"/>
        <w:spacing w:after="110" w:before="260"/>
      </w:pPr>
      <w:r>
        <w:t xml:space="preserve">5. "Why gemini-2.5-flash specifically, and not a stronger frontier model?"</w:t>
      </w:r>
    </w:p>
    <w:p>
      <w:pPr>
        <w:pStyle w:val="ListParagraph"/>
        <w:numPr>
          <w:ilvl w:val="0"/>
          <w:numId w:val="1"/>
        </w:numPr>
        <w:spacing w:after="90"/>
      </w:pPr>
      <w:r>
        <w:t xml:space="preserve">Keeping the baseline and ConceptGrade on the identical model isolates model capability as a confound. Using a stronger frontier model for ConceptGrade only would make any gain ambiguous — is it the architecture, or just a better model? That comparison is deliberately deferred to future work, not an oversight.</w:t>
      </w:r>
    </w:p>
    <w:p>
      <w:pPr>
        <w:pStyle w:val="Heading2"/>
        <w:spacing w:after="110" w:before="260"/>
      </w:pPr>
      <w:r>
        <w:t xml:space="preserve">6. "Are you claiming this generalizes beyond Data Structures?"</w:t>
      </w:r>
    </w:p>
    <w:p>
      <w:pPr>
        <w:pStyle w:val="ListParagraph"/>
        <w:numPr>
          <w:ilvl w:val="0"/>
          <w:numId w:val="1"/>
        </w:numPr>
        <w:spacing w:after="90"/>
      </w:pPr>
      <w:r>
        <w:t xml:space="preserve">No — explicitly not yet. The KG only covers Data Structures; a second Programming/OOP KG (62 concepts, 116 relationships) exists but hasn't been evaluated. Cross-domain evaluation is named future work on Slide 15.</w:t>
      </w:r>
    </w:p>
    <w:p>
      <w:pPr>
        <w:pStyle w:val="Heading2"/>
        <w:spacing w:after="110" w:before="260"/>
      </w:pPr>
      <w:r>
        <w:t xml:space="preserve">7. "What happens if a student's phrasing doesn't match any KG concept at all — does the system just fail silently?"</w:t>
      </w:r>
    </w:p>
    <w:p>
      <w:pPr>
        <w:pStyle w:val="ListParagraph"/>
        <w:numPr>
          <w:ilvl w:val="0"/>
          <w:numId w:val="1"/>
        </w:numPr>
        <w:spacing w:after="90"/>
      </w:pPr>
      <w:r>
        <w:t xml:space="preserve">No — this is exactly the out-of-domain / zero-grounding case surfaced explicitly (the "queue?" punctuation bug on Slide 8 is one concrete instance you already found and fixed). The system is designed to *flag* zero-grounding rather than produce a confident-looking wrong score — say this if it comes up, since it reinforces the disclosure-over-hiding theme running through the whole talk.</w:t>
      </w:r>
    </w:p>
    <w:p>
      <w:pPr>
        <w:pBdr>
          <w:bottom w:val="single" w:color="CADCFC" w:sz="8" w:space="4"/>
        </w:pBdr>
        <w:spacing w:after="220"/>
      </w:pPr>
      <w:r>
        <w:t xml:space="preserve"/>
      </w:r>
    </w:p>
    <w:p>
      <w:pPr>
        <w:pStyle w:val="Heading1"/>
        <w:spacing w:after="150" w:before="320"/>
      </w:pPr>
      <w:r>
        <w:t xml:space="preserve">One-line answers to keep in your back pocket</w:t>
      </w:r>
    </w:p>
    <w:p>
      <w:pPr>
        <w:spacing w:after="160"/>
      </w:pPr>
      <w:r>
        <w:t xml:space="preserve">Use these if a question runs long and you need to land it fast, then offer to go deeper if the committee wants:</w:t>
      </w:r>
    </w:p>
    <w:p>
      <w:pPr>
        <w:pStyle w:val="ListParagraph"/>
        <w:numPr>
          <w:ilvl w:val="0"/>
          <w:numId w:val="1"/>
        </w:numPr>
        <w:spacing w:after="90"/>
      </w:pPr>
      <w:r>
        <w:rPr>
          <w:b/>
          <w:bCs/>
        </w:rPr>
        <w:t xml:space="preserve">"What's the headline result?"</w:t>
      </w:r>
      <w:r>
        <w:t xml:space="preserve"> → A small, real, response-level-significant gain over an identical-model baseline — but the gain comes mostly from the Verifier, not the KG-grounding the system is named for. Seminar 2 has the numbers.</w:t>
      </w:r>
    </w:p>
    <w:p>
      <w:pPr>
        <w:pStyle w:val="ListParagraph"/>
        <w:numPr>
          <w:ilvl w:val="0"/>
          <w:numId w:val="1"/>
        </w:numPr>
        <w:spacing w:after="90"/>
      </w:pPr>
      <w:r>
        <w:rPr>
          <w:b/>
          <w:bCs/>
        </w:rPr>
        <w:t xml:space="preserve">"Is this ready to deploy in a real classroom?"</w:t>
      </w:r>
      <w:r>
        <w:t xml:space="preserve"> → Not yet — single model family, single-domain KG, single-author taxonomy are all disclosed, active limitations, not solved problems.</w:t>
      </w:r>
    </w:p>
    <w:p>
      <w:pPr>
        <w:pStyle w:val="ListParagraph"/>
        <w:numPr>
          <w:ilvl w:val="0"/>
          <w:numId w:val="1"/>
        </w:numPr>
        <w:spacing w:after="90"/>
      </w:pPr>
      <w:r>
        <w:rPr>
          <w:b/>
          <w:bCs/>
        </w:rPr>
        <w:t xml:space="preserve">"What's the single most interesting finding in this whole project?"</w:t>
      </w:r>
      <w:r>
        <w:t xml:space="preserve"> → The KG-formula score alone is 86.9% worse than just asking the LLM directly — that's a genuine, disclosed architectural finding about where the accuracy in a KG-LLM hybrid system actually comes from.</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3" w:hanging="259"/>
      </w:pPr>
    </w:lvl>
    <w:lvl w:ilvl="1" w15:tentative="1">
      <w:start w:val="1"/>
      <w:numFmt w:val="decimal"/>
      <w:lvlText w:val="%2."/>
      <w:lvlJc w:val="start"/>
      <w:pPr>
        <w:ind w:left="835"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1E2761"/>
      <w:sz w:val="40"/>
      <w:szCs w:val="40"/>
    </w:rPr>
  </w:style>
  <w:style w:type="paragraph" w:styleId="Heading1">
    <w:name w:val="Heading 1"/>
    <w:basedOn w:val="Normal"/>
    <w:next w:val="Normal"/>
    <w:pPr>
      <w:keepNext/>
      <w:spacing w:after="150" w:before="320"/>
    </w:pPr>
    <w:rPr>
      <w:rFonts w:ascii="Cambria" w:cs="Cambria" w:eastAsia="Cambria" w:hAnsi="Cambria"/>
      <w:b/>
      <w:bCs/>
      <w:color w:val="1E2761"/>
      <w:sz w:val="28"/>
      <w:szCs w:val="28"/>
    </w:rPr>
  </w:style>
  <w:style w:type="paragraph" w:styleId="Heading2">
    <w:name w:val="Heading 2"/>
    <w:basedOn w:val="Normal"/>
    <w:next w:val="Normal"/>
    <w:pPr>
      <w:keepNext/>
      <w:spacing w:after="110" w:before="260"/>
    </w:pPr>
    <w:rPr>
      <w:rFonts w:ascii="Cambria" w:cs="Cambria" w:eastAsia="Cambria" w:hAnsi="Cambria"/>
      <w:b/>
      <w:bCs/>
      <w:color w:val="5080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2026-08-09T14:36:37.698Z</dcterms:created>
  <dcterms:modified xsi:type="dcterms:W3CDTF">2026-08-09T14:36:37.702Z</dcterms:modified>
</cp:coreProperties>
</file>

<file path=docProps/custom.xml><?xml version="1.0" encoding="utf-8"?>
<Properties xmlns="http://schemas.openxmlformats.org/officeDocument/2006/custom-properties" xmlns:vt="http://schemas.openxmlformats.org/officeDocument/2006/docPropsVTypes"/>
</file>