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Over which frequencies do the two ears still combine? NONE is genuinely monaural listening.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based languages understood by the user. Table 4 gives the parent as Language; MY CHOICE adds touch, since a tactile language depends on touch.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t xml:space="preserve">range in Hz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The range of talker fundamental frequency the user understands well. FULL means any voice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t xml:space="preserve">ASL, LSQ, BSL, Auslan, ISL, SSE (one or more)</w:t>
            </w:r>
          </w:p>
        </w:tc>
        <w:tc>
          <w:tcPr/>
          <w:p>
            <w:pPr>
              <w:pStyle w:val="Compact"/>
            </w:pPr>
            <w:r>
              <w:t xml:space="preserve">language, sight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Signed languages the user knows.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read (and see) sign?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</w:tbl>
    <w:bookmarkEnd w:id="28"/>
    <w:bookmarkStart w:id="29" w:name="template-touchsense"/>
    <w:p>
      <w:pPr>
        <w:pStyle w:val="Heading3"/>
      </w:pPr>
      <w:r>
        <w:t xml:space="preserve">Template: touchSense</w:t>
      </w:r>
    </w:p>
    <w:p>
      <w:pPr>
        <w:pStyle w:val="FirstParagraph"/>
      </w:pPr>
      <w:r>
        <w:t xml:space="preserve">MY CHOICE. The haptic design space, both halves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Tactile perception: can the user feel contact on the skin? Deliberately narrower than the haptic design space as a whole — see kinaesthesia…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Effective detection of device vibration.</w:t>
            </w:r>
          </w:p>
        </w:tc>
      </w:tr>
    </w:tbl>
    <w:bookmarkEnd w:id="29"/>
    <w:bookmarkStart w:id="30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1" w:name="the-profiles"/>
    <w:p>
      <w:pPr>
        <w:pStyle w:val="Heading2"/>
      </w:pPr>
      <w:r>
        <w:t xml:space="preserve">The profiles</w:t>
      </w:r>
    </w:p>
    <w:bookmarkStart w:id="3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Full capability across every ontology. Exists to be differenced against, and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default</w:t>
      </w:r>
      <w:r>
        <w:rPr>
          <w:i/>
          <w:iCs/>
        </w:rPr>
        <w:t xml:space="preserve"> </w:t>
      </w:r>
      <w:r>
        <w:rPr>
          <w:i/>
          <w:iCs/>
        </w:rPr>
        <w:t xml:space="preserve">on purpose: a default is what you get if you do not choose.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34 of 41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(34),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22 more.</w:t>
      </w:r>
    </w:p>
    <w:bookmarkStart w:id="32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End w:id="33"/>
    <w:bookmarkStart w:id="35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Reads Braille, listens closely, and follows more concurrent audio than most. Full hearing, touch, language and motor control. No usable sight from birth.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41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(14),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(18),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6 more.</w:t>
      </w:r>
    </w:p>
    <w:bookmarkStart w:id="34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End w:id="35"/>
    <w:bookmarkStart w:id="37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Sees colour fully and reads at 18pt. Distinguishes tones that differ strongly; focuses and tracks for short periods.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21 of 41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(21),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9 more.</w:t>
      </w:r>
    </w:p>
    <w:bookmarkStart w:id="36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39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29 of 41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(29),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17 more.</w:t>
      </w:r>
    </w:p>
    <w:bookmarkStart w:id="38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End w:id="39"/>
    <w:bookmarkStart w:id="41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Full discrete key control, and writes by selection — keyboard, scanning or eye tracking. Does not use a continuous pointing device.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41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(32),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20 more.</w:t>
      </w:r>
    </w:p>
    <w:bookmarkStart w:id="40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End w:id="41"/>
    <w:bookmarkStart w:id="44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Full sight, hearing and language. Holds a hand steady to about a third of typical, which sets his target size, key delay, and — whenever the display is hand-held rather than mounted — the size of type he can read.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30 of 41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(30),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18 more.</w:t>
      </w:r>
    </w:p>
    <w:bookmarkStart w:id="42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2"/>
    <w:bookmarkStart w:id="43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3"/>
    <w:bookmarkEnd w:id="44"/>
    <w:bookmarkStart w:id="46" w:name="deaf"/>
    <w:p>
      <w:pPr>
        <w:pStyle w:val="Heading3"/>
      </w:pPr>
      <w:r>
        <w:t xml:space="preserve">deaf</w:t>
      </w:r>
    </w:p>
    <w:p>
      <w:pPr>
        <w:pStyle w:val="FirstParagraph"/>
      </w:pPr>
      <w:r>
        <w:rPr>
          <w:i/>
          <w:iCs/>
        </w:rPr>
        <w:t xml:space="preserve">Signs fluently in ASL, reads print and sign, and has full sight, touch and motor control. No usable hearing — the hardest case for an audio-first demonstrator, which is why it is here.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language, 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31 of 41 properties.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(8), because a precedence parent is NONE: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11 more.</w:t>
      </w:r>
    </w:p>
    <w:bookmarkStart w:id="45" w:name="setting-groups-contexts-6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End w:id="46"/>
    <w:bookmarkStart w:id="48" w:name="deafened-asymmetric"/>
    <w:p>
      <w:pPr>
        <w:pStyle w:val="Heading3"/>
      </w:pPr>
      <w:r>
        <w:t xml:space="preserve">deafened-asymmetric</w:t>
      </w:r>
    </w:p>
    <w:p>
      <w:pPr>
        <w:pStyle w:val="FirstParagraph"/>
      </w:pPr>
      <w:r>
        <w:rPr>
          <w:i/>
          <w:iCs/>
        </w:rPr>
        <w:t xml:space="preserve">Hears across the full range with one ear and the upper register with both. Follows two concurrent streams, places sound coarsely left and right, and understands speech best from higher-pitched voices. Speaks and expects speech; does not sign.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165–300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220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25 of 41 properties.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7" w:name="setting-groups-contexts-7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7"/>
    <w:bookmarkEnd w:id="48"/>
    <w:bookmarkStart w:id="50" w:name="multiple-sclerosis"/>
    <w:p>
      <w:pPr>
        <w:pStyle w:val="Heading3"/>
      </w:pPr>
      <w:r>
        <w:t xml:space="preserve">multiple-sclerosis</w:t>
      </w:r>
    </w:p>
    <w:p>
      <w:pPr>
        <w:pStyle w:val="FirstParagraph"/>
      </w:pPr>
      <w:r>
        <w:rPr>
          <w:i/>
          <w:iCs/>
        </w:rPr>
        <w:t xml:space="preserve">Hears fully, reads at 20pt in short spells, and works with large targets and long key delays. Sees with one eye at a time; locates a hand to within a quarter of its usual accuracy. A spiky profile across four ontologies: the paper's own example of what stereotype templates handle worst.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20,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22 of 41 properties.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(2), because a precedence parent is NONE: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(20), because no precedence parent is PARTIAL: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8 more.</w:t>
      </w:r>
    </w:p>
    <w:bookmarkStart w:id="49" w:name="setting-groups-contexts-8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2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  <w:tc>
          <w:tcPr/>
          <w:p>
            <w:pPr>
              <w:pStyle w:val="Compact"/>
            </w:pPr>
            <w:r>
              <w:t xml:space="preserve">deaf</w:t>
            </w:r>
          </w:p>
        </w:tc>
        <w:tc>
          <w:tcPr/>
          <w:p>
            <w:pPr>
              <w:pStyle w:val="Compact"/>
            </w:pPr>
            <w:r>
              <w:t xml:space="preserve">deafenedAsymmetric</w:t>
            </w:r>
          </w:p>
        </w:tc>
        <w:tc>
          <w:tcPr/>
          <w:p>
            <w:pPr>
              <w:pStyle w:val="Compact"/>
            </w:pPr>
            <w:r>
              <w:t xml:space="preserve">multipleSclerosis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800–8000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165–300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min</w:t>
            </w:r>
          </w:p>
        </w:tc>
        <w:tc>
          <w:tcPr/>
          <w:p>
            <w:pPr>
              <w:pStyle w:val="Compact"/>
            </w:pPr>
            <w:r>
              <w:t xml:space="preserve">PARTIAL 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220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20, font system-sans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20–8000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53"/>
    <w:bookmarkEnd w:id="54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2026-07-28T13:10:23Z</dcterms:created>
  <dcterms:modified xsi:type="dcterms:W3CDTF">2026-07-28T13:10:23Z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