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accessible-tetris-a-case-study"/>
    <w:p>
      <w:pPr>
        <w:pStyle w:val="Heading1"/>
      </w:pPr>
      <w:r>
        <w:t xml:space="preserve">Accessible Tetris: A Case Study</w:t>
      </w:r>
    </w:p>
    <w:bookmarkStart w:id="23" w:name="introduction-why-tetris"/>
    <w:p>
      <w:pPr>
        <w:pStyle w:val="Heading2"/>
      </w:pPr>
      <w:r>
        <w:t xml:space="preserve">1. 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new implementation — one that runs inside an ordinary web page, using spatial audio that browsers can now deliver natively.</w:t>
      </w:r>
    </w:p>
    <w:p>
      <w:pPr>
        <w:pStyle w:val="BodyText"/>
      </w:pPr>
      <w:r>
        <w:t xml:space="preserve">I chose Tetris deliberately, to be difficult.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 and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exactly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 visual, sonic, and haptic. Since the target hardware was an unmodified laptop, haptic adaptation was constrained to user input and its feedback rather than general content presentation, which concentrated the research question wonderfully: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 particularly where time-critical, contemporaneous information streams meet the comparatively low bandwidth of the sonic design space. That expectation shaped the architecture, as later sections show.</w:t>
      </w:r>
    </w:p>
    <w:p>
      <w:pPr>
        <w:pStyle w:val="BodyText"/>
      </w:pPr>
      <w:r>
        <w:t xml:space="preserve">This revision of the case study also does something the original could not: it holds the work up against the wider record — the cognitive science of Tetris, the accessible-games literature, and what players and studios have built since. Section 11 gives that reckoning honestly: where the record supports these concepts, where it challenges them, and what I simply had not considered.</w:t>
      </w:r>
    </w:p>
    <w:p>
      <w:pPr>
        <w:pStyle w:val="CaptionedFigure"/>
      </w:pPr>
      <w:r>
        <w:drawing>
          <wp:inline>
            <wp:extent cx="5334000" cy="3483428"/>
            <wp:effectExtent b="0" l="0" r="0" t="0"/>
            <wp:docPr descr="The anatomy of Tetris: playing area, falling tile, ghost position, silhouette, next and held piece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2. 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 the tetrominoes — each constructed within a 4 × 4 frame and occupying exactly four squares of it.</w:t>
      </w:r>
    </w:p>
    <w:p>
      <w:pPr>
        <w:pStyle w:val="CaptionedFigure"/>
      </w:pPr>
      <w:r>
        <w:drawing>
          <wp:inline>
            <wp:extent cx="5334000" cy="1306285"/>
            <wp:effectExtent b="0" l="0" r="0" t="0"/>
            <wp:docPr descr="The seven tetrominoe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 a translucent projection showing where the current piece would land if hard-dropped, supporting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 everything in one design space, almost nothing in the others — is precisely what made it the right case study.</w:t>
      </w:r>
    </w:p>
    <w:p>
      <w:pPr>
        <w:pStyle w:val="BodyText"/>
      </w:pPr>
      <w:r>
        <w:t xml:space="preserve">One thing has changed since I first wrote this description: the stacker community has codified the modern game far more precisely than the leaked-guideline documents of the 2000s. SRS kick tables, the 7-bag randomizer, DAS/ARR movement-tuning conventions, and T-spin scoring are now community-documented standards, with open implementations (NullpoMino most completely) serving as de-facto behavioural references. A new implementation that wants credibility with stacker players as well as accessibility players inherits that fidelity checklist — behavioural correctness is now checkable, not a vibe.</w:t>
      </w:r>
    </w:p>
    <w:bookmarkEnd w:id="27"/>
    <w:bookmarkStart w:id="30" w:name="what-tetris-asks-of-the-player"/>
    <w:p>
      <w:pPr>
        <w:pStyle w:val="Heading2"/>
      </w:pPr>
      <w:r>
        <w:t xml:space="preserve">3. 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be architecturally load-bearing: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It is worth noting the scale of the eventual accommodation: in the working PhD implementation, the per-row fall delay ran at 300 ms in the visual configuration and 4,000 ms in the sonic one — the same game, thirteen times slower, and still recognizably Tetris.</w:t>
      </w:r>
    </w:p>
    <w:bookmarkEnd w:id="29"/>
    <w:bookmarkEnd w:id="30"/>
    <w:bookmarkStart w:id="31" w:name="X3b18b6b3b3e5e52ad4101885a44f150428c618a"/>
    <w:p>
      <w:pPr>
        <w:pStyle w:val="Heading2"/>
      </w:pPr>
      <w:r>
        <w:t xml:space="preserve">4. Why existing assistive technology fails here</w:t>
      </w:r>
    </w:p>
    <w:p>
      <w:pPr>
        <w:pStyle w:val="FirstParagraph"/>
      </w:pPr>
      <w:r>
        <w:t xml:space="preserve">Metaphor — with its relatives metonym and synecdoche —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 screen readers, zooming tools —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 but not a model of the interface, and not the mapping between content and presentation. That mapping is left for the AT vendor to hard-code, version by version.</w:t>
      </w:r>
    </w:p>
    <w:p>
      <w:pPr>
        <w:pStyle w:val="BodyText"/>
      </w:pPr>
      <w:r>
        <w:t xml:space="preserve">Now hold Tetris up against that machinery. Nearly everything that matters in the game is exactly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 and the thesis of the wider research —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 in whatever design space suits the user — treated as a service that consumes that model. Accessibility becomes an architecture, not a layer.</w:t>
      </w:r>
    </w:p>
    <w:bookmarkEnd w:id="31"/>
    <w:bookmarkStart w:id="32" w:name="Xd277fc56e2c5a5efeef74cd3d32a68804f71a50"/>
    <w:p>
      <w:pPr>
        <w:pStyle w:val="Heading2"/>
      </w:pPr>
      <w:r>
        <w:t xml:space="preserve">5. 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 headings, paragraphs, tables, divisions —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 the first-person shooter. In an observational game the user is an omnipotent observer of the whole playing area —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 and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w:t>
      </w:r>
      <w:r>
        <w:t xml:space="preserve">— coordinated groups of interaction modalities, analogous to design patterns or web templates — and the taxonomy above is the vocabulary in which Tetris’s characteristics get stated.</w:t>
      </w:r>
    </w:p>
    <w:bookmarkEnd w:id="32"/>
    <w:bookmarkStart w:id="36" w:name="inventing-the-sonic-design-space"/>
    <w:p>
      <w:pPr>
        <w:pStyle w:val="Heading2"/>
      </w:pPr>
      <w:r>
        <w:t xml:space="preserve">6. 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honest field notes on how each survived contact with reality. The implementation ran on an ordinary laptop, in Java, with JOAL (OpenAL bindings) providing positional audio — an engine whose limitations themselves shaped the design in instructive ways.</w:t>
      </w:r>
    </w:p>
    <w:p>
      <w:pPr>
        <w:pStyle w:val="BodyText"/>
      </w:pPr>
      <w:r>
        <w:t xml:space="preserve">A word on the epistemic status of these field notes, because it matters: they are designer introspection, checked against at most one or two informal testers. When I say a metaphor</w:t>
      </w:r>
      <w:r>
        <w:t xml:space="preserve"> </w:t>
      </w:r>
      <w:r>
        <w:t xml:space="preserve">“works surprisingly well”</w:t>
      </w:r>
      <w:r>
        <w:t xml:space="preserve">, the honest expansion is</w:t>
      </w:r>
      <w:r>
        <w:t xml:space="preserve"> </w:t>
      </w:r>
      <w:r>
        <w:rPr>
          <w:i/>
          <w:iCs/>
        </w:rPr>
        <w:t xml:space="preserve">worked surprisingly well for me, its designer, who knew what it was trying to say</w:t>
      </w:r>
      <w:r>
        <w:t xml:space="preserve">. Nothing in this section has been evaluated in the sense the auditory-display literature means by the word — quantitative task measures across users, in the tradition of Brewster’s and Walker’s work — and the thesis’s planned formal evaluation was never run. The notes are hypotheses with one data point each; Section 11 returns to what that means for the new build.</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 and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 the sound jumped perceptibly —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 orientation, not true direction, is what matters, so the rotation was harmless. In the end even this failed to earn its keep: the diagonal passes sounded odd and imprecise, and I fell back to speaking the orientation —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Braided audio: interleaving serializes competing streams, and the interleave ratio expresses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 a soundscape barely a dozen samples deep, doing the work of a screenful of pixels.</w:t>
      </w:r>
    </w:p>
    <w:bookmarkEnd w:id="36"/>
    <w:bookmarkStart w:id="37" w:name="X2b9066a74457aaf13b72726dd9da9da4750a8f3"/>
    <w:p>
      <w:pPr>
        <w:pStyle w:val="Heading2"/>
      </w:pPr>
      <w:r>
        <w:t xml:space="preserve">7. 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 and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t>
      </w:r>
      <w:r>
        <w:t xml:space="preserv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 an extremely limited set of metaphors. My experience with Tetris suggests a much richer set is waiting to be explored — but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 which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8. 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 the Visual View and the Sonic View —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The Tetris domain chart: an abstract game rendered by independent views, with modality selection driven by user capability."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w:t>
      </w:r>
      <w:r>
        <w:t xml:space="preserve">— neither is the</w:t>
      </w:r>
      <w:r>
        <w:t xml:space="preserve"> </w:t>
      </w:r>
      <w:r>
        <w:t xml:space="preserve">“real”</w:t>
      </w:r>
      <w:r>
        <w:t xml:space="preserve"> </w:t>
      </w:r>
      <w:r>
        <w:t xml:space="preserve">game with the other bolted on. That symmetry is the architecture’s whole point.</w:t>
      </w:r>
    </w:p>
    <w:p>
      <w:pPr>
        <w:pStyle w:val="BodyText"/>
      </w:pPr>
      <w:r>
        <w:t xml:space="preserve">I should be honest about provenance here: I was not alone in reaching this architecture, and I did not know it at the time. In the same era, Grammenos, Savidis and Stephanidis at FORTH were building what they called</w:t>
      </w:r>
      <w:r>
        <w:t xml:space="preserve"> </w:t>
      </w:r>
      <w:r>
        <w:rPr>
          <w:i/>
          <w:iCs/>
        </w:rPr>
        <w:t xml:space="preserve">universally accessible games</w:t>
      </w:r>
      <w:r>
        <w:t xml:space="preserve"> </w:t>
      </w:r>
      <w:r>
        <w:t xml:space="preserve">—</w:t>
      </w:r>
      <w:r>
        <w:t xml:space="preserve"> </w:t>
      </w:r>
      <w:r>
        <w:rPr>
          <w:i/>
          <w:iCs/>
        </w:rPr>
        <w:t xml:space="preserve">Access Invaders</w:t>
      </w:r>
      <w:r>
        <w:t xml:space="preserve">,</w:t>
      </w:r>
      <w:r>
        <w:t xml:space="preserve"> </w:t>
      </w:r>
      <w:r>
        <w:rPr>
          <w:i/>
          <w:iCs/>
        </w:rPr>
        <w:t xml:space="preserve">Game Over!</w:t>
      </w:r>
      <w:r>
        <w:t xml:space="preserve"> </w:t>
      </w:r>
      <w:r>
        <w:t xml:space="preserve">— under a</w:t>
      </w:r>
      <w:r>
        <w:t xml:space="preserve"> </w:t>
      </w:r>
      <w:r>
        <w:t xml:space="preserve">“unified design”</w:t>
      </w:r>
      <w:r>
        <w:t xml:space="preserve"> </w:t>
      </w:r>
      <w:r>
        <w:t xml:space="preserve">methodology: one abstract game, adapting its rendering to player abilities rather than shipping segregated special versions, with their evocative term</w:t>
      </w:r>
      <w:r>
        <w:t xml:space="preserve"> </w:t>
      </w:r>
      <w:r>
        <w:rPr>
          <w:b/>
          <w:bCs/>
        </w:rPr>
        <w:t xml:space="preserve">parallel game universes</w:t>
      </w:r>
      <w:r>
        <w:t xml:space="preserve"> </w:t>
      </w:r>
      <w:r>
        <w:t xml:space="preserve">for concurrently playable, differently-rendered versions of the same game. That is this domain chart wearing different clothes. The convergence is</w:t>
      </w:r>
      <w:r>
        <w:t xml:space="preserve"> </w:t>
      </w:r>
      <w:r>
        <w:rPr>
          <w:i/>
          <w:iCs/>
        </w:rPr>
        <w:t xml:space="preserve">support</w:t>
      </w:r>
      <w:r>
        <w:t xml:space="preserve"> </w:t>
      </w:r>
      <w:r>
        <w:t xml:space="preserve">— two groups independently concluding that accessibility of dynamic content demands an abstract core with adaptive rendering — but it deflates any claim that the architecture itself was unique to my work. What I still believe was distinctive here is further down the stack: the game clock that waits for the interface, the transaction-scoped request/answer discipline borrowed from telephony, and the treatment of the sonic design space at the level of</w:t>
      </w:r>
      <w:r>
        <w:t xml:space="preserve"> </w:t>
      </w:r>
      <w:r>
        <w:rPr>
          <w:i/>
          <w:iCs/>
        </w:rPr>
        <w:t xml:space="preserve">metaphor</w:t>
      </w:r>
      <w:r>
        <w:t xml:space="preserve"> </w:t>
      </w:r>
      <w:r>
        <w:t xml:space="preserve">rather than feature.</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w:t>
      </w:r>
      <w:r>
        <w:t xml:space="preserve">— diagrammatically similar to UML sequence charts, but the concept goes back to the CCITT/ITU message sequence charts used to describe telecommunications protocols.</w:t>
      </w:r>
    </w:p>
    <w:p>
      <w:pPr>
        <w:pStyle w:val="CaptionedFigure"/>
      </w:pPr>
      <w:r>
        <w:drawing>
          <wp:inline>
            <wp:extent cx="5334000" cy="2612571"/>
            <wp:effectExtent b="0" l="0" r="0" t="0"/>
            <wp:docPr descr="The request/answer/rendezvous pattern between the game and its views."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 an extension implying the prefixes are not mere annotation but are honoured by the runtime architecture beneath the model.</w:t>
      </w:r>
    </w:p>
    <w:bookmarkEnd w:id="47"/>
    <w:bookmarkEnd w:id="48"/>
    <w:bookmarkStart w:id="52" w:name="the-state-models"/>
    <w:p>
      <w:pPr>
        <w:pStyle w:val="Heading2"/>
      </w:pPr>
      <w:r>
        <w:t xml:space="preserve">9. 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 tiles are created and keep falling until the game is over, plus the hold extension — is simple and highlighted;</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 and only that answer —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 serialize after the outstanding transaction, or interrupt it with</w:t>
      </w:r>
      <w:r>
        <w:t xml:space="preserve"> </w:t>
      </w:r>
      <w:r>
        <w:rPr>
          <w:b/>
          <w:bCs/>
        </w:rPr>
        <w:t xml:space="preserve">X:</w:t>
      </w:r>
      <w:r>
        <w:t xml:space="preserve"> </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honest answer is</w:t>
      </w:r>
      <w:r>
        <w:t xml:space="preserve"> </w:t>
      </w:r>
      <w:r>
        <w:t xml:space="preserve">“whichever the user’s modalities can deliver”</w:t>
      </w:r>
      <w:r>
        <w:t xml:space="preserve"> </w:t>
      </w:r>
      <w:r>
        <w:t xml:space="preserve">— so the meta-state (e.g.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 the stylization is what keeps the model on a page.</w:t>
      </w:r>
    </w:p>
    <w:p>
      <w:pPr>
        <w:pStyle w:val="CaptionedFigure"/>
      </w:pPr>
      <w:r>
        <w:drawing>
          <wp:inline>
            <wp:extent cx="5334000" cy="5755314"/>
            <wp:effectExtent b="0" l="0" r="0" t="0"/>
            <wp:docPr descr="The final Falling Tile state model, carrying the full stylized notation: transactions, decision states, interruptible updates, and meta-states with concurrent and serialized announcement options."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w:t>
      </w:r>
      <w:r>
        <w:t xml:space="preserve">— but at what level of abstraction may an abstract model speak? Position and movement are common concepts; is</w:t>
      </w:r>
      <w:r>
        <w:t xml:space="preserve"> </w:t>
      </w:r>
      <w:r>
        <w:t xml:space="preserve">“landed”</w:t>
      </w:r>
      <w:r>
        <w:t xml:space="preserve">? The answer lies in the metadata and ontologies applied to abstract model events — without them, no rendering algorithm could choose its metaphors — and that question formed the starting point for the bridge between the Game and Capability domains.</w:t>
      </w:r>
    </w:p>
    <w:bookmarkEnd w:id="52"/>
    <w:bookmarkStart w:id="64" w:name="what-the-browser-now-makes-possible"/>
    <w:p>
      <w:pPr>
        <w:pStyle w:val="Heading2"/>
      </w:pPr>
      <w:r>
        <w:t xml:space="preserve">10. What the browser now makes possible</w:t>
      </w:r>
    </w:p>
    <w:p>
      <w:pPr>
        <w:pStyle w:val="FirstParagraph"/>
      </w:pPr>
      <w:r>
        <w:t xml:space="preserve">The PhD implementation proved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 true binaural positioning on ordinary headphones, inside a web page, with no installation at all. That changes what the sonic view can attempt, and it is the foundation of the new implementation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w:t>
      </w:r>
      <w:r>
        <w:t xml:space="preserve">— fires on change: rotation, landing, line clear, level up.</w:t>
      </w:r>
    </w:p>
    <w:p>
      <w:pPr>
        <w:pStyle w:val="Compact"/>
        <w:numPr>
          <w:ilvl w:val="0"/>
          <w:numId w:val="1006"/>
        </w:numPr>
      </w:pPr>
      <w:r>
        <w:rPr>
          <w:b/>
          <w:bCs/>
        </w:rPr>
        <w:t xml:space="preserve">On-demand</w:t>
      </w:r>
      <w:r>
        <w:t xml:space="preserve"> </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 not a sound effect but a timbre: the I-piece a pure sine, the O a warm pad, the T a plucked string, S and Z a detuned pair expressing their mirrored tension, J and L related-but-mirrored instruments. Horizontal position maps to stereo azimuth (the zero-learning mapping); descent maps to a falling pitch or closing filter — gravity as waterfall, rebuilt from oscillators; rotation steps through a four-interval motif, so each orientation is heard as a chord position. The ghost is the piece’s own timbre processed into an echo — quiet, reverb-heavy, panned to the landing column, with the echo delay shrinking as the piece approaches it, the two sounds converging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 musical harmony as board state. Urgency is a heartbeat whose tempo tracks fall speed, the lock timeout a distinct accelerating tick, and danger shifts the whole soundscape from major to minor pentatonic — anchoring everything to a pentatonic scale keeps the emergent composition pleasant rather than cacophonous. Line completion resolves it: a horizontal sweep, harmonically stacked by line count — unison, octave, chord, and a full triumphant arpeggio for a Tetris —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e Wall, The Well, and Mission Control."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 the side view, and the default, because it is how a novice knows Tetris. The ten columns map onto an arc with the listener at its centre —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 the top-down view. The listener looks down into the well; the piece is near, the silhouette surface below, and a sonar ping’s return time gives the gap depth per column —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 the dashboard: fixed spatial stations for held piece, next piece, level, lines, and score. It is a snapshot, not a stream — visited in the natural pause after a lock, exactly as a sighted player glances at the score panel.</w:t>
      </w:r>
    </w:p>
    <w:p>
      <w:pPr>
        <w:pStyle w:val="BodyText"/>
      </w:pPr>
      <w:r>
        <w:t xml:space="preserve">Switching is by dedicated key, heralded by a short 3-D earcon —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 a primary view at full level with another bled in quietly behind —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uncannily well:</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 in practice about five bands: very high, high, middle, low, very low. Twenty rows collapse to five perceivable zones, so the design works in zones — Sky, Upper, Middle, Lower, Ground, each with its own timbral character —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 the cone of confusion. Nothing critical sits at exactly 0° or 180°;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Twenty rows, five zones: designing to auditory resolution, with height carried by redundant cues."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 core piece, ghost, terrain, queue, scoring, tension, events —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 and it is also exactly the manual-template adaptation of Section 8, with the player as the final authority on their own capability model. The old People/Capabilities/Preferences model becomes the settings store behind the desk.</w:t>
      </w:r>
    </w:p>
    <w:bookmarkEnd w:id="63"/>
    <w:bookmarkEnd w:id="64"/>
    <w:bookmarkStart w:id="68" w:name="Xc5e1c693c5e1351b3728f5e0e2f781b4304dda7"/>
    <w:p>
      <w:pPr>
        <w:pStyle w:val="Heading2"/>
      </w:pPr>
      <w:r>
        <w:t xml:space="preserve">11. The record against my concepts: support, challenge, and blind spots</w:t>
      </w:r>
    </w:p>
    <w:p>
      <w:pPr>
        <w:pStyle w:val="FirstParagraph"/>
      </w:pPr>
      <w:r>
        <w:t xml:space="preserve">In 2026 I surveyed what others have said about Tetris and accessibility, the audio-game lineage, the accessible-game-design literature, and the open-source landscape (the full annotated notes live alongside this document). This section is the honest reckoning: this is research, not marketing, and the record cuts three ways.</w:t>
      </w:r>
    </w:p>
    <w:bookmarkStart w:id="65" w:name="where-the-record-supports-the-work"/>
    <w:p>
      <w:pPr>
        <w:pStyle w:val="Heading3"/>
      </w:pPr>
      <w:r>
        <w:t xml:space="preserve">11.1 Where the record supports the work</w:t>
      </w:r>
    </w:p>
    <w:p>
      <w:pPr>
        <w:pStyle w:val="FirstParagraph"/>
      </w:pPr>
      <w:r>
        <w:rPr>
          <w:b/>
          <w:bCs/>
        </w:rPr>
        <w:t xml:space="preserve">The architecture was right — and independently invented.</w:t>
      </w:r>
      <w:r>
        <w:t xml:space="preserve"> </w:t>
      </w:r>
      <w:r>
        <w:t xml:space="preserve">The FORTH unified-design work (Section 8) is the strongest support precisely</w:t>
      </w:r>
      <w:r>
        <w:t xml:space="preserve"> </w:t>
      </w:r>
      <w:r>
        <w:rPr>
          <w:i/>
          <w:iCs/>
        </w:rPr>
        <w:t xml:space="preserve">because</w:t>
      </w:r>
      <w:r>
        <w:t xml:space="preserve"> </w:t>
      </w:r>
      <w:r>
        <w:t xml:space="preserve">it is parallel invention: two groups, unaware of each other, concluded that accessible dynamic content requires an abstract game adaptively rendered per user. When independent lines of work converge on a structure, the structure is probably load-bearing.</w:t>
      </w:r>
    </w:p>
    <w:p>
      <w:pPr>
        <w:pStyle w:val="BodyText"/>
      </w:pPr>
      <w:r>
        <w:rPr>
          <w:b/>
          <w:bCs/>
        </w:rPr>
        <w:t xml:space="preserve">Epistemic action gives the sonar its theory.</w:t>
      </w:r>
      <w:r>
        <w:t xml:space="preserve"> </w:t>
      </w:r>
      <w:r>
        <w:t xml:space="preserve">Kirsh and Maglio’s classic Tetris studies showed that expert players</w:t>
      </w:r>
      <w:r>
        <w:t xml:space="preserve"> </w:t>
      </w:r>
      <w:r>
        <w:rPr>
          <w:i/>
          <w:iCs/>
        </w:rPr>
        <w:t xml:space="preserve">physically rotate pieces rather than mentally rotating them</w:t>
      </w:r>
      <w:r>
        <w:t xml:space="preserve"> </w:t>
      </w:r>
      <w:r>
        <w:t xml:space="preserve">— external action is cheaper than internal simulation, so experts offload cognition onto the world. My musical sonar re-scanning on every rotation is exactly this loop rebuilt in sound: the re-scan is the payoff of the epistemic action, restored in another design space. In 2009 I had the mechanism but not the name; the cognitive-science literature had the name all along.</w:t>
      </w:r>
    </w:p>
    <w:p>
      <w:pPr>
        <w:pStyle w:val="BodyText"/>
      </w:pPr>
      <w:r>
        <w:rPr>
          <w:b/>
          <w:bCs/>
        </w:rPr>
        <w:t xml:space="preserve">Tetris really is visuospatial to its core.</w:t>
      </w:r>
      <w:r>
        <w:t xml:space="preserve"> </w:t>
      </w:r>
      <w:r>
        <w:t xml:space="preserve">Emily Holmes’s line of work uses Tetris to disrupt traumatic-memory consolidation</w:t>
      </w:r>
      <w:r>
        <w:t xml:space="preserve"> </w:t>
      </w:r>
      <w:r>
        <w:rPr>
          <w:i/>
          <w:iCs/>
        </w:rPr>
        <w:t xml:space="preserve">because</w:t>
      </w:r>
      <w:r>
        <w:t xml:space="preserve"> </w:t>
      </w:r>
      <w:r>
        <w:t xml:space="preserve">the game saturates visuospatial working memory. That is independent experimental confirmation of this case study’s central premise: a sonic rendering is not translating decoration, it is re-housing the game’s entire cognitive substance.</w:t>
      </w:r>
    </w:p>
    <w:p>
      <w:pPr>
        <w:pStyle w:val="BodyText"/>
      </w:pPr>
      <w:r>
        <w:rPr>
          <w:b/>
          <w:bCs/>
        </w:rPr>
        <w:t xml:space="preserve">The mainstream caught up and validated the instincts.</w:t>
      </w:r>
      <w:r>
        <w:t xml:space="preserve"> </w:t>
      </w:r>
      <w:r>
        <w:t xml:space="preserve">Forza Motorsport’s Blind Driving Assists steer a racing game — a harder real-time spatial problem than Tetris — entirely through layered, player-tunable audio cues: commercial-scale proof that the layered-soundscape approach works. Celeste’s assist mode made player-controlled difficulty a celebrated design pattern, which is my mixing desk’s philosophy: information density as the player’s dial. The Last of Us Part II set full completion without sight, not a side-mode, as the industry bar — the full-game principle as product requirement. And the Audio Game Hub’s six-figure download counts document the demand the audio-games community has always asserted.</w:t>
      </w:r>
    </w:p>
    <w:p>
      <w:pPr>
        <w:pStyle w:val="BodyText"/>
      </w:pPr>
      <w:r>
        <w:rPr>
          <w:b/>
          <w:bCs/>
        </w:rPr>
        <w:t xml:space="preserve">The one direct predecessor validates the problem by dodging it.</w:t>
      </w:r>
      <w:r>
        <w:t xml:space="preserve"> </w:t>
      </w:r>
      <w:r>
        <w:t xml:space="preserve">The only published academic sound-Tetris made the game audible by simplifying it — reportedly to a single piece type. It confirms both that the problem is real and that the obvious escape route exists; my position, then and now, is that a one-piece Tetris is not Tetris. The unified-design school and the disability community’s own standards point the same way: adaptation must not amputate.</w:t>
      </w:r>
    </w:p>
    <w:bookmarkEnd w:id="65"/>
    <w:bookmarkStart w:id="66" w:name="where-the-record-challenges-it"/>
    <w:p>
      <w:pPr>
        <w:pStyle w:val="Heading3"/>
      </w:pPr>
      <w:r>
        <w:t xml:space="preserve">11.2 Where the record challenges it</w:t>
      </w:r>
    </w:p>
    <w:p>
      <w:pPr>
        <w:pStyle w:val="FirstParagraph"/>
      </w:pPr>
      <w:r>
        <w:rPr>
          <w:b/>
          <w:bCs/>
        </w:rPr>
        <w:t xml:space="preserve">Temporal parity — my own numbers are the sharpest critique.</w:t>
      </w:r>
      <w:r>
        <w:t xml:space="preserve"> </w:t>
      </w:r>
      <w:r>
        <w:t xml:space="preserve">My PhD build preserved every rule and ran the sonic configuration at 4,000 ms per row against the visual 300 ms: a thirteen-fold time dilation. The one academic predecessor simplified the</w:t>
      </w:r>
      <w:r>
        <w:t xml:space="preserve"> </w:t>
      </w:r>
      <w:r>
        <w:rPr>
          <w:i/>
          <w:iCs/>
        </w:rPr>
        <w:t xml:space="preserve">rules</w:t>
      </w:r>
      <w:r>
        <w:t xml:space="preserve">; I simplified</w:t>
      </w:r>
      <w:r>
        <w:t xml:space="preserve"> </w:t>
      </w:r>
      <w:r>
        <w:rPr>
          <w:i/>
          <w:iCs/>
        </w:rPr>
        <w:t xml:space="preserve">time</w:t>
      </w:r>
      <w:r>
        <w:t xml:space="preserve">. Criterion (j) of Section 3 — continuing to succeed as speed increases — may simply be unreachable in audio at visual tempos. Is a game whose identity includes time pressure still</w:t>
      </w:r>
      <w:r>
        <w:t xml:space="preserve"> </w:t>
      </w:r>
      <w:r>
        <w:t xml:space="preserve">“the full game”</w:t>
      </w:r>
      <w:r>
        <w:t xml:space="preserve"> </w:t>
      </w:r>
      <w:r>
        <w:t xml:space="preserve">when time-dilated by an order of magnitude? I do not have a clean answer. The most defensible position, and the one Celeste’s assist mode models: parity of</w:t>
      </w:r>
      <w:r>
        <w:t xml:space="preserve"> </w:t>
      </w:r>
      <w:r>
        <w:rPr>
          <w:i/>
          <w:iCs/>
        </w:rPr>
        <w:t xml:space="preserve">rules</w:t>
      </w:r>
      <w:r>
        <w:t xml:space="preserve"> </w:t>
      </w:r>
      <w:r>
        <w:t xml:space="preserve">is non-negotiable; parity of</w:t>
      </w:r>
      <w:r>
        <w:t xml:space="preserve"> </w:t>
      </w:r>
      <w:r>
        <w:rPr>
          <w:i/>
          <w:iCs/>
        </w:rPr>
        <w:t xml:space="preserve">tempo</w:t>
      </w:r>
      <w:r>
        <w:t xml:space="preserve"> </w:t>
      </w:r>
      <w:r>
        <w:t xml:space="preserve">is a per-player setting on a continuous axis, and speed is itself a capability dimension. But the honest corollary must be stated: cross-modal score comparison is then meaningless, and the sonic game is the same game played at a different point in the speed-difficulty space — an accommodation, not an equivalence.</w:t>
      </w:r>
    </w:p>
    <w:p>
      <w:pPr>
        <w:pStyle w:val="BodyText"/>
      </w:pPr>
      <w:r>
        <w:rPr>
          <w:b/>
          <w:bCs/>
        </w:rPr>
        <w:t xml:space="preserve">Audio may invert the expert’s cheapest move.</w:t>
      </w:r>
      <w:r>
        <w:t xml:space="preserve"> </w:t>
      </w:r>
      <w:r>
        <w:t xml:space="preserve">The epistemic-action result supports the sonar — and cuts against the wider design. Physical rotation is a net win for sighted experts</w:t>
      </w:r>
      <w:r>
        <w:t xml:space="preserve"> </w:t>
      </w:r>
      <w:r>
        <w:rPr>
          <w:i/>
          <w:iCs/>
        </w:rPr>
        <w:t xml:space="preserve">because feedback is instant and free</w:t>
      </w:r>
      <w:r>
        <w:t xml:space="preserve">. In my design, rotation triggers announcements that cost seconds — braided, serialized, possibly queued behind other updates. If rotating-to-see becomes expensive, audio players are pushed back toward the mental simulation that sighted experts demonstrably avoid; the design would punish precisely the strategy that makes experts expert. The consequence is a hard requirement the 2009 design never stated: the rotation-to-fit feedback loop must be the</w:t>
      </w:r>
      <w:r>
        <w:t xml:space="preserve"> </w:t>
      </w:r>
      <w:r>
        <w:rPr>
          <w:i/>
          <w:iCs/>
        </w:rPr>
        <w:t xml:space="preserve">fastest</w:t>
      </w:r>
      <w:r>
        <w:t xml:space="preserve"> </w:t>
      </w:r>
      <w:r>
        <w:t xml:space="preserve">path in the soundscape — a sub-second burst, always interruptible by the next rotation — whatever the general interruptibility policy says. Latency budgets, not just modality characters, belong in the capability model.</w:t>
      </w:r>
    </w:p>
    <w:p>
      <w:pPr>
        <w:pStyle w:val="BodyText"/>
      </w:pPr>
      <w:r>
        <w:rPr>
          <w:b/>
          <w:bCs/>
        </w:rPr>
        <w:t xml:space="preserve">Modern AI interpretation weakens the transliteration argument — partly.</w:t>
      </w:r>
      <w:r>
        <w:t xml:space="preserve"> </w:t>
      </w:r>
      <w:r>
        <w:t xml:space="preserve">My critique of assistive technology rested on Barbosa’s dictum that interpretation is bounded by the expressiveness of the interpreter’s domain models, and in 2009 that bound was crippling. In 2026, agentic overlays are making</w:t>
      </w:r>
      <w:r>
        <w:t xml:space="preserve"> </w:t>
      </w:r>
      <w:r>
        <w:rPr>
          <w:i/>
          <w:iCs/>
        </w:rPr>
        <w:t xml:space="preserve">existing</w:t>
      </w:r>
      <w:r>
        <w:t xml:space="preserve"> </w:t>
      </w:r>
      <w:r>
        <w:t xml:space="preserve">inaccessible games playable by having large models interpret the screen — and large models carry enormous implicit domain knowledge, including of Tetris. An LLM watching the board genuinely can narrate the game. What it cannot do is</w:t>
      </w:r>
      <w:r>
        <w:t xml:space="preserve"> </w:t>
      </w:r>
      <w:r>
        <w:rPr>
          <w:i/>
          <w:iCs/>
        </w:rPr>
        <w:t xml:space="preserve">re-house</w:t>
      </w:r>
      <w:r>
        <w:t xml:space="preserve"> </w:t>
      </w:r>
      <w:r>
        <w:t xml:space="preserve">it: interpretation of the visual rendering inherits the visual information architecture — the flat rectangle, the observational stance — and can describe the board but not make it a place around the player. The first-person shift of Section 7 remains beyond transliteration’s reach, because it is not a description of the screen at all. But my field’s 2009-era claim that AT</w:t>
      </w:r>
      <w:r>
        <w:t xml:space="preserve"> </w:t>
      </w:r>
      <w:r>
        <w:t xml:space="preserve">“cannot catch”</w:t>
      </w:r>
      <w:r>
        <w:t xml:space="preserve"> </w:t>
      </w:r>
      <w:r>
        <w:t xml:space="preserve">metaphor-borne content is now only half true, and this case study’s argument must be restated more modestly: interpretation is no longer impossible, it is second-best — and demonstrating</w:t>
      </w:r>
      <w:r>
        <w:t xml:space="preserve"> </w:t>
      </w:r>
      <w:r>
        <w:rPr>
          <w:i/>
          <w:iCs/>
        </w:rPr>
        <w:t xml:space="preserve">how much</w:t>
      </w:r>
      <w:r>
        <w:t xml:space="preserve"> </w:t>
      </w:r>
      <w:r>
        <w:t xml:space="preserve">better native abstract-model rendering is has become an empirical obligation rather than an assertion.</w:t>
      </w:r>
    </w:p>
    <w:p>
      <w:pPr>
        <w:pStyle w:val="BodyText"/>
      </w:pPr>
      <w:r>
        <w:rPr>
          <w:b/>
          <w:bCs/>
        </w:rPr>
        <w:t xml:space="preserve">Generic HRTF will under-deliver for some players.</w:t>
      </w:r>
      <w:r>
        <w:t xml:space="preserve"> </w:t>
      </w:r>
      <w:r>
        <w:t xml:space="preserve">My psychoacoustic rules assume the textbook figures, but the browser’s HRTF is one generic head — no individualization — and real listeners vary. Elevation discrimination and front/back resolution will straggle the lab numbers for a meaningful fraction of players; my five elevation zones may still be optimistic for some ears. This does not break the design, because redundant coding was already a rule — but it promotes redundancy and per-user cue weighting from good practice to load-bearing necessity, and it makes the wobble’s effectiveness something to</w:t>
      </w:r>
      <w:r>
        <w:t xml:space="preserve"> </w:t>
      </w:r>
      <w:r>
        <w:rPr>
          <w:i/>
          <w:iCs/>
        </w:rPr>
        <w:t xml:space="preserve">measure</w:t>
      </w:r>
      <w:r>
        <w:t xml:space="preserve">, not assume.</w:t>
      </w:r>
    </w:p>
    <w:p>
      <w:pPr>
        <w:pStyle w:val="BodyText"/>
      </w:pPr>
      <w:r>
        <w:rPr>
          <w:b/>
          <w:bCs/>
        </w:rPr>
        <w:t xml:space="preserve">My own palette has an internal collision.</w:t>
      </w:r>
      <w:r>
        <w:t xml:space="preserve"> </w:t>
      </w:r>
      <w:r>
        <w:t xml:space="preserve">The PhD musical sonar encoded fit quality as pitch —</w:t>
      </w:r>
      <w:r>
        <w:t xml:space="preserve"> </w:t>
      </w:r>
      <w:r>
        <w:rPr>
          <w:i/>
          <w:iCs/>
        </w:rPr>
        <w:t xml:space="preserve">higher is better</w:t>
      </w:r>
      <w:r>
        <w:t xml:space="preserve">. The new terrain scan encodes column height as pitch —</w:t>
      </w:r>
      <w:r>
        <w:t xml:space="preserve"> </w:t>
      </w:r>
      <w:r>
        <w:rPr>
          <w:i/>
          <w:iCs/>
        </w:rPr>
        <w:t xml:space="preserve">higher is taller</w:t>
      </w:r>
      <w:r>
        <w:t xml:space="preserve">, and taller is danger. Walker’s auditory-display work established that mapping polarity is an empirical matter that designers guess wrong; here I have two of my own metaphors assigning opposite valences to the same channel. If both survive into the build unresolved, the player meets pitch meaning</w:t>
      </w:r>
      <w:r>
        <w:t xml:space="preserve"> </w:t>
      </w:r>
      <w:r>
        <w:t xml:space="preserve">“good”</w:t>
      </w:r>
      <w:r>
        <w:t xml:space="preserve"> </w:t>
      </w:r>
      <w:r>
        <w:t xml:space="preserve">in one phrase and</w:t>
      </w:r>
      <w:r>
        <w:t xml:space="preserve"> </w:t>
      </w:r>
      <w:r>
        <w:t xml:space="preserve">“threat”</w:t>
      </w:r>
      <w:r>
        <w:t xml:space="preserve"> </w:t>
      </w:r>
      <w:r>
        <w:t xml:space="preserve">in the next. Before implementation, one of three resolutions must be chosen: separate registers/timbres for the two metaphors; retiring pitch-fit in favour of the terrain scan’s consonance-as-quality encoding; or retiring the old sonar entirely. This is exactly the kind of defect a design review against the literature is for — I did not see it until the survey forced the two metaphors into one table.</w:t>
      </w:r>
    </w:p>
    <w:p>
      <w:pPr>
        <w:pStyle w:val="BodyText"/>
      </w:pPr>
      <w:r>
        <w:rPr>
          <w:b/>
          <w:bCs/>
        </w:rPr>
        <w:t xml:space="preserve">Nothing here is evaluated — still.</w:t>
      </w:r>
      <w:r>
        <w:t xml:space="preserve"> </w:t>
      </w:r>
      <w:r>
        <w:t xml:space="preserve">Said plainly in Section 6 and repeated because it is the largest single weakness: every metaphor’s pass/fail is one designer’s introspection. The field’s evaluation standards existed in 2009 (I cited them in my own reading notes) and the thesis planned to apply them; the plan outlived the funding. The new build does not get to inherit</w:t>
      </w:r>
      <w:r>
        <w:t xml:space="preserve"> </w:t>
      </w:r>
      <w:r>
        <w:t xml:space="preserve">“works surprisingly well”</w:t>
      </w:r>
      <w:r>
        <w:t xml:space="preserve"> </w:t>
      </w:r>
      <w:r>
        <w:t xml:space="preserve">as established fact.</w:t>
      </w:r>
    </w:p>
    <w:bookmarkEnd w:id="66"/>
    <w:bookmarkStart w:id="67" w:name="what-i-simply-hadnt-considered"/>
    <w:p>
      <w:pPr>
        <w:pStyle w:val="Heading3"/>
      </w:pPr>
      <w:r>
        <w:t xml:space="preserve">11.3 What I simply hadn’t considered</w:t>
      </w:r>
    </w:p>
    <w:p>
      <w:pPr>
        <w:pStyle w:val="FirstParagraph"/>
      </w:pPr>
      <w:r>
        <w:rPr>
          <w:b/>
          <w:bCs/>
        </w:rPr>
        <w:t xml:space="preserve">Co-design, not just evaluation.</w:t>
      </w:r>
      <w:r>
        <w:t xml:space="preserve"> </w:t>
      </w:r>
      <w:r>
        <w:t xml:space="preserve">The pattern behind the recent successes is unmissable: Forza’s blind-driving assists were built through years of collaboration with blind consultants; The Vale was developed with CNIB consultation. My plans — 2009 and 2026 alike — treated blind players as</w:t>
      </w:r>
      <w:r>
        <w:t xml:space="preserve"> </w:t>
      </w:r>
      <w:r>
        <w:rPr>
          <w:i/>
          <w:iCs/>
        </w:rPr>
        <w:t xml:space="preserve">evaluators</w:t>
      </w:r>
      <w:r>
        <w:t xml:space="preserve"> </w:t>
      </w:r>
      <w:r>
        <w:t xml:space="preserve">at the end of the pipeline, not designers at the start of it. Given that I work at CNIB, surrounded by exactly the expertise those studios sought out, this is the most embarrassing gap in the plan and the easiest to fix: the metaphor prototypes of the build’s first phase should be co-design sessions, not demos.</w:t>
      </w:r>
    </w:p>
    <w:p>
      <w:pPr>
        <w:pStyle w:val="BodyText"/>
      </w:pPr>
      <w:r>
        <w:rPr>
          <w:b/>
          <w:bCs/>
        </w:rPr>
        <w:t xml:space="preserve">Motor and cognitive access.</w:t>
      </w:r>
      <w:r>
        <w:t xml:space="preserve"> </w:t>
      </w:r>
      <w:r>
        <w:t xml:space="preserve">My analysis has been vision-first throughout. The standard survey framing — a player must</w:t>
      </w:r>
      <w:r>
        <w:t xml:space="preserve"> </w:t>
      </w:r>
      <w:r>
        <w:rPr>
          <w:i/>
          <w:iCs/>
        </w:rPr>
        <w:t xml:space="preserve">receive stimuli</w:t>
      </w:r>
      <w:r>
        <w:t xml:space="preserve">,</w:t>
      </w:r>
      <w:r>
        <w:t xml:space="preserve"> </w:t>
      </w:r>
      <w:r>
        <w:rPr>
          <w:i/>
          <w:iCs/>
        </w:rPr>
        <w:t xml:space="preserve">determine responses</w:t>
      </w:r>
      <w:r>
        <w:t xml:space="preserve">, and</w:t>
      </w:r>
      <w:r>
        <w:t xml:space="preserve"> </w:t>
      </w:r>
      <w:r>
        <w:rPr>
          <w:i/>
          <w:iCs/>
        </w:rPr>
        <w:t xml:space="preserve">provide input</w:t>
      </w:r>
      <w:r>
        <w:t xml:space="preserve"> </w:t>
      </w:r>
      <w:r>
        <w:t xml:space="preserve">— exposes the other two barriers. Input: Tetris’s timing demands (auto-repeat tuning, lock delay, key dwell) are motor barriers, the one-switch community has adapted falling-block games for single-switch scanning, and my five adjustable timeouts help but no switch-input mode was ever designed. Cognition: my layer model controls</w:t>
      </w:r>
      <w:r>
        <w:t xml:space="preserve"> </w:t>
      </w:r>
      <w:r>
        <w:rPr>
          <w:i/>
          <w:iCs/>
        </w:rPr>
        <w:t xml:space="preserve">information</w:t>
      </w:r>
      <w:r>
        <w:t xml:space="preserve"> </w:t>
      </w:r>
      <w:r>
        <w:t xml:space="preserve">density, but rule relaxations in the Celeste sense — larger lock windows, slower progressions, undo — are a different accessibility axis that the capability model claims in principle and specifies nowhere.</w:t>
      </w:r>
    </w:p>
    <w:p>
      <w:pPr>
        <w:pStyle w:val="BodyText"/>
      </w:pPr>
      <w:r>
        <w:rPr>
          <w:b/>
          <w:bCs/>
        </w:rPr>
        <w:t xml:space="preserve">The braille-graphical design space.</w:t>
      </w:r>
      <w:r>
        <w:t xml:space="preserve"> </w:t>
      </w:r>
      <w:r>
        <w:t xml:space="preserve">A community project has driven a refreshable braille terminal as a 20 × 4 tactile raster for an inverted Tetris. Braille displays as low-resolution</w:t>
      </w:r>
      <w:r>
        <w:t xml:space="preserve"> </w:t>
      </w:r>
      <w:r>
        <w:rPr>
          <w:i/>
          <w:iCs/>
        </w:rPr>
        <w:t xml:space="preserve">graphical</w:t>
      </w:r>
      <w:r>
        <w:t xml:space="preserve"> </w:t>
      </w:r>
      <w:r>
        <w:t xml:space="preserve">devices constitute a fourth design space — tactile-graphical, distinct from the vibrotactile haptics I deferred — and my domain chart can host it as naturally as a Braille View service domain. I had never enumerated it.</w:t>
      </w:r>
    </w:p>
    <w:p>
      <w:pPr>
        <w:pStyle w:val="BodyText"/>
      </w:pPr>
      <w:r>
        <w:rPr>
          <w:b/>
          <w:bCs/>
        </w:rPr>
        <w:t xml:space="preserve">Deaf players of</w:t>
      </w:r>
      <w:r>
        <w:rPr>
          <w:b/>
          <w:bCs/>
        </w:rPr>
        <w:t xml:space="preserve"> </w:t>
      </w:r>
      <w:r>
        <w:rPr>
          <w:b/>
          <w:bCs/>
          <w:i/>
          <w:iCs/>
        </w:rPr>
        <w:t xml:space="preserve">my</w:t>
      </w:r>
      <w:r>
        <w:rPr>
          <w:b/>
          <w:bCs/>
        </w:rPr>
        <w:t xml:space="preserve"> </w:t>
      </w:r>
      <w:r>
        <w:rPr>
          <w:b/>
          <w:bCs/>
        </w:rPr>
        <w:t xml:space="preserve">game.</w:t>
      </w:r>
      <w:r>
        <w:t xml:space="preserve"> </w:t>
      </w:r>
      <w:r>
        <w:t xml:space="preserve">Once the functional audio is the soundtrack, game-relevant state — the danger key-shift, the urgency tempo, the lock countdown — lives in sound. A deaf or hard-of-hearing player of my accessible Tetris gets a</w:t>
      </w:r>
      <w:r>
        <w:t xml:space="preserve"> </w:t>
      </w:r>
      <w:r>
        <w:rPr>
          <w:i/>
          <w:iCs/>
        </w:rPr>
        <w:t xml:space="preserve">worse</w:t>
      </w:r>
      <w:r>
        <w:t xml:space="preserve"> </w:t>
      </w:r>
      <w:r>
        <w:t xml:space="preserve">game than classic Tetris unless the visual view mirrors that state visually. My own 2009 note on emotive loss in deaf adaptation predicted precisely this failure mode, and seventeen years later I still designed it in. The visual view must render the tension system — not as an accessibility afterthought but because the architecture’s symmetry principle demands it.</w:t>
      </w:r>
    </w:p>
    <w:p>
      <w:pPr>
        <w:pStyle w:val="BodyText"/>
      </w:pPr>
      <w:r>
        <w:rPr>
          <w:b/>
          <w:bCs/>
        </w:rPr>
        <w:t xml:space="preserve">The working-memory question.</w:t>
      </w:r>
      <w:r>
        <w:t xml:space="preserve"> </w:t>
      </w:r>
      <w:r>
        <w:t xml:space="preserve">If visual Tetris consumes visuospatial working memory, what does audio Tetris consume? Spatialized audio may still engage spatial cognition; musical encoding may shift load to auditory-verbal systems; the truth is unknown and testable with exactly the paradigms Holmes’s group uses. This is a genuine open research question that the accessible build makes askable for the first time — potentially the project’s most novel scientific contribution, and it was not on my list.</w:t>
      </w:r>
    </w:p>
    <w:p>
      <w:pPr>
        <w:pStyle w:val="BodyText"/>
      </w:pPr>
      <w:r>
        <w:rPr>
          <w:b/>
          <w:bCs/>
        </w:rPr>
        <w:t xml:space="preserve">The name.</w:t>
      </w:r>
      <w:r>
        <w:t xml:space="preserve"> </w:t>
      </w:r>
      <w:r>
        <w:rPr>
          <w:i/>
          <w:iCs/>
        </w:rPr>
        <w:t xml:space="preserve">Tetris Holding v. Xio Interactive</w:t>
      </w:r>
      <w:r>
        <w:t xml:space="preserve"> </w:t>
      </w:r>
      <w:r>
        <w:t xml:space="preserve">(2012) settled that game mechanics are unprotectable ideas while their audiovisual expression is protected — which favours this project twice over: the mechanics are free to implement, and my entire purpose is a</w:t>
      </w:r>
      <w:r>
        <w:t xml:space="preserve"> </w:t>
      </w:r>
      <w:r>
        <w:rPr>
          <w:i/>
          <w:iCs/>
        </w:rPr>
        <w:t xml:space="preserve">different expression</w:t>
      </w:r>
      <w:r>
        <w:t xml:space="preserve">. But Tetris® remains a trademark vigorously enforced; scholarship sits comfortably under nominative use, a playable public release less so. The playable build needs its own name, with</w:t>
      </w:r>
      <w:r>
        <w:t xml:space="preserve"> </w:t>
      </w:r>
      <w:r>
        <w:t xml:space="preserve">“after Tetris”</w:t>
      </w:r>
      <w:r>
        <w:t xml:space="preserve"> </w:t>
      </w:r>
      <w:r>
        <w:t xml:space="preserve">in the description. A decision to make before anything ships, not after.</w:t>
      </w:r>
    </w:p>
    <w:bookmarkEnd w:id="67"/>
    <w:bookmarkEnd w:id="68"/>
    <w:bookmarkStart w:id="71" w:name="from-case-study-to-working-application"/>
    <w:p>
      <w:pPr>
        <w:pStyle w:val="Heading2"/>
      </w:pPr>
      <w:r>
        <w:t xml:space="preserve">12. From case study to working application</w:t>
      </w:r>
    </w:p>
    <w:p>
      <w:pPr>
        <w:pStyle w:val="FirstParagraph"/>
      </w:pPr>
      <w:r>
        <w:t xml:space="preserve">The new implementation is vanilla JavaScript, running in an ordinary web page, and it inherits its architecture directly from this case study:</w:t>
      </w:r>
    </w:p>
    <w:p>
      <w:pPr>
        <w:pStyle w:val="Compact"/>
        <w:numPr>
          <w:ilvl w:val="0"/>
          <w:numId w:val="1008"/>
        </w:numPr>
      </w:pPr>
      <w:r>
        <w:rPr>
          <w:b/>
          <w:bCs/>
        </w:rPr>
        <w:t xml:space="preserve">The abstract game</w:t>
      </w:r>
      <w:r>
        <w:t xml:space="preserve"> </w:t>
      </w:r>
      <w:r>
        <w:t xml:space="preserve">— grid, pieces, SRS rotation, hold, ghost, scoring, and the two concurrent state machines of Section 9, with the request/answer bridge and its decision that rendering may slow the game clock. The five timeouts of Section 3 are all user-adjustable parameters.</w:t>
      </w:r>
    </w:p>
    <w:p>
      <w:pPr>
        <w:pStyle w:val="Compact"/>
        <w:numPr>
          <w:ilvl w:val="0"/>
          <w:numId w:val="1008"/>
        </w:numPr>
      </w:pPr>
      <w:r>
        <w:rPr>
          <w:b/>
          <w:bCs/>
        </w:rPr>
        <w:t xml:space="preserve">The visual view</w:t>
      </w:r>
      <w:r>
        <w:t xml:space="preserve"> </w:t>
      </w:r>
      <w:r>
        <w:t xml:space="preserve">— a clean SVG rendering of classic Tetris: high-contrast and colour-blind-safe schemes, respectful of</w:t>
      </w:r>
      <w:r>
        <w:t xml:space="preserve"> </w:t>
      </w:r>
      <w:r>
        <w:rPr>
          <w:rStyle w:val="VerbatimChar"/>
        </w:rPr>
        <w:t xml:space="preserve">prefers-reduced-motion</w:t>
      </w:r>
      <w:r>
        <w:t xml:space="preserve">, fully keyboard-operable, with ARIA live announcements for players using a screen reader alongside partial vision.</w:t>
      </w:r>
    </w:p>
    <w:p>
      <w:pPr>
        <w:pStyle w:val="Compact"/>
        <w:numPr>
          <w:ilvl w:val="0"/>
          <w:numId w:val="1008"/>
        </w:numPr>
      </w:pPr>
      <w:r>
        <w:rPr>
          <w:b/>
          <w:bCs/>
        </w:rPr>
        <w:t xml:space="preserve">The sonic view</w:t>
      </w:r>
      <w:r>
        <w:t xml:space="preserve"> </w:t>
      </w:r>
      <w:r>
        <w:t xml:space="preserve">— the Section 10 design over Web Audio: per-piece timbres, HRTF panning, the three views, the wobble, the layer mixer.</w:t>
      </w:r>
    </w:p>
    <w:p>
      <w:pPr>
        <w:pStyle w:val="Compact"/>
        <w:numPr>
          <w:ilvl w:val="0"/>
          <w:numId w:val="1008"/>
        </w:numPr>
      </w:pPr>
      <w:r>
        <w:rPr>
          <w:b/>
          <w:bCs/>
        </w:rPr>
        <w:t xml:space="preserve">The capability layer</w:t>
      </w:r>
      <w:r>
        <w:t xml:space="preserve"> </w:t>
      </w:r>
      <w:r>
        <w:t xml:space="preserve">— profiles and preferences driving both views’ modality selection, presets first, full desk beneath.</w:t>
      </w:r>
    </w:p>
    <w:p>
      <w:pPr>
        <w:pStyle w:val="FirstParagraph"/>
      </w:pPr>
      <w:r>
        <w:t xml:space="preserve">The build order mirrors the research logic rather than typical game development: prototype the seven timbres first, then the terrain scan against static boards — can a listener reconstruct the shape? —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Section 11’s reckoning adds five commitments the earlier plans lacked:</w:t>
      </w:r>
    </w:p>
    <w:p>
      <w:pPr>
        <w:pStyle w:val="Compact"/>
        <w:numPr>
          <w:ilvl w:val="0"/>
          <w:numId w:val="1009"/>
        </w:numPr>
      </w:pPr>
      <w:r>
        <w:rPr>
          <w:b/>
          <w:bCs/>
        </w:rPr>
        <w:t xml:space="preserve">Co-design from phase one.</w:t>
      </w:r>
      <w:r>
        <w:t xml:space="preserve"> </w:t>
      </w:r>
      <w:r>
        <w:t xml:space="preserve">The timbre and terrain-scan prototypes are co-design sessions with blind players, not demos for later validation — the Forza and Vale precedent, and the one my own workplace makes easiest of all to honour.</w:t>
      </w:r>
    </w:p>
    <w:p>
      <w:pPr>
        <w:pStyle w:val="Compact"/>
        <w:numPr>
          <w:ilvl w:val="0"/>
          <w:numId w:val="1009"/>
        </w:numPr>
      </w:pPr>
      <w:r>
        <w:rPr>
          <w:b/>
          <w:bCs/>
        </w:rPr>
        <w:t xml:space="preserve">A latency budget for the epistemic loop.</w:t>
      </w:r>
      <w:r>
        <w:t xml:space="preserve"> </w:t>
      </w:r>
      <w:r>
        <w:t xml:space="preserve">Rotation-to-fit feedback is the fastest path in the soundscape: sub-second, always interruptible by the next rotation, exempt from the general serialization policy. This is a hard requirement, stated in the capability model, tested from the first playable.</w:t>
      </w:r>
    </w:p>
    <w:p>
      <w:pPr>
        <w:pStyle w:val="Compact"/>
        <w:numPr>
          <w:ilvl w:val="0"/>
          <w:numId w:val="1009"/>
        </w:numPr>
      </w:pPr>
      <w:r>
        <w:rPr>
          <w:b/>
          <w:bCs/>
        </w:rPr>
        <w:t xml:space="preserve">The pitch-collision decision</w:t>
      </w:r>
      <w:r>
        <w:t xml:space="preserve"> </w:t>
      </w:r>
      <w:r>
        <w:t xml:space="preserve">(sonar’s higher-is-better versus terrain’s higher-is-taller) resolved before the audio build starts, in the co-design sessions — polarity is an empirical question, so let players answer it.</w:t>
      </w:r>
    </w:p>
    <w:p>
      <w:pPr>
        <w:pStyle w:val="Compact"/>
        <w:numPr>
          <w:ilvl w:val="0"/>
          <w:numId w:val="1009"/>
        </w:numPr>
      </w:pPr>
      <w:r>
        <w:rPr>
          <w:b/>
          <w:bCs/>
        </w:rPr>
        <w:t xml:space="preserve">The visual view mirrors the tension system</w:t>
      </w:r>
      <w:r>
        <w:t xml:space="preserve"> </w:t>
      </w:r>
      <w:r>
        <w:t xml:space="preserve">— danger key-shift, urgency, lock countdown rendered visually — so the functional-audio soundtrack never makes the game worse for deaf and hard-of-hearing players than the classic it adapts.</w:t>
      </w:r>
    </w:p>
    <w:p>
      <w:pPr>
        <w:pStyle w:val="Compact"/>
        <w:numPr>
          <w:ilvl w:val="0"/>
          <w:numId w:val="1009"/>
        </w:numPr>
      </w:pPr>
      <w:r>
        <w:rPr>
          <w:b/>
          <w:bCs/>
        </w:rPr>
        <w:t xml:space="preserve">A name of its own</w:t>
      </w:r>
      <w:r>
        <w:t xml:space="preserve"> </w:t>
      </w:r>
      <w:r>
        <w:t xml:space="preserve">before anything playable ships, with the Tetris relationship stated descriptively.</w:t>
      </w:r>
    </w:p>
    <w:p>
      <w:pPr>
        <w:pStyle w:val="FirstParagraph"/>
      </w:pPr>
      <w:r>
        <w:t xml:space="preserve">And two entries move onto the research agenda rather than the build plan: a switch-scanning input mode and Celeste-style rule relaxations (the motor and cognitive axes the capability model must grow to cover honestly), and the working-memory question — whether audio Tetris loads the visuospatial resources visual Tetris is known to consume — which the finished build would, for the first time, make experimentally askable.</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honest ledger — sonar worked, margins worked only after retreating to music, direction-as-direction failed into speech —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 the browsers have simply, finally, provided a sonic design space rich enough to do the architecture justice.</w:t>
      </w:r>
    </w:p>
    <w:p>
      <w:r>
        <w:pict>
          <v:rect style="width:0;height:1.5pt" o:hralign="center" o:hrstd="t" o:hr="t"/>
        </w:pict>
      </w:r>
    </w:p>
    <w:bookmarkStart w:id="70"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implementation. Section 11 draws on a 2026 survey of the surrounding literature and landscape; the annotated notes, with sources, are in the companion document</w:t>
      </w:r>
      <w:r>
        <w:t xml:space="preserve"> </w:t>
      </w:r>
      <w:r>
        <w:rPr>
          <w:i/>
          <w:iCs/>
        </w:rPr>
        <w:t xml:space="preserve">Tetris, Accessibility, and Accessible Game Design — Research Notes</w:t>
      </w:r>
      <w:r>
        <w:t xml:space="preserve"> </w:t>
      </w:r>
      <w:r>
        <w:t xml:space="preserve">(</w:t>
      </w:r>
      <w:hyperlink r:id="rId69">
        <w:r>
          <w:rPr>
            <w:rStyle w:val="Hyperlink"/>
          </w:rPr>
          <w:t xml:space="preserve">research.md</w:t>
        </w:r>
      </w:hyperlink>
      <w:r>
        <w:t xml:space="preserve">). Tetris® is a trademark of The Tetris Company; this is non-commercial accessibility research, and no Tetris Company assets are used.</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hyperlink" Id="rId69" Target="research.md" TargetMode="External" /></Relationships>
</file>

<file path=word/_rels/footnotes.xml.rels><?xml version="1.0" encoding="UTF-8"?><Relationships xmlns="http://schemas.openxmlformats.org/package/2006/relationships"><Relationship Type="http://schemas.openxmlformats.org/officeDocument/2006/relationships/hyperlink" Id="rId69" Target="resear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cp:keywords/>
  <dcterms:created xsi:type="dcterms:W3CDTF">2026-07-25T17:30:33Z</dcterms:created>
  <dcterms:modified xsi:type="dcterms:W3CDTF">2026-07-25T17:30:33Z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