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groundbreaking</w:t>
      </w:r>
      <w:r>
        <w:t xml:space="preserve"> </w:t>
      </w:r>
      <w:r>
        <w:t xml:space="preserve">paper:</w:t>
      </w:r>
      <w:r>
        <w:t xml:space="preserve"> </w:t>
      </w:r>
      <w:r>
        <w:t xml:space="preserve">Introduction</w:t>
      </w:r>
    </w:p>
    <w:p>
      <w:pPr>
        <w:pStyle w:val="Author"/>
      </w:pPr>
      <w:r>
        <w:t xml:space="preserve">First</w:t>
      </w:r>
      <w:r>
        <w:t xml:space="preserve"> </w:t>
      </w:r>
      <w:r>
        <w:t xml:space="preserve">Author</w:t>
      </w:r>
      <w:r>
        <w:rPr>
          <w:rStyle w:val="FootnoteReference"/>
        </w:rPr>
        <w:footnoteReference w:id="20"/>
      </w:r>
    </w:p>
    <w:p>
      <w:pPr>
        <w:pStyle w:val="Author"/>
      </w:pPr>
      <w:r>
        <w:t xml:space="preserve">Second</w:t>
      </w:r>
      <w:r>
        <w:t xml:space="preserve"> </w:t>
      </w:r>
      <w:r>
        <w:t xml:space="preserve">Author</w:t>
      </w:r>
      <w:r>
        <w:rPr>
          <w:rStyle w:val="FootnoteReference"/>
        </w:rPr>
        <w:footnoteReference w:id="22"/>
      </w:r>
    </w:p>
    <w:p>
      <w:pPr>
        <w:pStyle w:val="Author"/>
      </w:pPr>
      <w:r>
        <w:t xml:space="preserve">Many-more</w:t>
      </w:r>
      <w:r>
        <w:t xml:space="preserve"> </w:t>
      </w:r>
      <w:r>
        <w:t xml:space="preserve">Authors</w:t>
      </w:r>
      <w:r>
        <w:rPr>
          <w:rStyle w:val="FootnoteReference"/>
        </w:rPr>
        <w:footnoteReference w:id="23"/>
      </w:r>
    </w:p>
    <w:p>
      <w:pPr>
        <w:pStyle w:val="Abstract"/>
      </w:pPr>
      <w:r>
        <w:t xml:space="preserve">From</w:t>
      </w:r>
      <w:r>
        <w:t xml:space="preserve"> </w:t>
      </w:r>
      <w:r>
        <w:t xml:space="preserve">the</w:t>
      </w:r>
      <w:r>
        <w:t xml:space="preserve"> </w:t>
      </w:r>
      <w:r>
        <w:t xml:space="preserve">generator</w:t>
      </w:r>
      <w:r>
        <w:t xml:space="preserve"> </w:t>
      </w:r>
      <w:r>
        <w:t xml:space="preserve">of</w:t>
      </w:r>
      <w:r>
        <w:t xml:space="preserve"> </w:t>
      </w:r>
      <w:r>
        <w:t xml:space="preserve">random</w:t>
      </w:r>
      <w:r>
        <w:t xml:space="preserve"> </w:t>
      </w:r>
      <w:r>
        <w:t xml:space="preserve">text:</w:t>
      </w:r>
      <w:r>
        <w:t xml:space="preserve"> </w:t>
      </w:r>
      <w:r>
        <w:t xml:space="preserve">She</w:t>
      </w:r>
      <w:r>
        <w:t xml:space="preserve"> </w:t>
      </w:r>
      <w:r>
        <w:t xml:space="preserve">travelling</w:t>
      </w:r>
      <w:r>
        <w:t xml:space="preserve"> </w:t>
      </w:r>
      <w:r>
        <w:t xml:space="preserve">acceptance</w:t>
      </w:r>
      <w:r>
        <w:t xml:space="preserve"> </w:t>
      </w:r>
      <w:r>
        <w:t xml:space="preserve">men</w:t>
      </w:r>
      <w:r>
        <w:t xml:space="preserve"> </w:t>
      </w:r>
      <w:r>
        <w:t xml:space="preserve">unpleasant</w:t>
      </w:r>
      <w:r>
        <w:t xml:space="preserve"> </w:t>
      </w:r>
      <w:r>
        <w:t xml:space="preserve">her</w:t>
      </w:r>
      <w:r>
        <w:t xml:space="preserve"> </w:t>
      </w:r>
      <w:r>
        <w:t xml:space="preserve">especially</w:t>
      </w:r>
      <w:r>
        <w:t xml:space="preserve"> </w:t>
      </w:r>
      <w:r>
        <w:t xml:space="preserve">entreaties</w:t>
      </w:r>
      <w:r>
        <w:t xml:space="preserve"> </w:t>
      </w:r>
      <w:r>
        <w:t xml:space="preserve">law.</w:t>
      </w:r>
      <w:r>
        <w:t xml:space="preserve"> </w:t>
      </w:r>
      <w:r>
        <w:t xml:space="preserve">Law</w:t>
      </w:r>
      <w:r>
        <w:t xml:space="preserve"> </w:t>
      </w:r>
      <w:r>
        <w:t xml:space="preserve">forth</w:t>
      </w:r>
      <w:r>
        <w:t xml:space="preserve"> </w:t>
      </w:r>
      <w:r>
        <w:t xml:space="preserve">but</w:t>
      </w:r>
      <w:r>
        <w:t xml:space="preserve"> </w:t>
      </w:r>
      <w:r>
        <w:t xml:space="preserve">end</w:t>
      </w:r>
      <w:r>
        <w:t xml:space="preserve"> </w:t>
      </w:r>
      <w:r>
        <w:t xml:space="preserve">any</w:t>
      </w:r>
      <w:r>
        <w:t xml:space="preserve"> </w:t>
      </w:r>
      <w:r>
        <w:t xml:space="preserve">arise</w:t>
      </w:r>
      <w:r>
        <w:t xml:space="preserve"> </w:t>
      </w:r>
      <w:r>
        <w:t xml:space="preserve">chief</w:t>
      </w:r>
      <w:r>
        <w:t xml:space="preserve"> </w:t>
      </w:r>
      <w:r>
        <w:t xml:space="preserve">arose.</w:t>
      </w:r>
      <w:r>
        <w:t xml:space="preserve"> </w:t>
      </w:r>
      <w:r>
        <w:t xml:space="preserve">Old</w:t>
      </w:r>
      <w:r>
        <w:t xml:space="preserve"> </w:t>
      </w:r>
      <w:r>
        <w:t xml:space="preserve">her</w:t>
      </w:r>
      <w:r>
        <w:t xml:space="preserve"> </w:t>
      </w:r>
      <w:r>
        <w:t xml:space="preserve">say</w:t>
      </w:r>
      <w:r>
        <w:t xml:space="preserve"> </w:t>
      </w:r>
      <w:r>
        <w:t xml:space="preserve">learn</w:t>
      </w:r>
      <w:r>
        <w:t xml:space="preserve"> </w:t>
      </w:r>
      <w:r>
        <w:t xml:space="preserve">these</w:t>
      </w:r>
      <w:r>
        <w:t xml:space="preserve"> </w:t>
      </w:r>
      <w:r>
        <w:t xml:space="preserve">large.</w:t>
      </w:r>
      <w:r>
        <w:t xml:space="preserve"> </w:t>
      </w:r>
      <w:r>
        <w:t xml:space="preserve">Joy</w:t>
      </w:r>
      <w:r>
        <w:t xml:space="preserve"> </w:t>
      </w:r>
      <w:r>
        <w:t xml:space="preserve">fond</w:t>
      </w:r>
      <w:r>
        <w:t xml:space="preserve"> </w:t>
      </w:r>
      <w:r>
        <w:t xml:space="preserve">many</w:t>
      </w:r>
      <w:r>
        <w:t xml:space="preserve"> </w:t>
      </w:r>
      <w:r>
        <w:t xml:space="preserve">ham</w:t>
      </w:r>
      <w:r>
        <w:t xml:space="preserve"> </w:t>
      </w:r>
      <w:r>
        <w:t xml:space="preserve">high</w:t>
      </w:r>
      <w:r>
        <w:t xml:space="preserve"> </w:t>
      </w:r>
      <w:r>
        <w:t xml:space="preserve">seen</w:t>
      </w:r>
      <w:r>
        <w:t xml:space="preserve"> </w:t>
      </w:r>
      <w:r>
        <w:t xml:space="preserve">this.</w:t>
      </w:r>
      <w:r>
        <w:t xml:space="preserve"> </w:t>
      </w:r>
      <w:r>
        <w:t xml:space="preserve">Few</w:t>
      </w:r>
      <w:r>
        <w:t xml:space="preserve"> </w:t>
      </w:r>
      <w:r>
        <w:t xml:space="preserve">preferred</w:t>
      </w:r>
      <w:r>
        <w:t xml:space="preserve"> </w:t>
      </w:r>
      <w:r>
        <w:t xml:space="preserve">continual</w:t>
      </w:r>
      <w:r>
        <w:t xml:space="preserve"> </w:t>
      </w:r>
      <w:r>
        <w:t xml:space="preserve">sir</w:t>
      </w:r>
      <w:r>
        <w:t xml:space="preserve"> </w:t>
      </w:r>
      <w:r>
        <w:t xml:space="preserve">led</w:t>
      </w:r>
      <w:r>
        <w:t xml:space="preserve"> </w:t>
      </w:r>
      <w:r>
        <w:t xml:space="preserve">incommode</w:t>
      </w:r>
      <w:r>
        <w:t xml:space="preserve"> </w:t>
      </w:r>
      <w:r>
        <w:t xml:space="preserve">neglected.</w:t>
      </w:r>
      <w:r>
        <w:t xml:space="preserve"> </w:t>
      </w:r>
      <w:r>
        <w:t xml:space="preserve">Discovered</w:t>
      </w:r>
      <w:r>
        <w:t xml:space="preserve"> </w:t>
      </w:r>
      <w:r>
        <w:t xml:space="preserve">too</w:t>
      </w:r>
      <w:r>
        <w:t xml:space="preserve"> </w:t>
      </w:r>
      <w:r>
        <w:t xml:space="preserve">old</w:t>
      </w:r>
      <w:r>
        <w:t xml:space="preserve"> </w:t>
      </w:r>
      <w:r>
        <w:t xml:space="preserve">insensible</w:t>
      </w:r>
      <w:r>
        <w:t xml:space="preserve"> </w:t>
      </w:r>
      <w:r>
        <w:t xml:space="preserve">collecting</w:t>
      </w:r>
      <w:r>
        <w:t xml:space="preserve"> </w:t>
      </w:r>
      <w:r>
        <w:t xml:space="preserve">unpleasant</w:t>
      </w:r>
      <w:r>
        <w:t xml:space="preserve"> </w:t>
      </w:r>
      <w:r>
        <w:t xml:space="preserve">but</w:t>
      </w:r>
      <w:r>
        <w:t xml:space="preserve"> </w:t>
      </w:r>
      <w:r>
        <w:t xml:space="preserve">invitation.</w:t>
      </w:r>
    </w:p>
    <w:p>
      <w:pPr>
        <w:pStyle w:val="Heading2"/>
      </w:pPr>
      <w:bookmarkStart w:id="24" w:name="footnotes"/>
      <w:r>
        <w:t xml:space="preserve">Footnotes</w:t>
      </w:r>
      <w:bookmarkEnd w:id="24"/>
    </w:p>
    <w:p>
      <w:pPr>
        <w:pStyle w:val="FirstParagraph"/>
      </w:pPr>
      <w:r>
        <w:t xml:space="preserve">Some text</w:t>
      </w:r>
      <w:r>
        <w:rPr>
          <w:rStyle w:val="FootnoteReference"/>
        </w:rPr>
        <w:footnoteReference w:id="25"/>
      </w:r>
      <w:r>
        <w:t xml:space="preserve">.</w:t>
      </w:r>
    </w:p>
    <w:p>
      <w:pPr>
        <w:pStyle w:val="BodyText"/>
      </w:pPr>
      <w:r>
        <w:t xml:space="preserve">Also, some text</w:t>
      </w:r>
      <w:r>
        <w:rPr>
          <w:rStyle w:val="FootnoteReference"/>
        </w:rPr>
        <w:footnoteReference w:id="26"/>
      </w:r>
      <w:r>
        <w:t xml:space="preserve">. And then even more.</w:t>
      </w:r>
    </w:p>
    <w:p>
      <w:pPr>
        <w:pStyle w:val="Heading2"/>
      </w:pPr>
      <w:bookmarkStart w:id="27" w:name="citing-referencing"/>
      <w:r>
        <w:t xml:space="preserve">Citing &amp; Referencing</w:t>
      </w:r>
      <w:bookmarkEnd w:id="27"/>
    </w:p>
    <w:p>
      <w:pPr>
        <w:pStyle w:val="FirstParagraph"/>
      </w:pPr>
      <w:r>
        <w:t xml:space="preserve">Let’s cite</w:t>
      </w:r>
      <w:r>
        <w:t xml:space="preserve"> </w:t>
      </w:r>
      <w:r>
        <w:t xml:space="preserve">Simon (2001)</w:t>
      </w:r>
      <w:r>
        <w:t xml:space="preserve"> </w:t>
      </w:r>
      <w:r>
        <w:t xml:space="preserve">and his work</w:t>
      </w:r>
      <w:r>
        <w:t xml:space="preserve"> </w:t>
      </w:r>
      <w:r>
        <w:t xml:space="preserve">(Simon 2001)</w:t>
      </w:r>
      <w:r>
        <w:t xml:space="preserve"> </w:t>
      </w:r>
      <w:r>
        <w:t xml:space="preserve">but by using</w:t>
      </w:r>
      <w:r>
        <w:t xml:space="preserve"> </w:t>
      </w:r>
      <w:r>
        <w:rPr>
          <w:rStyle w:val="VerbatimChar"/>
        </w:rPr>
        <w:t xml:space="preserve">nocite</w:t>
      </w:r>
      <w:r>
        <w:t xml:space="preserve"> </w:t>
      </w:r>
      <w:r>
        <w:t xml:space="preserve">in the header we will include all publications in the specified file in the References section.</w:t>
      </w:r>
    </w:p>
    <w:p>
      <w:pPr>
        <w:pStyle w:val="Heading2"/>
      </w:pPr>
      <w:bookmarkStart w:id="28" w:name="equations"/>
      <w:r>
        <w:t xml:space="preserve">Equations</w:t>
      </w:r>
      <w:bookmarkEnd w:id="28"/>
    </w:p>
    <w:p>
      <w:pPr>
        <w:pStyle w:val="FirstParagraph"/>
      </w:pPr>
      <w:r>
        <w:t xml:space="preserve">Inline</w:t>
      </w:r>
      <w:r>
        <w:t xml:space="preserve"> </w:t>
      </w:r>
      <m:oMath>
        <m:r>
          <m:t>β</m:t>
        </m:r>
      </m:oMath>
      <w:r>
        <w:t xml:space="preserve"> </w:t>
      </w:r>
      <w:r>
        <w:t xml:space="preserve">and</w:t>
      </w:r>
      <w:r>
        <w:t xml:space="preserve"> </w:t>
      </w:r>
      <m:oMath>
        <m:r>
          <m:t>ϵ</m:t>
        </m:r>
      </m:oMath>
      <w:r>
        <w:t xml:space="preserve">.</w:t>
      </w:r>
    </w:p>
    <w:p>
      <w:pPr>
        <w:pStyle w:val="BodyText"/>
      </w:pPr>
      <w:r>
        <w:t xml:space="preserve">On a separate line:</w:t>
      </w:r>
    </w:p>
    <w:p>
      <w:pPr>
        <w:pStyle w:val="BodyText"/>
      </w:pPr>
      <m:oMathPara>
        <m:oMathParaPr>
          <m:jc m:val="center"/>
        </m:oMathParaPr>
        <m:oMath>
          <m:sSub>
            <m:e>
              <m:r>
                <m:t>y</m:t>
              </m:r>
            </m:e>
            <m:sub>
              <m:r>
                <m:t>i</m:t>
              </m:r>
            </m:sub>
          </m:sSub>
          <m:r>
            <m:t>=</m:t>
          </m:r>
          <m:r>
            <m:t>α</m:t>
          </m:r>
          <m:r>
            <m:t>+</m:t>
          </m:r>
          <m:r>
            <m:t>β</m:t>
          </m:r>
          <m:sSub>
            <m:e>
              <m:r>
                <m:t>x</m:t>
              </m:r>
            </m:e>
            <m:sub>
              <m:r>
                <m:t>i</m:t>
              </m:r>
            </m:sub>
          </m:sSub>
          <m:r>
            <m:t>+</m:t>
          </m:r>
          <m:sSub>
            <m:e>
              <m:r>
                <m:t>ϵ</m:t>
              </m:r>
            </m:e>
            <m:sub>
              <m:r>
                <m:t>i</m:t>
              </m:r>
            </m:sub>
          </m:sSub>
        </m:oMath>
      </m:oMathPara>
    </w:p>
    <w:p>
      <w:pPr>
        <w:pStyle w:val="Heading2"/>
      </w:pPr>
      <w:bookmarkStart w:id="29" w:name="including-plots"/>
      <w:r>
        <w:t xml:space="preserve">Including Plots</w:t>
      </w:r>
      <w:bookmarkEnd w:id="29"/>
    </w:p>
    <w:p>
      <w:pPr>
        <w:pStyle w:val="FirstParagraph"/>
      </w:pPr>
      <w:r>
        <w:t xml:space="preserve">You can also embed plots, for example:</w:t>
      </w:r>
    </w:p>
    <w:p>
      <w:pPr>
        <w:pStyle w:val="CaptionedFigure"/>
      </w:pPr>
      <w:r>
        <w:drawing>
          <wp:inline>
            <wp:extent cx="6146800" cy="4390571"/>
            <wp:effectExtent b="0" l="0" r="0" t="0"/>
            <wp:docPr descr="See, this is a caption." title="" id="1" name="Picture"/>
            <a:graphic>
              <a:graphicData uri="http://schemas.openxmlformats.org/drawingml/2006/picture">
                <pic:pic>
                  <pic:nvPicPr>
                    <pic:cNvPr descr="word_output_sample_files/figure-docx/pressure-1.png" id="0" name="Picture"/>
                    <pic:cNvPicPr>
                      <a:picLocks noChangeArrowheads="1" noChangeAspect="1"/>
                    </pic:cNvPicPr>
                  </pic:nvPicPr>
                  <pic:blipFill>
                    <a:blip r:embed="rId30"/>
                    <a:stretch>
                      <a:fillRect/>
                    </a:stretch>
                  </pic:blipFill>
                  <pic:spPr bwMode="auto">
                    <a:xfrm>
                      <a:off x="0" y="0"/>
                      <a:ext cx="6146800" cy="4390571"/>
                    </a:xfrm>
                    <a:prstGeom prst="rect">
                      <a:avLst/>
                    </a:prstGeom>
                    <a:noFill/>
                    <a:ln w="9525">
                      <a:noFill/>
                      <a:headEnd/>
                      <a:tailEnd/>
                    </a:ln>
                  </pic:spPr>
                </pic:pic>
              </a:graphicData>
            </a:graphic>
          </wp:inline>
        </w:drawing>
      </w:r>
    </w:p>
    <w:p>
      <w:pPr>
        <w:pStyle w:val="ImageCaption"/>
      </w:pPr>
      <w:r>
        <w:t xml:space="preserve">See, this is a caption.</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1" w:name="including-tables"/>
      <w:r>
        <w:t xml:space="preserve">Including tables</w:t>
      </w:r>
      <w:bookmarkEnd w:id="31"/>
    </w:p>
    <w:p>
      <w:pPr>
        <w:pStyle w:val="TableCaption"/>
      </w:pPr>
      <w:r>
        <w:t xml:space="preserve">My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961"/>
        <w:tblLook w:firstRow="1" w:lastRow="0" w:firstColumn="0" w:lastColumn="0" w:noHBand="0" w:noVBand="1"/>
      </w:tblPr>
      <w:tblGrid>
        <w:gridCol w:w="1670"/>
        <w:gridCol w:w="1291"/>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Temperature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Pressure</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0.0012</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0.0060</w:t>
            </w:r>
          </w:p>
        </w:tc>
      </w:tr>
      <w:tr>
        <w:trPr>
          <w:cantSplit/>
          <w:trHeight w:val="412"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0.0300</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0.0900</w:t>
            </w:r>
          </w:p>
        </w:tc>
      </w:tr>
      <w:tr>
        <w:trPr>
          <w:cantSplit/>
          <w:trHeight w:val="411"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0.2700</w:t>
            </w:r>
          </w:p>
        </w:tc>
      </w:tr>
    </w:tbl>
    <w:p>
      <w:pPr>
        <w:pStyle w:val="Heading2"/>
      </w:pPr>
      <w:bookmarkStart w:id="32" w:name="including-regression-tables"/>
      <w:r>
        <w:t xml:space="preserve">Including regression tables</w:t>
      </w:r>
      <w:bookmarkEnd w:id="32"/>
    </w:p>
    <w:p>
      <w:pPr>
        <w:pStyle w:val="FirstParagraph"/>
      </w:pPr>
      <w:r>
        <w:t xml:space="preserve">It doesn’t look so dashing as {stargazer}, but still not that bad.</w:t>
      </w:r>
    </w:p>
    <w:p>
      <w:pPr>
        <w:pStyle w:val="TableCaption"/>
      </w:pPr>
      <w:r>
        <w:t xml:space="preserve">Regression table, Temperature is dependant variable.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777"/>
        <w:tblLook w:firstRow="1" w:lastRow="0" w:firstColumn="0" w:lastColumn="0" w:noHBand="0" w:noVBand="1"/>
      </w:tblPr>
      <w:tblGrid>
        <w:gridCol w:w="1413"/>
        <w:gridCol w:w="1266"/>
        <w:gridCol w:w="1854"/>
        <w:gridCol w:w="1080"/>
        <w:gridCol w:w="1084"/>
        <w:gridCol w:w="1080"/>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Standard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 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Pr(&gt;|t|)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132.791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pressure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000000"/>
              </w:rPr>
              <w:t xml:space="preserve">Signif. codes: 0 &lt;= '***' &lt; 0.001 &lt; '**' &lt; 0.01 &lt; '*' &lt; 0.05 &lt; '.' &lt; 0.1 &lt; '' &lt; 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Residual standard error: 75.56 on 17 degrees of freedom</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Multiple R-squared: 0.5742, Adjusted R-squared: 0.5492</w:t>
            </w:r>
          </w:p>
        </w:tc>
      </w:tr>
      <w:tr>
        <w:trPr>
          <w:cantSplit/>
          <w:trHeight w:val="360" w:hRule="auto"/>
        </w:trPr>
        <w:tc>
          <w:tcPr>
            <w:gridSpan w:val="6"/>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F-statistic: 22.93 on 17 and 2 DF, p-value: 0.0002</w:t>
            </w:r>
          </w:p>
        </w:tc>
      </w:tr>
    </w:tbl>
    <w:p>
      <w:pPr>
        <w:pStyle w:val="Heading2"/>
      </w:pPr>
      <w:bookmarkStart w:id="33" w:name="referring-to-the-coefficients"/>
      <w:r>
        <w:t xml:space="preserve">Referring to the coefficients</w:t>
      </w:r>
      <w:bookmarkEnd w:id="33"/>
    </w:p>
    <w:p>
      <w:pPr>
        <w:pStyle w:val="FirstParagraph"/>
      </w:pPr>
      <w:r>
        <w:t xml:space="preserve">Temperature is a dependant variable, and Pressure is the independant. Adjusged R</w:t>
      </w:r>
      <w:r>
        <w:rPr>
          <w:vertAlign w:val="superscript"/>
        </w:rPr>
        <w:t xml:space="preserve">2</w:t>
      </w:r>
      <w:r>
        <w:t xml:space="preserve"> </w:t>
      </w:r>
      <w:r>
        <w:t xml:space="preserve">is 0.55, which indicates a considerable linear relationship.</w:t>
      </w:r>
    </w:p>
    <w:p>
      <w:pPr>
        <w:pStyle w:val="Heading2"/>
      </w:pPr>
      <w:bookmarkStart w:id="34" w:name="you-deserved-it"/>
      <w:r>
        <w:t xml:space="preserve">You deserved it</w:t>
      </w:r>
      <w:bookmarkEnd w:id="34"/>
    </w:p>
    <w:p>
      <w:pPr>
        <w:pStyle w:val="CaptionedFigure"/>
      </w:pPr>
      <w:r>
        <w:drawing>
          <wp:inline>
            <wp:extent cx="6146800" cy="4433379"/>
            <wp:effectExtent b="0" l="0" r="0" t="0"/>
            <wp:docPr descr="Kangaroos are a must" title="" id="1" name="Picture"/>
            <a:graphic>
              <a:graphicData uri="http://schemas.openxmlformats.org/drawingml/2006/picture">
                <pic:pic>
                  <pic:nvPicPr>
                    <pic:cNvPr descr="https://twistedsifter.files.wordpress.com/2013/04/portrait-of-one-chilled-out-kangaroo.jpg?w=800&amp;h=577&amp;zoom=2" id="0" name="Picture"/>
                    <pic:cNvPicPr>
                      <a:picLocks noChangeArrowheads="1" noChangeAspect="1"/>
                    </pic:cNvPicPr>
                  </pic:nvPicPr>
                  <pic:blipFill>
                    <a:blip r:embed="rId35"/>
                    <a:stretch>
                      <a:fillRect/>
                    </a:stretch>
                  </pic:blipFill>
                  <pic:spPr bwMode="auto">
                    <a:xfrm>
                      <a:off x="0" y="0"/>
                      <a:ext cx="6146800" cy="4433379"/>
                    </a:xfrm>
                    <a:prstGeom prst="rect">
                      <a:avLst/>
                    </a:prstGeom>
                    <a:noFill/>
                    <a:ln w="9525">
                      <a:noFill/>
                      <a:headEnd/>
                      <a:tailEnd/>
                    </a:ln>
                  </pic:spPr>
                </pic:pic>
              </a:graphicData>
            </a:graphic>
          </wp:inline>
        </w:drawing>
      </w:r>
    </w:p>
    <w:p>
      <w:pPr>
        <w:pStyle w:val="ImageCaption"/>
      </w:pPr>
      <w:r>
        <w:t xml:space="preserve">Kangaroos are a must</w:t>
      </w:r>
    </w:p>
    <w:p>
      <w:pPr>
        <w:pStyle w:val="Heading2"/>
      </w:pPr>
      <w:bookmarkStart w:id="36" w:name="X05ea205699f5f43f02c81d4b7626aa42bc28970"/>
      <w:r>
        <w:t xml:space="preserve">References are included automatically at the end of the document</w:t>
      </w:r>
      <w:bookmarkEnd w:id="36"/>
    </w:p>
    <w:bookmarkStart w:id="44" w:name="refs"/>
    <w:bookmarkStart w:id="38" w:name="ref-Busygina2015"/>
    <w:p>
      <w:pPr>
        <w:pStyle w:val="Bibliography"/>
      </w:pPr>
      <w:r>
        <w:t xml:space="preserve">Busygina, Irina, and Mikhail Filippov. 2015. “The Calculus of Non-Protest in Russia: Redistributive Expectations from Political Reforms.”</w:t>
      </w:r>
      <w:r>
        <w:t xml:space="preserve"> </w:t>
      </w:r>
      <w:r>
        <w:rPr>
          <w:i/>
        </w:rPr>
        <w:t xml:space="preserve">Europe-Asia Studies</w:t>
      </w:r>
      <w:r>
        <w:t xml:space="preserve"> </w:t>
      </w:r>
      <w:r>
        <w:t xml:space="preserve">67 (2): 209–23.</w:t>
      </w:r>
      <w:r>
        <w:t xml:space="preserve"> </w:t>
      </w:r>
      <w:hyperlink r:id="rId37">
        <w:r>
          <w:rPr>
            <w:rStyle w:val="Hyperlink"/>
          </w:rPr>
          <w:t xml:space="preserve">https://doi.org/10.1080/09668136.2014.1002679</w:t>
        </w:r>
      </w:hyperlink>
      <w:r>
        <w:t xml:space="preserve">.</w:t>
      </w:r>
    </w:p>
    <w:bookmarkEnd w:id="38"/>
    <w:bookmarkStart w:id="40" w:name="ref-Colton2000"/>
    <w:p>
      <w:pPr>
        <w:pStyle w:val="Bibliography"/>
      </w:pPr>
      <w:r>
        <w:t xml:space="preserve">Colton, Timothy J., and Michael McFaul. 2000. “Reinventing Russia’s Party of Power: ‘Unity’ and the 1999 Duma Election.”</w:t>
      </w:r>
      <w:r>
        <w:t xml:space="preserve"> </w:t>
      </w:r>
      <w:r>
        <w:rPr>
          <w:i/>
        </w:rPr>
        <w:t xml:space="preserve">Post-Soviet Affairs</w:t>
      </w:r>
      <w:r>
        <w:t xml:space="preserve"> </w:t>
      </w:r>
      <w:r>
        <w:t xml:space="preserve">16 (3): 201–24.</w:t>
      </w:r>
      <w:r>
        <w:t xml:space="preserve"> </w:t>
      </w:r>
      <w:hyperlink r:id="rId39">
        <w:r>
          <w:rPr>
            <w:rStyle w:val="Hyperlink"/>
          </w:rPr>
          <w:t xml:space="preserve">https://doi.org/10.1080/1060586X.2000.10641486</w:t>
        </w:r>
      </w:hyperlink>
      <w:r>
        <w:t xml:space="preserve">.</w:t>
      </w:r>
    </w:p>
    <w:bookmarkEnd w:id="40"/>
    <w:bookmarkStart w:id="42" w:name="ref-Simon2001"/>
    <w:p>
      <w:pPr>
        <w:pStyle w:val="Bibliography"/>
      </w:pPr>
      <w:r>
        <w:t xml:space="preserve">Simon, G. 2001. “Russia and Ukraine Ten Years After the Fall of the Communist Regimes: Similarities and Differences.”</w:t>
      </w:r>
      <w:r>
        <w:t xml:space="preserve"> </w:t>
      </w:r>
      <w:r>
        <w:rPr>
          <w:i/>
        </w:rPr>
        <w:t xml:space="preserve">Russian Politics &amp; Law</w:t>
      </w:r>
      <w:r>
        <w:t xml:space="preserve"> </w:t>
      </w:r>
      <w:r>
        <w:t xml:space="preserve">39 (6): 74–79.</w:t>
      </w:r>
      <w:r>
        <w:t xml:space="preserve"> </w:t>
      </w:r>
      <w:hyperlink r:id="rId41">
        <w:r>
          <w:rPr>
            <w:rStyle w:val="Hyperlink"/>
          </w:rPr>
          <w:t xml:space="preserve">https://doi.org/10.2753/RUP1061-1940390674</w:t>
        </w:r>
      </w:hyperlink>
      <w:r>
        <w:t xml:space="preserve">.</w:t>
      </w:r>
    </w:p>
    <w:bookmarkEnd w:id="42"/>
    <w:bookmarkStart w:id="43" w:name="ref-whitefield2002political"/>
    <w:p>
      <w:pPr>
        <w:pStyle w:val="Bibliography"/>
      </w:pPr>
      <w:r>
        <w:t xml:space="preserve">Whitefield, Stephen. 2002. “Political cleavages and post-communist politics.”</w:t>
      </w:r>
      <w:r>
        <w:t xml:space="preserve"> </w:t>
      </w:r>
      <w:r>
        <w:rPr>
          <w:i/>
        </w:rPr>
        <w:t xml:space="preserve">Annual Review of Political Science</w:t>
      </w:r>
      <w:r>
        <w:t xml:space="preserve"> </w:t>
      </w:r>
      <w:r>
        <w:t xml:space="preserve">5 (1): 181–200.</w:t>
      </w:r>
    </w:p>
    <w:bookmarkEnd w:id="43"/>
    <w:bookmarkEnd w:id="44"/>
    <w:sectPr w:rsidR="00705C26">
      <w:pgSz w:w="12240" w:h="15840"/>
      <w:pgMar w:top="1134" w:right="850" w:bottom="1134"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Affiliation,</w:t>
      </w:r>
      <w:r>
        <w:t xml:space="preserve"> </w:t>
      </w:r>
      <w:hyperlink r:id="rId21">
        <w:r>
          <w:rPr>
            <w:rStyle w:val="Hyperlink"/>
          </w:rPr>
          <w:t xml:space="preserve">email@email.com</w:t>
        </w:r>
      </w:hyperlink>
    </w:p>
  </w:footnote>
  <w:footnote w:id="22">
    <w:p>
      <w:pPr>
        <w:pStyle w:val="FootnoteText"/>
      </w:pPr>
      <w:r>
        <w:rPr>
          <w:rStyle w:val="FootnoteReference"/>
        </w:rPr>
        <w:footnoteRef/>
      </w:r>
      <w:r>
        <w:t xml:space="preserve"> </w:t>
      </w:r>
      <w:r>
        <w:t xml:space="preserve">Affiliation,</w:t>
      </w:r>
      <w:r>
        <w:t xml:space="preserve"> </w:t>
      </w:r>
      <w:hyperlink r:id="rId21">
        <w:r>
          <w:rPr>
            <w:rStyle w:val="Hyperlink"/>
          </w:rPr>
          <w:t xml:space="preserve">email@email.com</w:t>
        </w:r>
      </w:hyperlink>
    </w:p>
  </w:footnote>
  <w:footnote w:id="23">
    <w:p>
      <w:pPr>
        <w:pStyle w:val="FootnoteText"/>
      </w:pPr>
      <w:r>
        <w:rPr>
          <w:rStyle w:val="FootnoteReference"/>
        </w:rPr>
        <w:footnoteRef/>
      </w:r>
      <w:r>
        <w:t xml:space="preserve"> </w:t>
      </w:r>
      <w:r>
        <w:t xml:space="preserve">Affiliation,</w:t>
      </w:r>
      <w:r>
        <w:t xml:space="preserve"> </w:t>
      </w:r>
      <w:hyperlink r:id="rId21">
        <w:r>
          <w:rPr>
            <w:rStyle w:val="Hyperlink"/>
          </w:rPr>
          <w:t xml:space="preserve">email@email.com</w:t>
        </w:r>
      </w:hyperlink>
    </w:p>
  </w:footnote>
  <w:footnote w:id="25">
    <w:p>
      <w:pPr>
        <w:pStyle w:val="FootnoteText"/>
      </w:pPr>
      <w:r>
        <w:rPr>
          <w:rStyle w:val="FootnoteReference"/>
        </w:rPr>
        <w:footnoteRef/>
      </w:r>
      <w:r>
        <w:t xml:space="preserve"> </w:t>
      </w:r>
      <w:r>
        <w:t xml:space="preserve">Footnote text</w:t>
      </w:r>
    </w:p>
  </w:footnote>
  <w:footnote w:id="26">
    <w:p>
      <w:pPr>
        <w:pStyle w:val="FootnoteText"/>
      </w:pPr>
      <w:r>
        <w:rPr>
          <w:rStyle w:val="FootnoteReference"/>
        </w:rPr>
        <w:footnoteRef/>
      </w:r>
      <w:r>
        <w:t xml:space="preserve"> </w:t>
      </w:r>
      <w:r>
        <w:t xml:space="preserve">More footnotes.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19C98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9A48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7E21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67CD5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2EE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5CD0A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E880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CAE7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EC488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604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6EE0D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200557E"/>
    <w:multiLevelType w:val="hybridMultilevel"/>
    <w:tmpl w:val="1E9C9396"/>
    <w:lvl w:ilvl="0" w:tplc="FE9411E2">
      <w:start w:val="1"/>
      <w:numFmt w:val="decimal"/>
      <w:pStyle w:val="TableCaption"/>
      <w:lvlText w:val="Table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5850FEB"/>
    <w:multiLevelType w:val="hybridMultilevel"/>
    <w:tmpl w:val="B730554A"/>
    <w:lvl w:ilvl="0" w:tplc="5FF00FE8">
      <w:start w:val="1"/>
      <w:numFmt w:val="decimal"/>
      <w:pStyle w:val="ImageCaption"/>
      <w:lvlText w:val="Figure %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74FDD"/>
    <w:pPr>
      <w:keepNext/>
      <w:keepLines/>
      <w:spacing w:before="200" w:after="100" w:afterAutospacing="1"/>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55C6B"/>
    <w:pPr>
      <w:spacing w:before="180" w:after="180" w:line="480" w:lineRule="auto"/>
      <w:ind w:firstLine="720"/>
    </w:pPr>
  </w:style>
  <w:style w:type="paragraph" w:customStyle="1" w:styleId="FirstParagraph">
    <w:name w:val="First Paragraph"/>
    <w:basedOn w:val="BodyText"/>
    <w:next w:val="BodyText"/>
    <w:qFormat/>
    <w:rsid w:val="00F55C6B"/>
  </w:style>
  <w:style w:type="paragraph" w:customStyle="1" w:styleId="Compact">
    <w:name w:val="Compact"/>
    <w:basedOn w:val="BodyText"/>
    <w:qFormat/>
    <w:pPr>
      <w:spacing w:before="36" w:after="36"/>
    </w:pPr>
  </w:style>
  <w:style w:type="paragraph" w:styleId="Title">
    <w:name w:val="Title"/>
    <w:basedOn w:val="Normal"/>
    <w:next w:val="BodyText"/>
    <w:qFormat/>
    <w:rsid w:val="00F55C6B"/>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131E1E"/>
    <w:pPr>
      <w:keepNext/>
      <w:keepLines/>
      <w:spacing w:before="300" w:after="300" w:line="480" w:lineRule="auto"/>
      <w:ind w:firstLine="720"/>
    </w:pPr>
    <w:rPr>
      <w:sz w:val="20"/>
      <w:szCs w:val="20"/>
    </w:rPr>
  </w:style>
  <w:style w:type="paragraph" w:styleId="Bibliography">
    <w:name w:val="Bibliography"/>
    <w:basedOn w:val="Normal"/>
    <w:qFormat/>
    <w:rsid w:val="00F55C6B"/>
    <w:pPr>
      <w:ind w:left="720" w:hanging="720"/>
    </w:p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F55C6B"/>
    <w:pPr>
      <w:keepNext/>
      <w:numPr>
        <w:numId w:val="13"/>
      </w:numPr>
      <w:jc w:val="center"/>
    </w:pPr>
  </w:style>
  <w:style w:type="paragraph" w:customStyle="1" w:styleId="ImageCaption">
    <w:name w:val="Image Caption"/>
    <w:basedOn w:val="Caption"/>
    <w:rsid w:val="002E7FA9"/>
    <w:pPr>
      <w:numPr>
        <w:numId w:val="12"/>
      </w:num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AE1188"/>
    <w:rPr>
      <w:color w:val="auto"/>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55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30" Target="media/rId30.png" /><Relationship Type="http://schemas.openxmlformats.org/officeDocument/2006/relationships/hyperlink" Id="rId37" Target="https://doi.org/10.1080/09668136.2014.1002679" TargetMode="External" /><Relationship Type="http://schemas.openxmlformats.org/officeDocument/2006/relationships/hyperlink" Id="rId39" Target="https://doi.org/10.1080/1060586X.2000.10641486" TargetMode="External" /><Relationship Type="http://schemas.openxmlformats.org/officeDocument/2006/relationships/hyperlink" Id="rId41" Target="https://doi.org/10.2753/RUP1061-1940390674" TargetMode="External" /><Relationship Type="http://schemas.openxmlformats.org/officeDocument/2006/relationships/hyperlink" Id="rId21" Target="mailto:email@e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80/09668136.2014.1002679" TargetMode="External" /><Relationship Type="http://schemas.openxmlformats.org/officeDocument/2006/relationships/hyperlink" Id="rId39" Target="https://doi.org/10.1080/1060586X.2000.10641486" TargetMode="External" /><Relationship Type="http://schemas.openxmlformats.org/officeDocument/2006/relationships/hyperlink" Id="rId41" Target="https://doi.org/10.2753/RUP1061-1940390674" TargetMode="External" /><Relationship Type="http://schemas.openxmlformats.org/officeDocument/2006/relationships/hyperlink" Id="rId21" Target="mailto:email@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groundbreaking paper: Introduction</dc:title>
  <dc:creator>First Author; Second Author; Many-more Authors</dc:creator>
  <cp:keywords/>
  <dcterms:created xsi:type="dcterms:W3CDTF">2020-06-11T09:11:47Z</dcterms:created>
  <dcterms:modified xsi:type="dcterms:W3CDTF">2020-06-11T09:11:47Z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From the generator of random text: She travelling acceptance men unpleasant her especially entreaties law. Law forth but end any arise chief arose. Old her say learn these large. Joy fond many ham high seen this. Few preferred continual sir led incommode neglected. Discovered too old insensible collecting unpleasant but invitation.</vt:lpwstr>
  </property>
  <property fmtid="{D5CDD505-2E9C-101B-9397-08002B2CF9AE}" pid="3" name="bibliography">
    <vt:lpwstr>../example.bib</vt:lpwstr>
  </property>
  <property fmtid="{D5CDD505-2E9C-101B-9397-08002B2CF9AE}" pid="4" name="nocite">
    <vt:lpwstr>@*</vt:lpwstr>
  </property>
  <property fmtid="{D5CDD505-2E9C-101B-9397-08002B2CF9AE}" pid="5" name="output">
    <vt:lpwstr/>
  </property>
</Properties>
</file>