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5C" w:rsidRDefault="0065365C" w:rsidP="00E105B5">
      <w:pPr>
        <w:pStyle w:val="Heading1"/>
      </w:pPr>
      <w:r>
        <w:t>Introduction</w:t>
      </w:r>
    </w:p>
    <w:p w:rsidR="0065365C" w:rsidRPr="0065365C" w:rsidRDefault="0065365C" w:rsidP="0065365C"/>
    <w:p w:rsidR="006A1AB1" w:rsidRPr="006A1AB1" w:rsidRDefault="00414873" w:rsidP="00E105B5">
      <w:pPr>
        <w:pStyle w:val="Heading1"/>
      </w:pPr>
      <w:r>
        <w:t>Data</w:t>
      </w:r>
    </w:p>
    <w:p w:rsidR="00414873" w:rsidRDefault="00414873" w:rsidP="00414873">
      <w:r>
        <w:t>We used composed daily zero coupon German Treasury bond prices with rolling 2, 5 and 10 year maturity from Bloomberg. Every day they picked most liquid bonds and on-the-run bonds and calculated the composite market price.</w:t>
      </w:r>
    </w:p>
    <w:p w:rsidR="00414873" w:rsidRDefault="00414873" w:rsidP="00414873">
      <w:r>
        <w:t>The time span is from January 1, 2006 to October 8, 2013. In total, we have 2027 daily data points.</w:t>
      </w:r>
    </w:p>
    <w:p w:rsidR="009E20A2" w:rsidRDefault="009E20A2" w:rsidP="00414873">
      <w:r>
        <w:t>The price evolution of the bonds can be found in the chart below.</w:t>
      </w:r>
    </w:p>
    <w:p w:rsidR="009E20A2" w:rsidRDefault="006A1AB1" w:rsidP="006A1AB1">
      <w:pPr>
        <w:jc w:val="center"/>
      </w:pPr>
      <w:r>
        <w:rPr>
          <w:noProof/>
        </w:rPr>
        <w:drawing>
          <wp:inline distT="0" distB="0" distL="0" distR="0">
            <wp:extent cx="2989384" cy="172240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d_pric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74" cy="17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EE" w:rsidRPr="005B18EE" w:rsidRDefault="009E20A2" w:rsidP="00E105B5">
      <w:pPr>
        <w:pStyle w:val="Heading1"/>
      </w:pPr>
      <w:r>
        <w:t>Assumptions</w:t>
      </w:r>
    </w:p>
    <w:p w:rsidR="009E20A2" w:rsidRDefault="009E20A2" w:rsidP="009E20A2">
      <w:r>
        <w:t>In general, we assumed that the maturity of all the data in our sample is exactly 2, 5 and 10 years. For each of the models we assumed the individual SDE dynamics for the short rate and solutions for the bond prices. Even though all the model</w:t>
      </w:r>
      <w:r w:rsidR="004C4413">
        <w:t>s</w:t>
      </w:r>
      <w:r>
        <w:t xml:space="preserve"> assume</w:t>
      </w:r>
      <w:r w:rsidR="004C4413">
        <w:t>d</w:t>
      </w:r>
      <w:r>
        <w:t xml:space="preserve"> constant parameters over time, we have performed the optimization every day in order to </w:t>
      </w:r>
      <w:r w:rsidR="004C4413">
        <w:t xml:space="preserve">get a better understanding </w:t>
      </w:r>
      <w:r w:rsidR="005B18EE">
        <w:t xml:space="preserve">of </w:t>
      </w:r>
      <w:r w:rsidR="004C4413">
        <w:t>how these parameters behave over time.</w:t>
      </w:r>
    </w:p>
    <w:p w:rsidR="006A1AB1" w:rsidRDefault="005B18EE" w:rsidP="009E20A2">
      <w:r>
        <w:t xml:space="preserve">We assumed that the model parameters are </w:t>
      </w:r>
      <w:r w:rsidRPr="005B18EE">
        <w:rPr>
          <w:i/>
        </w:rPr>
        <w:t>a</w:t>
      </w:r>
      <w:r>
        <w:t xml:space="preserve">, </w:t>
      </w:r>
      <w:r w:rsidRPr="005B18EE">
        <w:rPr>
          <w:i/>
        </w:rPr>
        <w:t>b</w:t>
      </w:r>
      <w:r>
        <w:t xml:space="preserve">, </w:t>
      </w:r>
      <w:r w:rsidRPr="005B18EE">
        <w:rPr>
          <w:i/>
        </w:rPr>
        <w:t>sigma</w:t>
      </w:r>
      <w:r>
        <w:t xml:space="preserve"> and </w:t>
      </w:r>
      <w:proofErr w:type="gramStart"/>
      <w:r w:rsidRPr="005B18EE">
        <w:rPr>
          <w:i/>
        </w:rPr>
        <w:t>r(</w:t>
      </w:r>
      <w:proofErr w:type="gramEnd"/>
      <w:r w:rsidRPr="005B18EE">
        <w:rPr>
          <w:i/>
        </w:rPr>
        <w:t>0)</w:t>
      </w:r>
      <w:r>
        <w:t xml:space="preserve"> for </w:t>
      </w:r>
      <w:proofErr w:type="spellStart"/>
      <w:r>
        <w:t>Vasi</w:t>
      </w:r>
      <w:r w:rsidR="006A1AB1">
        <w:t>cek</w:t>
      </w:r>
      <w:proofErr w:type="spellEnd"/>
      <w:r w:rsidR="006A1AB1">
        <w:t xml:space="preserve"> and CIR and Beta0, Beta1, Beta2 and </w:t>
      </w:r>
      <w:r w:rsidR="00B67F41">
        <w:t>m</w:t>
      </w:r>
      <w:r>
        <w:t xml:space="preserve"> for Nelson-Siegel model. </w:t>
      </w:r>
    </w:p>
    <w:p w:rsidR="004C4413" w:rsidRDefault="004C4413" w:rsidP="009E20A2">
      <w:r>
        <w:t xml:space="preserve">Even though the three bonds seem to be a small sample to perform </w:t>
      </w:r>
      <w:r w:rsidR="005B18EE">
        <w:t xml:space="preserve">the estimation, we found that optimal values of parameters remain quite stable over short period of time. </w:t>
      </w:r>
    </w:p>
    <w:p w:rsidR="00856C96" w:rsidRDefault="00856C96" w:rsidP="009E20A2"/>
    <w:p w:rsidR="006A1AB1" w:rsidRDefault="006A1AB1">
      <w:pPr>
        <w:rPr>
          <w:rFonts w:ascii="cmbx10" w:eastAsiaTheme="majorEastAsia" w:hAnsi="cmbx10" w:cstheme="majorBidi"/>
          <w:bCs/>
          <w:color w:val="000000" w:themeColor="text1"/>
          <w:sz w:val="32"/>
          <w:szCs w:val="28"/>
        </w:rPr>
      </w:pPr>
      <w:r>
        <w:br w:type="page"/>
      </w:r>
    </w:p>
    <w:p w:rsidR="00172B3D" w:rsidRPr="00172B3D" w:rsidRDefault="00172B3D" w:rsidP="00172B3D">
      <w:pPr>
        <w:pStyle w:val="Heading1"/>
      </w:pPr>
      <w:r>
        <w:lastRenderedPageBreak/>
        <w:t>Introduction to Models</w:t>
      </w:r>
    </w:p>
    <w:p w:rsidR="00172B3D" w:rsidRPr="00275784" w:rsidRDefault="00172B3D" w:rsidP="00172B3D">
      <w:r w:rsidRPr="00275784">
        <w:rPr>
          <w:rFonts w:hint="eastAsia"/>
        </w:rPr>
        <w:t>The</w:t>
      </w:r>
      <w:r>
        <w:t xml:space="preserve"> </w:t>
      </w:r>
      <w:proofErr w:type="spellStart"/>
      <w:r w:rsidRPr="00172B3D">
        <w:rPr>
          <w:b/>
        </w:rPr>
        <w:t>Vasicek</w:t>
      </w:r>
      <w:proofErr w:type="spellEnd"/>
      <w:r w:rsidRPr="00275784">
        <w:rPr>
          <w:rFonts w:hint="eastAsia"/>
        </w:rPr>
        <w:t xml:space="preserve"> model goes as follows:</w:t>
      </w:r>
    </w:p>
    <w:p w:rsidR="00172B3D" w:rsidRPr="00172B3D" w:rsidRDefault="00172B3D" w:rsidP="00172B3D">
      <m:oMathPara>
        <m:oMath>
          <m:r>
            <m:rPr>
              <m:sty m:val="p"/>
            </m:rPr>
            <w:rPr>
              <w:rFonts w:ascii="Cambria Math" w:hAnsi="Cambria Math"/>
            </w:rPr>
            <m:t>dr=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b-ar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dt+σdW</m:t>
          </m:r>
        </m:oMath>
      </m:oMathPara>
    </w:p>
    <w:p w:rsidR="00172B3D" w:rsidRPr="00172B3D" w:rsidRDefault="00172B3D" w:rsidP="00172B3D">
      <w:r w:rsidRPr="00275784">
        <w:rPr>
          <w:rFonts w:hint="eastAsia"/>
        </w:rPr>
        <w:t xml:space="preserve">In </w:t>
      </w:r>
      <w:proofErr w:type="spellStart"/>
      <w:r w:rsidRPr="00275784">
        <w:rPr>
          <w:rFonts w:hint="eastAsia"/>
        </w:rPr>
        <w:t>Vasicek</w:t>
      </w:r>
      <w:proofErr w:type="spellEnd"/>
      <w:r w:rsidRPr="00275784">
        <w:rPr>
          <w:rFonts w:hint="eastAsia"/>
        </w:rPr>
        <w:t xml:space="preserve"> Model, bond prices are given by</w:t>
      </w:r>
      <w:r>
        <w:t>:</w:t>
      </w:r>
    </w:p>
    <w:p w:rsidR="00172B3D" w:rsidRPr="00275784" w:rsidRDefault="00172B3D" w:rsidP="00172B3D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172B3D" w:rsidRDefault="00172B3D" w:rsidP="00172B3D">
      <w:proofErr w:type="gramStart"/>
      <w:r>
        <w:rPr>
          <w:rFonts w:hint="eastAsia"/>
        </w:rPr>
        <w:t>where</w:t>
      </w:r>
      <w:proofErr w:type="gramEnd"/>
      <w:r>
        <w:t>:</w:t>
      </w:r>
    </w:p>
    <w:p w:rsidR="00172B3D" w:rsidRDefault="00172B3D" w:rsidP="00172B3D">
      <w:pPr>
        <w:rPr>
          <w:rFonts w:ascii="Times New Roman" w:hAnsi="Times New Roman" w:cs="Times New Roman"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{1-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}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-T+t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4a</m:t>
                      </m:r>
                    </m:den>
                  </m:f>
                </m:e>
              </m:eqArr>
            </m:e>
          </m:d>
        </m:oMath>
      </m:oMathPara>
    </w:p>
    <w:p w:rsidR="00172B3D" w:rsidRDefault="00172B3D" w:rsidP="00172B3D">
      <w:r>
        <w:rPr>
          <w:rFonts w:hint="eastAsia"/>
        </w:rPr>
        <w:t xml:space="preserve">The </w:t>
      </w:r>
      <w:r w:rsidRPr="00172B3D">
        <w:rPr>
          <w:b/>
        </w:rPr>
        <w:t xml:space="preserve">CIR </w:t>
      </w:r>
      <w:r>
        <w:rPr>
          <w:rFonts w:hint="eastAsia"/>
        </w:rPr>
        <w:t>model goes as follows:</w:t>
      </w:r>
    </w:p>
    <w:p w:rsidR="00172B3D" w:rsidRPr="00172B3D" w:rsidRDefault="00172B3D" w:rsidP="00172B3D">
      <m:oMathPara>
        <m:oMath>
          <m:r>
            <m:rPr>
              <m:sty m:val="p"/>
            </m:rPr>
            <w:rPr>
              <w:rFonts w:ascii="Cambria Math" w:hAnsi="Cambria Math"/>
            </w:rPr>
            <m:t>dr=a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b-r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dt+σ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</m:t>
              </m:r>
            </m:e>
          </m:rad>
          <m:r>
            <w:rPr>
              <w:rFonts w:ascii="Cambria Math" w:hAnsi="Cambria Math"/>
            </w:rPr>
            <m:t>dW</m:t>
          </m:r>
        </m:oMath>
      </m:oMathPara>
    </w:p>
    <w:p w:rsidR="00172B3D" w:rsidRDefault="00172B3D" w:rsidP="00172B3D">
      <w:r>
        <w:rPr>
          <w:rFonts w:hint="eastAsia"/>
        </w:rPr>
        <w:t>In CIR model, the term structure is given by</w:t>
      </w:r>
      <w:r>
        <w:t>:</w:t>
      </w:r>
    </w:p>
    <w:p w:rsidR="00172B3D" w:rsidRPr="00F337A9" w:rsidRDefault="00172B3D" w:rsidP="00172B3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  <m:r>
                <w:rPr>
                  <w:rFonts w:ascii="Cambria Math" w:hAnsi="Cambria Math"/>
                </w:rPr>
                <m:t>r</m:t>
              </m:r>
            </m:sup>
          </m:sSup>
        </m:oMath>
      </m:oMathPara>
    </w:p>
    <w:p w:rsidR="00172B3D" w:rsidRDefault="00172B3D" w:rsidP="00172B3D">
      <w:proofErr w:type="gramStart"/>
      <w:r>
        <w:rPr>
          <w:rFonts w:hint="eastAsia"/>
        </w:rPr>
        <w:t>where</w:t>
      </w:r>
      <w:proofErr w:type="gramEnd"/>
    </w:p>
    <w:p w:rsidR="00172B3D" w:rsidRDefault="00172B3D" w:rsidP="00172B3D">
      <w:pPr>
        <w:rPr>
          <w:rFonts w:ascii="Times New Roman" w:hAnsi="Times New Roman" w:cs="Times New Roman"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γx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2"/>
                        </w:rPr>
                        <m:t>-1)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γ+a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γx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</w:rPr>
                        <m:t>+2γ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2γ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(a+γ)(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)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γ+a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γx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+2γ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2ab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eqArr>
            </m:e>
          </m:d>
        </m:oMath>
      </m:oMathPara>
    </w:p>
    <w:p w:rsidR="00172B3D" w:rsidRDefault="00172B3D" w:rsidP="00172B3D">
      <w:r>
        <w:rPr>
          <w:rFonts w:hint="eastAsia"/>
        </w:rPr>
        <w:t xml:space="preserve">The </w:t>
      </w:r>
      <w:r w:rsidRPr="00172B3D">
        <w:rPr>
          <w:rFonts w:hint="eastAsia"/>
          <w:b/>
        </w:rPr>
        <w:t>Nelson-Siegel</w:t>
      </w:r>
      <w:r>
        <w:rPr>
          <w:rFonts w:hint="eastAsia"/>
        </w:rPr>
        <w:t xml:space="preserve"> </w:t>
      </w:r>
      <w:r>
        <w:t>model proposes</w:t>
      </w:r>
      <w:r>
        <w:rPr>
          <w:rFonts w:hint="eastAsia"/>
        </w:rPr>
        <w:t xml:space="preserve"> that the instantaneous forward curve can be modeled with the following:</w:t>
      </w:r>
    </w:p>
    <w:p w:rsidR="00172B3D" w:rsidRDefault="00172B3D" w:rsidP="00172B3D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172B3D" w:rsidRPr="00275784" w:rsidRDefault="00172B3D" w:rsidP="00172B3D">
      <w:r>
        <w:rPr>
          <w:rFonts w:hint="eastAsia"/>
        </w:rPr>
        <w:t xml:space="preserve">This can be </w:t>
      </w:r>
      <w:r>
        <w:t>integrated</w:t>
      </w:r>
      <w:r>
        <w:rPr>
          <w:rFonts w:hint="eastAsia"/>
        </w:rPr>
        <w:t xml:space="preserve"> to derive an equation for the zero </w:t>
      </w:r>
      <w:proofErr w:type="gramStart"/>
      <w:r>
        <w:rPr>
          <w:rFonts w:hint="eastAsia"/>
        </w:rPr>
        <w:t>curve</w:t>
      </w:r>
      <w:proofErr w:type="gramEnd"/>
      <w:r>
        <w:t>:</w:t>
      </w:r>
    </w:p>
    <w:p w:rsidR="00B67F41" w:rsidRPr="00172B3D" w:rsidRDefault="00172B3D" w:rsidP="00172B3D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 xml:space="preserve">s=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hAnsi="Cambria Math"/>
                  </w:rPr>
                  <m:t>(1-e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-m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r w:rsidR="00B67F41">
        <w:br w:type="page"/>
      </w:r>
    </w:p>
    <w:p w:rsidR="00856C96" w:rsidRDefault="00856C96" w:rsidP="0051081F">
      <w:pPr>
        <w:pStyle w:val="Heading1"/>
      </w:pPr>
      <w:r>
        <w:lastRenderedPageBreak/>
        <w:t>Techniques</w:t>
      </w:r>
    </w:p>
    <w:p w:rsidR="005D3200" w:rsidRDefault="00856C96" w:rsidP="00856C96">
      <w:r>
        <w:t xml:space="preserve">We used interior point algorithm to perform the optimization in order to minimize the </w:t>
      </w:r>
      <w:r w:rsidR="008E5179">
        <w:t xml:space="preserve">sum of squared errors between theoretical and market bond prices. This is a build in Matlab function called </w:t>
      </w:r>
      <w:r w:rsidR="008E5179" w:rsidRPr="008E5179">
        <w:rPr>
          <w:i/>
        </w:rPr>
        <w:t>fmincon</w:t>
      </w:r>
      <w:r w:rsidR="008E5179">
        <w:t xml:space="preserve">. The boundaries for individual parameters (Vasicek and CIR) were set to </w:t>
      </w:r>
      <w:r w:rsidR="008E5179" w:rsidRPr="008E5179">
        <w:t xml:space="preserve">[-0.1; -0.1; -0.1; -0.1], </w:t>
      </w:r>
      <w:r w:rsidR="008E5179">
        <w:t xml:space="preserve">[0.4; 0.4; 0.4; 0.4]. We set the maximal number of iterations </w:t>
      </w:r>
      <w:r w:rsidR="00937FCF">
        <w:t>to 15,000;</w:t>
      </w:r>
      <w:r w:rsidR="008E5179">
        <w:t xml:space="preserve"> function and parameter tolerance to 1e-15 and maximal</w:t>
      </w:r>
      <w:r w:rsidR="00937FCF">
        <w:t xml:space="preserve"> number of</w:t>
      </w:r>
      <w:r w:rsidR="008E5179">
        <w:t xml:space="preserve"> function evaluations to 1000.</w:t>
      </w:r>
      <w:r w:rsidR="00937FCF">
        <w:t xml:space="preserve"> We believe that these values are reasonable enough to perform both fast and reliable parameter </w:t>
      </w:r>
      <w:r w:rsidR="0028241B">
        <w:t>e</w:t>
      </w:r>
      <w:r w:rsidR="00937FCF">
        <w:t>stimation.</w:t>
      </w:r>
    </w:p>
    <w:p w:rsidR="005D3200" w:rsidRDefault="005D3200" w:rsidP="0051081F">
      <w:pPr>
        <w:pStyle w:val="Heading1"/>
      </w:pPr>
      <w:r>
        <w:t>Results</w:t>
      </w:r>
    </w:p>
    <w:p w:rsidR="006A1AB1" w:rsidRDefault="006A1AB1" w:rsidP="005D3200">
      <w:r>
        <w:t>In this section we provide the results of our project. We will look at the time evolution of different parameters for individual models.</w:t>
      </w:r>
    </w:p>
    <w:p w:rsidR="006A1AB1" w:rsidRDefault="006A1AB1" w:rsidP="005D3200">
      <w:r>
        <w:t xml:space="preserve">First, we will look at the evolution of the short rate </w:t>
      </w:r>
      <w:proofErr w:type="gramStart"/>
      <w:r>
        <w:t>r(</w:t>
      </w:r>
      <w:proofErr w:type="gramEnd"/>
      <w:r>
        <w:t xml:space="preserve">0). Note that as a benchmark we have used overnight interbank interest rate. As you can see from the chart below the models produced reasonable approximation to the benchmark rate. However, the short rate in </w:t>
      </w:r>
      <w:proofErr w:type="spellStart"/>
      <w:r>
        <w:t>Vasicek</w:t>
      </w:r>
      <w:proofErr w:type="spellEnd"/>
      <w:r>
        <w:t xml:space="preserve"> model becomes negative after some time.</w:t>
      </w:r>
    </w:p>
    <w:p w:rsidR="006A1AB1" w:rsidRDefault="006A1AB1" w:rsidP="006A1AB1">
      <w:pPr>
        <w:jc w:val="center"/>
      </w:pPr>
      <w:r>
        <w:rPr>
          <w:noProof/>
        </w:rPr>
        <w:drawing>
          <wp:inline distT="0" distB="0" distL="0" distR="0">
            <wp:extent cx="3809277" cy="177359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rtR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307" cy="17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5D" w:rsidRDefault="006A1AB1" w:rsidP="005D3200">
      <w:r>
        <w:t xml:space="preserve">Next, we will look at the evolution of volatility in </w:t>
      </w:r>
      <w:proofErr w:type="spellStart"/>
      <w:r>
        <w:t>Vasicek</w:t>
      </w:r>
      <w:proofErr w:type="spellEnd"/>
      <w:r>
        <w:t xml:space="preserve"> and CIR model. Note, that in case of CIR model the volatility is expressed as Sigma*</w:t>
      </w:r>
      <w:proofErr w:type="spellStart"/>
      <w:r>
        <w:t>Sqrt</w:t>
      </w:r>
      <w:proofErr w:type="spellEnd"/>
      <w:r>
        <w:t>(</w:t>
      </w:r>
      <w:proofErr w:type="gramStart"/>
      <w:r>
        <w:t>r(</w:t>
      </w:r>
      <w:proofErr w:type="gramEnd"/>
      <w:r>
        <w:t>0))</w:t>
      </w:r>
      <w:r w:rsidR="0046295D">
        <w:t>. Again, for the period 2006-2009 both models give us almost the same values. However, in period 2010-2013 they differ quite substantially.</w:t>
      </w:r>
    </w:p>
    <w:p w:rsidR="0051081F" w:rsidRDefault="0051081F" w:rsidP="0051081F">
      <w:pPr>
        <w:jc w:val="center"/>
      </w:pPr>
      <w:r>
        <w:rPr>
          <w:noProof/>
        </w:rPr>
        <w:drawing>
          <wp:inline distT="0" distB="0" distL="0" distR="0">
            <wp:extent cx="3574228" cy="18764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atil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059" cy="18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B1" w:rsidRDefault="008E000D" w:rsidP="005D3200">
      <w:r>
        <w:lastRenderedPageBreak/>
        <w:t xml:space="preserve">And lastly, we will look at the long term interest rate implied by the models. In case of </w:t>
      </w:r>
      <w:proofErr w:type="spellStart"/>
      <w:r>
        <w:t>Vasicek</w:t>
      </w:r>
      <w:proofErr w:type="spellEnd"/>
      <w:r>
        <w:t xml:space="preserve"> it is b/a and in case of CIR it is b. We noticed large fluctuations due to the extremely volatile markets over this time span and the models had obviously a hard time to </w:t>
      </w:r>
      <w:r w:rsidR="006927E5">
        <w:t xml:space="preserve">approximate this value from the given bond data. Introduction of some smoothing function would help us to avoid huge spikes but it goes beyond the scope </w:t>
      </w:r>
      <w:proofErr w:type="spellStart"/>
      <w:r w:rsidR="006927E5">
        <w:t>f</w:t>
      </w:r>
      <w:proofErr w:type="spellEnd"/>
      <w:r w:rsidR="006927E5">
        <w:t xml:space="preserve"> this project.</w:t>
      </w:r>
    </w:p>
    <w:p w:rsidR="006927E5" w:rsidRDefault="00D600E4" w:rsidP="00D600E4">
      <w:pPr>
        <w:jc w:val="center"/>
      </w:pPr>
      <w:r>
        <w:rPr>
          <w:noProof/>
        </w:rPr>
        <w:drawing>
          <wp:inline distT="0" distB="0" distL="0" distR="0">
            <wp:extent cx="3997080" cy="19891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R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80" cy="19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E4" w:rsidRDefault="00B67F41" w:rsidP="005D3200">
      <w:r>
        <w:t>Now, we will look at the optimal coefficients of Nelson-Siegel model. We have encountered few issues during the optimization on certain days where the algorithm couldn</w:t>
      </w:r>
      <w:r>
        <w:rPr>
          <w:rFonts w:ascii="Arial" w:hAnsi="Arial" w:cs="Arial"/>
        </w:rPr>
        <w:t>’</w:t>
      </w:r>
      <w:r>
        <w:t xml:space="preserve">t find the optimal values. </w:t>
      </w:r>
    </w:p>
    <w:p w:rsidR="00B67F41" w:rsidRDefault="00B67F41" w:rsidP="00B67F41">
      <w:pPr>
        <w:jc w:val="center"/>
      </w:pPr>
      <w:r>
        <w:rPr>
          <w:noProof/>
        </w:rPr>
        <w:drawing>
          <wp:inline distT="0" distB="0" distL="0" distR="0">
            <wp:extent cx="4565650" cy="28086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8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41" w:rsidRDefault="00B67F41" w:rsidP="005D3200">
      <w:r>
        <w:t>In the picture above we can see the evolution of Beta0, Beta1, Beta2 and m parameters over time.</w:t>
      </w:r>
    </w:p>
    <w:p w:rsidR="00B67F41" w:rsidRDefault="00B67F41" w:rsidP="005D3200"/>
    <w:p w:rsidR="00B67F41" w:rsidRDefault="00B67F41" w:rsidP="005D3200"/>
    <w:p w:rsidR="00B67F41" w:rsidRDefault="00B67F41" w:rsidP="005D3200"/>
    <w:p w:rsidR="00B67F41" w:rsidRDefault="00B67F41" w:rsidP="005D3200">
      <w:r>
        <w:lastRenderedPageBreak/>
        <w:t xml:space="preserve">Finally, we look at the mean squared error between theoretical bond prices and market bond prices. The average mean squared error was </w:t>
      </w:r>
      <w:r w:rsidRPr="00B67F41">
        <w:t>1.4328e-07</w:t>
      </w:r>
      <w:r>
        <w:t xml:space="preserve">, </w:t>
      </w:r>
      <w:r w:rsidRPr="00B67F41">
        <w:t>1.7660e-05</w:t>
      </w:r>
      <w:r>
        <w:t xml:space="preserve"> and </w:t>
      </w:r>
      <w:r w:rsidRPr="00B67F41">
        <w:t>1.0980e-07</w:t>
      </w:r>
      <w:r>
        <w:t xml:space="preserve"> for </w:t>
      </w:r>
      <w:proofErr w:type="spellStart"/>
      <w:r>
        <w:t>Vasicek</w:t>
      </w:r>
      <w:proofErr w:type="spellEnd"/>
      <w:r>
        <w:t>, CIR and Nelson-Siegel, respectively. The evolution of mean squared error over time:</w:t>
      </w:r>
    </w:p>
    <w:p w:rsidR="00B67F41" w:rsidRDefault="00B67F41" w:rsidP="00B67F41">
      <w:pPr>
        <w:jc w:val="center"/>
      </w:pPr>
      <w:r>
        <w:rPr>
          <w:noProof/>
        </w:rPr>
        <w:drawing>
          <wp:inline distT="0" distB="0" distL="0" distR="0">
            <wp:extent cx="4009292" cy="212886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268" cy="21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9C" w:rsidRDefault="00CF799C" w:rsidP="00172B3D">
      <w:pPr>
        <w:pStyle w:val="Heading1"/>
      </w:pPr>
      <w:r>
        <w:t>Time Series Analysis</w:t>
      </w:r>
    </w:p>
    <w:p w:rsidR="00CF799C" w:rsidRPr="00CF799C" w:rsidRDefault="00CF799C" w:rsidP="00CF799C">
      <w:bookmarkStart w:id="0" w:name="_GoBack"/>
      <w:bookmarkEnd w:id="0"/>
    </w:p>
    <w:p w:rsidR="00172B3D" w:rsidRDefault="00172B3D" w:rsidP="00172B3D">
      <w:pPr>
        <w:pStyle w:val="Heading1"/>
      </w:pPr>
      <w:r>
        <w:t>Trading Strategy</w:t>
      </w:r>
    </w:p>
    <w:p w:rsidR="00172B3D" w:rsidRPr="00172B3D" w:rsidRDefault="0065365C" w:rsidP="00172B3D">
      <w:r w:rsidRPr="0065365C">
        <w:t xml:space="preserve">Utilizing the data from our time series analysis, we tried to predict the next day prices and trade accordingly. We have found that there is not a profitable trading strategy in using the data. If we could find a profitable strategy, the market would discover our strategy and eliminate profits. The market makes it difficult to find any advantage and limits the time if an advantage is found.    </w:t>
      </w:r>
    </w:p>
    <w:p w:rsidR="00856C96" w:rsidRPr="00856C96" w:rsidRDefault="00172B3D" w:rsidP="00172B3D">
      <w:pPr>
        <w:pStyle w:val="Heading1"/>
      </w:pPr>
      <w:r>
        <w:t>Conclusion</w:t>
      </w:r>
    </w:p>
    <w:sectPr w:rsidR="00856C96" w:rsidRPr="0085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A7"/>
    <w:rsid w:val="000B540A"/>
    <w:rsid w:val="00172B3D"/>
    <w:rsid w:val="0028241B"/>
    <w:rsid w:val="002B285B"/>
    <w:rsid w:val="00315776"/>
    <w:rsid w:val="003D64E4"/>
    <w:rsid w:val="00414873"/>
    <w:rsid w:val="0046295D"/>
    <w:rsid w:val="004813D1"/>
    <w:rsid w:val="004C4413"/>
    <w:rsid w:val="0051081F"/>
    <w:rsid w:val="00591CD2"/>
    <w:rsid w:val="005B18EE"/>
    <w:rsid w:val="005D3200"/>
    <w:rsid w:val="006101ED"/>
    <w:rsid w:val="0065365C"/>
    <w:rsid w:val="006927E5"/>
    <w:rsid w:val="006A1AB1"/>
    <w:rsid w:val="00856C96"/>
    <w:rsid w:val="0089401F"/>
    <w:rsid w:val="008E000D"/>
    <w:rsid w:val="008E300E"/>
    <w:rsid w:val="008E5179"/>
    <w:rsid w:val="00937FCF"/>
    <w:rsid w:val="009E14EE"/>
    <w:rsid w:val="009E20A2"/>
    <w:rsid w:val="00A45889"/>
    <w:rsid w:val="00AA61D8"/>
    <w:rsid w:val="00AC00C4"/>
    <w:rsid w:val="00AD27EC"/>
    <w:rsid w:val="00B67F41"/>
    <w:rsid w:val="00C34D0C"/>
    <w:rsid w:val="00CF799C"/>
    <w:rsid w:val="00D600E4"/>
    <w:rsid w:val="00DE7FA7"/>
    <w:rsid w:val="00E105B5"/>
    <w:rsid w:val="00E2721F"/>
    <w:rsid w:val="00F10216"/>
    <w:rsid w:val="00F6016E"/>
    <w:rsid w:val="00FB696B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A7"/>
    <w:rPr>
      <w:rFonts w:ascii="cmr10" w:hAnsi="cmr1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FA7"/>
    <w:pPr>
      <w:keepNext/>
      <w:keepLines/>
      <w:spacing w:before="480" w:after="0"/>
      <w:outlineLvl w:val="0"/>
    </w:pPr>
    <w:rPr>
      <w:rFonts w:ascii="cmbx10" w:eastAsiaTheme="majorEastAsia" w:hAnsi="cmbx10" w:cstheme="majorBidi"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A7"/>
    <w:rPr>
      <w:rFonts w:ascii="cmbx10" w:eastAsiaTheme="majorEastAsia" w:hAnsi="cmbx10" w:cstheme="majorBidi"/>
      <w:bCs/>
      <w:color w:val="000000" w:themeColor="text1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E7FA7"/>
    <w:rPr>
      <w:rFonts w:ascii="cmbx10" w:hAnsi="cmbx10"/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E7FA7"/>
    <w:rPr>
      <w:rFonts w:ascii="cmbx10" w:hAnsi="cmbx10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A7"/>
    <w:rPr>
      <w:rFonts w:ascii="cmr10" w:hAnsi="cmr1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FA7"/>
    <w:pPr>
      <w:keepNext/>
      <w:keepLines/>
      <w:spacing w:before="480" w:after="0"/>
      <w:outlineLvl w:val="0"/>
    </w:pPr>
    <w:rPr>
      <w:rFonts w:ascii="cmbx10" w:eastAsiaTheme="majorEastAsia" w:hAnsi="cmbx10" w:cstheme="majorBidi"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A7"/>
    <w:rPr>
      <w:rFonts w:ascii="cmbx10" w:eastAsiaTheme="majorEastAsia" w:hAnsi="cmbx10" w:cstheme="majorBidi"/>
      <w:bCs/>
      <w:color w:val="000000" w:themeColor="text1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E7FA7"/>
    <w:rPr>
      <w:rFonts w:ascii="cmbx10" w:hAnsi="cmbx10"/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E7FA7"/>
    <w:rPr>
      <w:rFonts w:ascii="cmbx10" w:hAnsi="cmbx10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12392-65E1-4A30-AB8F-0F5A031D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31</cp:revision>
  <dcterms:created xsi:type="dcterms:W3CDTF">2013-10-19T20:30:00Z</dcterms:created>
  <dcterms:modified xsi:type="dcterms:W3CDTF">2013-10-20T23:49:00Z</dcterms:modified>
</cp:coreProperties>
</file>