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48" w:rsidRDefault="00E51E48" w:rsidP="00E51E48">
      <w:pPr>
        <w:spacing w:after="0" w:line="240" w:lineRule="auto"/>
      </w:pPr>
      <w:r>
        <w:t>Patrick Liu</w:t>
      </w:r>
    </w:p>
    <w:p w:rsidR="00E51E48" w:rsidRDefault="00E51E48" w:rsidP="00E51E48">
      <w:pPr>
        <w:spacing w:after="0" w:line="240" w:lineRule="auto"/>
      </w:pPr>
      <w:r>
        <w:t>CS&amp;SS554</w:t>
      </w:r>
    </w:p>
    <w:p w:rsidR="00E51E48" w:rsidRDefault="00E51E48" w:rsidP="00E51E48">
      <w:pPr>
        <w:spacing w:after="0" w:line="240" w:lineRule="auto"/>
      </w:pPr>
      <w:r>
        <w:t>HW3</w:t>
      </w:r>
    </w:p>
    <w:p w:rsidR="00E51E48" w:rsidRDefault="00E51E48" w:rsidP="00E51E48">
      <w:pPr>
        <w:spacing w:after="0" w:line="240" w:lineRule="auto"/>
      </w:pPr>
      <w:r>
        <w:t>2/8/2017</w:t>
      </w:r>
    </w:p>
    <w:p w:rsidR="00E51E48" w:rsidRDefault="00E51E48" w:rsidP="00E51E48"/>
    <w:p w:rsidR="004D4D12" w:rsidRDefault="00E51E48" w:rsidP="00E51E48">
      <w:proofErr w:type="gramStart"/>
      <w:r>
        <w:t>1. )</w:t>
      </w:r>
      <w:proofErr w:type="gramEnd"/>
      <w:r>
        <w:t xml:space="preserve"> </w:t>
      </w:r>
    </w:p>
    <w:p w:rsidR="00E51E48" w:rsidRDefault="00E51E48" w:rsidP="00E51E48">
      <w:r>
        <w:t>Improved understanding of geographic variation and inequity in access to health resources within countries will play a key role in their abilities to effectively target policies and direct action towards the most vulnerable populations. Most estimates of routine vaccination coverage</w:t>
      </w:r>
      <w:r w:rsidR="004D4D12">
        <w:t xml:space="preserve"> (</w:t>
      </w:r>
      <w:proofErr w:type="spellStart"/>
      <w:r w:rsidR="004D4D12">
        <w:t>ie</w:t>
      </w:r>
      <w:proofErr w:type="spellEnd"/>
      <w:r w:rsidR="004D4D12">
        <w:t xml:space="preserve"> DPT3, MCV, Polio, BCG)</w:t>
      </w:r>
      <w:r>
        <w:t xml:space="preserve"> are reported at the national level—or sometimes admin1—and thus don’t provide enough detail for policymakers to understand</w:t>
      </w:r>
      <w:r w:rsidR="004D4D12">
        <w:t xml:space="preserve"> these disparities.</w:t>
      </w:r>
    </w:p>
    <w:p w:rsidR="00E51E48" w:rsidRDefault="004D4D12" w:rsidP="00E51E48">
      <w:r>
        <w:t>I am interested in mapping a surface of vacc</w:t>
      </w:r>
      <w:r w:rsidR="00CC57A0">
        <w:t>ination coverage for DPT, MCV, and/or PCV</w:t>
      </w:r>
      <w:r>
        <w:t xml:space="preserve"> in Uganda, a G</w:t>
      </w:r>
      <w:r w:rsidR="00CC57A0">
        <w:t>AVI country that, since 2000, has greatly improved access to vaccination but is still has a DTP coverage of 72% (GAVI HHS 2010) and is struggling to roll out newer vaccines such as PCV. Through this exercise, I hope to be able to understand the geographic disparities in routine vaccine coverage,</w:t>
      </w:r>
      <w:r w:rsidR="00403CC0">
        <w:t xml:space="preserve"> in newer generation vaccinations (</w:t>
      </w:r>
      <w:proofErr w:type="spellStart"/>
      <w:r w:rsidR="00403CC0">
        <w:t>ie</w:t>
      </w:r>
      <w:proofErr w:type="spellEnd"/>
      <w:r w:rsidR="00403CC0">
        <w:t xml:space="preserve"> PCV), and</w:t>
      </w:r>
      <w:r w:rsidR="00CC57A0">
        <w:t xml:space="preserve"> </w:t>
      </w:r>
      <w:r w:rsidR="00403CC0">
        <w:t>in drop-out between doses (DPT1-3, PCV1-3)</w:t>
      </w:r>
      <w:r w:rsidR="00CC57A0">
        <w:t xml:space="preserve">. </w:t>
      </w:r>
    </w:p>
    <w:p w:rsidR="00403CC0" w:rsidRDefault="00403CC0" w:rsidP="00E51E48">
      <w:r>
        <w:t>My primary data source will be the Uganda 2011 DHS (potentially earlier surveys), which is geo-located at the cluster level. I will plan to use pixel-level covariates from the University of Oxford (</w:t>
      </w:r>
      <w:proofErr w:type="spellStart"/>
      <w:r>
        <w:t>eg</w:t>
      </w:r>
      <w:proofErr w:type="spellEnd"/>
      <w:r>
        <w:t xml:space="preserve"> light at night, population) as covariates.</w:t>
      </w:r>
    </w:p>
    <w:p w:rsidR="00403CC0" w:rsidRDefault="00403CC0" w:rsidP="00E51E48">
      <w:r>
        <w:t xml:space="preserve">2.) My outcome(s) of interest is coverage of DPT1/2/3, MCV1, and/or PCV1/2/3, which are binomially distributed. Generalized model will be: </w:t>
      </w:r>
    </w:p>
    <w:p w:rsidR="00FE4469" w:rsidRPr="00FE4469" w:rsidRDefault="00FE4469" w:rsidP="00FE446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Y|p ~ Binomial(N, p)</m:t>
          </m:r>
        </m:oMath>
      </m:oMathPara>
    </w:p>
    <w:p w:rsidR="00FE4469" w:rsidRPr="00FE4469" w:rsidRDefault="00FE4469" w:rsidP="00FE446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logit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 Xβ+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FE4469" w:rsidRDefault="00FE4469" w:rsidP="00FE4469">
      <w:pPr>
        <w:jc w:val="center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ei|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~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AB18B1">
        <w:rPr>
          <w:rFonts w:eastAsiaTheme="minorEastAsia"/>
        </w:rPr>
        <w:t xml:space="preserve"> and S</w:t>
      </w:r>
      <w:bookmarkStart w:id="0" w:name="_GoBack"/>
      <w:bookmarkEnd w:id="0"/>
      <w:r>
        <w:rPr>
          <w:rFonts w:eastAsiaTheme="minorEastAsia"/>
        </w:rPr>
        <w:t xml:space="preserve"> are error terms with a spatial structure using the </w:t>
      </w:r>
      <w:proofErr w:type="spellStart"/>
      <w:r>
        <w:rPr>
          <w:rFonts w:eastAsiaTheme="minorEastAsia"/>
        </w:rPr>
        <w:t>Matern</w:t>
      </w:r>
      <w:proofErr w:type="spellEnd"/>
      <w:r>
        <w:rPr>
          <w:rFonts w:eastAsiaTheme="minorEastAsia"/>
        </w:rPr>
        <w:t xml:space="preserve"> covariance function</w:t>
      </w: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</w:p>
    <w:p w:rsidR="005E25A6" w:rsidRDefault="005E25A6" w:rsidP="005E25A6">
      <w:pPr>
        <w:rPr>
          <w:rFonts w:eastAsiaTheme="minorEastAsia"/>
        </w:rPr>
      </w:pPr>
      <w:r>
        <w:rPr>
          <w:rFonts w:eastAsiaTheme="minorEastAsia"/>
        </w:rPr>
        <w:lastRenderedPageBreak/>
        <w:t>3.)  Below is a map of the clusters in the 2011 DHS where data of coverage is available:</w:t>
      </w:r>
    </w:p>
    <w:p w:rsidR="005E25A6" w:rsidRDefault="005E25A6" w:rsidP="005E25A6">
      <w:pPr>
        <w:rPr>
          <w:rFonts w:eastAsiaTheme="minorEastAsia"/>
        </w:rPr>
      </w:pPr>
    </w:p>
    <w:p w:rsidR="00FE4469" w:rsidRPr="00FE4469" w:rsidRDefault="005E25A6" w:rsidP="005E25A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16C3315" wp14:editId="62E4CAF2">
            <wp:extent cx="5943600" cy="601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469">
        <w:rPr>
          <w:rFonts w:eastAsiaTheme="minorEastAsia"/>
        </w:rPr>
        <w:t xml:space="preserve"> </w:t>
      </w:r>
    </w:p>
    <w:p w:rsidR="00FE4469" w:rsidRPr="00FE4469" w:rsidRDefault="00FE4469" w:rsidP="00403CC0">
      <w:pPr>
        <w:jc w:val="center"/>
        <w:rPr>
          <w:rFonts w:eastAsiaTheme="minorEastAsia"/>
        </w:rPr>
      </w:pPr>
    </w:p>
    <w:p w:rsidR="00E51E48" w:rsidRDefault="00E51E48" w:rsidP="00E51E48">
      <w:r>
        <w:t xml:space="preserve"> </w:t>
      </w:r>
    </w:p>
    <w:p w:rsidR="00DA46B5" w:rsidRDefault="00DA46B5"/>
    <w:sectPr w:rsidR="00DA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48"/>
    <w:rsid w:val="00403CC0"/>
    <w:rsid w:val="004D4D12"/>
    <w:rsid w:val="005E25A6"/>
    <w:rsid w:val="00AB18B1"/>
    <w:rsid w:val="00CC57A0"/>
    <w:rsid w:val="00DA46B5"/>
    <w:rsid w:val="00E51E48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E9897-3396-40E8-BDF3-B3F6BA18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Patrick</dc:creator>
  <cp:keywords/>
  <dc:description/>
  <cp:lastModifiedBy>Liu Patrick</cp:lastModifiedBy>
  <cp:revision>2</cp:revision>
  <dcterms:created xsi:type="dcterms:W3CDTF">2017-02-08T14:30:00Z</dcterms:created>
  <dcterms:modified xsi:type="dcterms:W3CDTF">2017-02-08T18:15:00Z</dcterms:modified>
</cp:coreProperties>
</file>