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FA" w:rsidRDefault="003F25FA" w:rsidP="003F25FA">
      <w:pPr>
        <w:spacing w:after="0" w:line="240" w:lineRule="auto"/>
      </w:pPr>
      <w:r>
        <w:t>Patrick Liu</w:t>
      </w:r>
    </w:p>
    <w:p w:rsidR="003F25FA" w:rsidRDefault="003F25FA" w:rsidP="003F25FA">
      <w:pPr>
        <w:spacing w:after="0" w:line="240" w:lineRule="auto"/>
      </w:pPr>
      <w:r>
        <w:t>CS&amp;SS554</w:t>
      </w:r>
    </w:p>
    <w:p w:rsidR="003F25FA" w:rsidRDefault="00FE0207" w:rsidP="003F25FA">
      <w:pPr>
        <w:spacing w:after="0" w:line="240" w:lineRule="auto"/>
      </w:pPr>
      <w:r>
        <w:t>Homework 5</w:t>
      </w:r>
    </w:p>
    <w:p w:rsidR="00D215A2" w:rsidRDefault="00FE0207" w:rsidP="003F25FA">
      <w:r>
        <w:t>3/05</w:t>
      </w:r>
      <w:r w:rsidR="003F25FA">
        <w:t>/2017</w:t>
      </w:r>
    </w:p>
    <w:p w:rsidR="00D079FC" w:rsidRDefault="00D079FC" w:rsidP="007C041B"/>
    <w:p w:rsidR="007C041B" w:rsidRDefault="007C041B" w:rsidP="007C041B">
      <w:r>
        <w:t>We are exploring a dataset of the calcium content measured in soil samples (mmol</w:t>
      </w:r>
      <w:r>
        <w:rPr>
          <w:vertAlign w:val="subscript"/>
        </w:rPr>
        <w:t>c</w:t>
      </w:r>
      <w:r>
        <w:t>/dm</w:t>
      </w:r>
      <w:r>
        <w:rPr>
          <w:vertAlign w:val="superscript"/>
        </w:rPr>
        <w:t>3</w:t>
      </w:r>
      <w:r>
        <w:t>) taken from the 0-20 cm layer in 178 locations encompassed in our study area. The whole study area is further divided into 3 subregions: (1) an area that is typically flooded during the rain season—these represent natural content of calcium in the region, (2) an area that had received fertilisers a while ago, and (3) an area that recently received fertilisers. Included in this dataset are the calcium levels, the altitude at each point, and a factor variable for the sub area a point belongs to.</w:t>
      </w:r>
    </w:p>
    <w:p w:rsidR="00B544C2" w:rsidRDefault="00B544C2" w:rsidP="007C041B"/>
    <w:p w:rsidR="00D079FC" w:rsidRDefault="00B544C2" w:rsidP="003F25FA">
      <w:r>
        <w:t>We plan to model the data using two approaches, through the variogram and through an ordinary kriging model.</w:t>
      </w:r>
      <w:r w:rsidR="00CE51FC">
        <w:t xml:space="preserve"> </w:t>
      </w:r>
      <w:r w:rsidR="007C041B">
        <w:t xml:space="preserve">First, we prepare some exploratory plots to better understand the distribution of the data, and how it relates to our covariates. </w:t>
      </w:r>
      <w:bookmarkStart w:id="0" w:name="_GoBack"/>
      <w:bookmarkEnd w:id="0"/>
    </w:p>
    <w:p w:rsidR="00D079FC" w:rsidRPr="00D079FC" w:rsidRDefault="00D079FC" w:rsidP="003F25FA">
      <w:r>
        <w:t>The distribution of calcium looks relatively symmetrically distributed from a concentration of 20-80 mmol/dm</w:t>
      </w:r>
      <w:r>
        <w:rPr>
          <w:vertAlign w:val="superscript"/>
        </w:rPr>
        <w:t>3</w:t>
      </w:r>
      <w:r>
        <w:t xml:space="preserve">. </w:t>
      </w:r>
    </w:p>
    <w:p w:rsidR="007C041B" w:rsidRDefault="00493D32" w:rsidP="003F25FA">
      <w:r>
        <w:rPr>
          <w:noProof/>
        </w:rPr>
        <w:drawing>
          <wp:inline distT="0" distB="0" distL="0" distR="0">
            <wp:extent cx="2847975" cy="3301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FC" w:rsidRDefault="00D079FC" w:rsidP="003F25FA"/>
    <w:p w:rsidR="00D079FC" w:rsidRDefault="00D079FC" w:rsidP="003F25FA"/>
    <w:p w:rsidR="00D079FC" w:rsidRDefault="00D079FC" w:rsidP="003F25FA"/>
    <w:p w:rsidR="00D079FC" w:rsidRDefault="00D079FC" w:rsidP="003F25FA">
      <w:pPr>
        <w:rPr>
          <w:noProof/>
        </w:rPr>
      </w:pPr>
    </w:p>
    <w:p w:rsidR="00D079FC" w:rsidRDefault="00D079FC" w:rsidP="003F25FA">
      <w:pPr>
        <w:rPr>
          <w:noProof/>
        </w:rPr>
      </w:pPr>
      <w:r>
        <w:rPr>
          <w:noProof/>
        </w:rPr>
        <w:lastRenderedPageBreak/>
        <w:t>Concentration of calcium seems to increase with altitutde.</w:t>
      </w:r>
    </w:p>
    <w:p w:rsidR="00493D32" w:rsidRDefault="00493D32" w:rsidP="003F25FA">
      <w:r>
        <w:rPr>
          <w:noProof/>
        </w:rPr>
        <w:drawing>
          <wp:inline distT="0" distB="0" distL="0" distR="0" wp14:anchorId="62AE1AAD" wp14:editId="4C423D2F">
            <wp:extent cx="3051070" cy="30153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070" cy="30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FC" w:rsidRDefault="00D079FC" w:rsidP="003F25FA">
      <w:r>
        <w:t>The Mean concentration of calcium is increasing over the categories of designated</w:t>
      </w:r>
      <w:r w:rsidR="00EE110B">
        <w:t xml:space="preserve"> sub</w:t>
      </w:r>
      <w:r>
        <w:t xml:space="preserve"> areas. </w:t>
      </w:r>
    </w:p>
    <w:p w:rsidR="00493D32" w:rsidRDefault="00493D32" w:rsidP="003F25FA">
      <w:r>
        <w:rPr>
          <w:noProof/>
        </w:rPr>
        <w:drawing>
          <wp:inline distT="0" distB="0" distL="0" distR="0" wp14:anchorId="07FC6E92" wp14:editId="7A9F9AFA">
            <wp:extent cx="3283503" cy="32439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901" cy="32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CA" w:rsidRDefault="00B174CA" w:rsidP="003F25FA">
      <w:pPr>
        <w:rPr>
          <w:noProof/>
        </w:rPr>
      </w:pPr>
    </w:p>
    <w:p w:rsidR="00B174CA" w:rsidRDefault="00B174CA" w:rsidP="003F25FA">
      <w:pPr>
        <w:rPr>
          <w:noProof/>
        </w:rPr>
      </w:pPr>
    </w:p>
    <w:p w:rsidR="00B174CA" w:rsidRDefault="00B174CA" w:rsidP="003F25FA">
      <w:pPr>
        <w:rPr>
          <w:noProof/>
        </w:rPr>
      </w:pPr>
    </w:p>
    <w:p w:rsidR="00B174CA" w:rsidRDefault="00B174CA" w:rsidP="003F25FA">
      <w:pPr>
        <w:rPr>
          <w:noProof/>
        </w:rPr>
      </w:pPr>
    </w:p>
    <w:p w:rsidR="00B174CA" w:rsidRDefault="00B174CA" w:rsidP="003F25FA">
      <w:pPr>
        <w:rPr>
          <w:noProof/>
        </w:rPr>
      </w:pPr>
      <w:r>
        <w:rPr>
          <w:noProof/>
        </w:rPr>
        <w:lastRenderedPageBreak/>
        <w:t>We fit and plot Monte Carlo intervals of no spatial dependence, which shows that there is clear spacial dependence in the data.</w:t>
      </w:r>
    </w:p>
    <w:p w:rsidR="00B174CA" w:rsidRDefault="00B174CA" w:rsidP="003F25FA">
      <w:pPr>
        <w:rPr>
          <w:noProof/>
        </w:rPr>
      </w:pPr>
      <w:r>
        <w:rPr>
          <w:noProof/>
        </w:rPr>
        <w:drawing>
          <wp:inline distT="0" distB="0" distL="0" distR="0" wp14:anchorId="299FA2B0" wp14:editId="6C30F521">
            <wp:extent cx="3320143" cy="3362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1463" cy="33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4CA" w:rsidRDefault="00B174CA" w:rsidP="003F25FA">
      <w:pPr>
        <w:rPr>
          <w:noProof/>
        </w:rPr>
      </w:pPr>
      <w:r>
        <w:rPr>
          <w:noProof/>
        </w:rPr>
        <w:t xml:space="preserve">We first attempt to model the data using </w:t>
      </w:r>
      <w:r w:rsidR="00087450">
        <w:rPr>
          <w:noProof/>
        </w:rPr>
        <w:t>the variogram approach. We first get a sense of the emperical variogram by plotting the cloud and binned variograms.</w:t>
      </w:r>
    </w:p>
    <w:p w:rsidR="00493D32" w:rsidRDefault="00493D32" w:rsidP="003F25FA">
      <w:r>
        <w:rPr>
          <w:noProof/>
        </w:rPr>
        <w:drawing>
          <wp:inline distT="0" distB="0" distL="0" distR="0" wp14:anchorId="5E691175" wp14:editId="71526F39">
            <wp:extent cx="2569029" cy="2653366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35" cy="26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4CA">
        <w:rPr>
          <w:noProof/>
        </w:rPr>
        <w:drawing>
          <wp:inline distT="0" distB="0" distL="0" distR="0" wp14:anchorId="20620FEE" wp14:editId="6D09E6BD">
            <wp:extent cx="2489071" cy="25146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946" cy="25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8F" w:rsidRDefault="0081498F" w:rsidP="003F25FA"/>
    <w:p w:rsidR="0081498F" w:rsidRDefault="0081498F" w:rsidP="003F25FA"/>
    <w:p w:rsidR="00EE0A62" w:rsidRDefault="00EE0A62" w:rsidP="003F25FA"/>
    <w:p w:rsidR="00EE0A62" w:rsidRDefault="00EE0A62" w:rsidP="003F25FA">
      <w:r>
        <w:lastRenderedPageBreak/>
        <w:t>We next fit a series of models (1) OLS, (2) Weighted LS, (3) ML, (4) Restricted ML to estimate the variogram.</w:t>
      </w:r>
    </w:p>
    <w:p w:rsidR="00EE0A62" w:rsidRDefault="00EE0A62" w:rsidP="003F25FA"/>
    <w:p w:rsidR="000F5B83" w:rsidRDefault="000F5B83" w:rsidP="003F25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A62" w:rsidTr="00EE0A62">
        <w:tc>
          <w:tcPr>
            <w:tcW w:w="2337" w:type="dxa"/>
          </w:tcPr>
          <w:p w:rsidR="00EE0A62" w:rsidRDefault="00EE0A62" w:rsidP="003F25FA">
            <w:r>
              <w:t>Model</w:t>
            </w:r>
          </w:p>
        </w:tc>
        <w:tc>
          <w:tcPr>
            <w:tcW w:w="2337" w:type="dxa"/>
          </w:tcPr>
          <w:p w:rsidR="00EE0A62" w:rsidRDefault="00124A3E" w:rsidP="00124A3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EE0A62" w:rsidRDefault="00124A3E" w:rsidP="00B0220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EE0A62" w:rsidRDefault="00124A3E" w:rsidP="00B02204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/>
                </m:sSup>
              </m:oMath>
            </m:oMathPara>
          </w:p>
        </w:tc>
      </w:tr>
      <w:tr w:rsidR="00EE0A62" w:rsidTr="00EE0A62">
        <w:tc>
          <w:tcPr>
            <w:tcW w:w="2337" w:type="dxa"/>
          </w:tcPr>
          <w:p w:rsidR="00EE0A62" w:rsidRDefault="00EE0A62" w:rsidP="003F25FA">
            <w:r>
              <w:t>OLS</w:t>
            </w:r>
          </w:p>
        </w:tc>
        <w:tc>
          <w:tcPr>
            <w:tcW w:w="2337" w:type="dxa"/>
          </w:tcPr>
          <w:p w:rsidR="00EE0A62" w:rsidRDefault="00FD5ED9" w:rsidP="00764320">
            <w:pPr>
              <w:jc w:val="center"/>
            </w:pPr>
            <w:r>
              <w:t>25.5</w:t>
            </w:r>
          </w:p>
        </w:tc>
        <w:tc>
          <w:tcPr>
            <w:tcW w:w="2338" w:type="dxa"/>
          </w:tcPr>
          <w:p w:rsidR="00EE0A62" w:rsidRDefault="00FD5ED9" w:rsidP="00764320">
            <w:pPr>
              <w:jc w:val="center"/>
            </w:pPr>
            <w:r>
              <w:t>66.3</w:t>
            </w:r>
          </w:p>
        </w:tc>
        <w:tc>
          <w:tcPr>
            <w:tcW w:w="2338" w:type="dxa"/>
          </w:tcPr>
          <w:p w:rsidR="00EE0A62" w:rsidRDefault="00FD5ED9" w:rsidP="00764320">
            <w:pPr>
              <w:jc w:val="center"/>
            </w:pPr>
            <w:r>
              <w:t>81.9</w:t>
            </w:r>
          </w:p>
        </w:tc>
      </w:tr>
      <w:tr w:rsidR="00EE0A62" w:rsidTr="00EE0A62">
        <w:tc>
          <w:tcPr>
            <w:tcW w:w="2337" w:type="dxa"/>
          </w:tcPr>
          <w:p w:rsidR="00EE0A62" w:rsidRDefault="00EE0A62" w:rsidP="003F25FA">
            <w:r>
              <w:t>WLS</w:t>
            </w:r>
          </w:p>
        </w:tc>
        <w:tc>
          <w:tcPr>
            <w:tcW w:w="2337" w:type="dxa"/>
          </w:tcPr>
          <w:p w:rsidR="00EE0A62" w:rsidRDefault="00FD5ED9" w:rsidP="00764320">
            <w:pPr>
              <w:jc w:val="center"/>
            </w:pPr>
            <w:r>
              <w:t>34.7</w:t>
            </w:r>
          </w:p>
        </w:tc>
        <w:tc>
          <w:tcPr>
            <w:tcW w:w="2338" w:type="dxa"/>
          </w:tcPr>
          <w:p w:rsidR="00EE0A62" w:rsidRDefault="00FD5ED9" w:rsidP="00764320">
            <w:pPr>
              <w:jc w:val="center"/>
            </w:pPr>
            <w:r>
              <w:t>68.8</w:t>
            </w:r>
          </w:p>
        </w:tc>
        <w:tc>
          <w:tcPr>
            <w:tcW w:w="2338" w:type="dxa"/>
          </w:tcPr>
          <w:p w:rsidR="00EE0A62" w:rsidRDefault="00FD5ED9" w:rsidP="00764320">
            <w:pPr>
              <w:jc w:val="center"/>
            </w:pPr>
            <w:r>
              <w:t>147.0</w:t>
            </w:r>
          </w:p>
        </w:tc>
      </w:tr>
      <w:tr w:rsidR="00EE0A62" w:rsidTr="00EE0A62">
        <w:tc>
          <w:tcPr>
            <w:tcW w:w="2337" w:type="dxa"/>
          </w:tcPr>
          <w:p w:rsidR="00EE0A62" w:rsidRDefault="00ED384E" w:rsidP="003F25FA">
            <w:r>
              <w:t>ML</w:t>
            </w:r>
          </w:p>
        </w:tc>
        <w:tc>
          <w:tcPr>
            <w:tcW w:w="2337" w:type="dxa"/>
          </w:tcPr>
          <w:p w:rsidR="00EE0A62" w:rsidRDefault="00FD5ED9" w:rsidP="00764320">
            <w:pPr>
              <w:jc w:val="center"/>
            </w:pPr>
            <w:r>
              <w:t>0.00</w:t>
            </w:r>
          </w:p>
        </w:tc>
        <w:tc>
          <w:tcPr>
            <w:tcW w:w="2338" w:type="dxa"/>
          </w:tcPr>
          <w:p w:rsidR="00EE0A62" w:rsidRDefault="00FD5ED9" w:rsidP="00764320">
            <w:pPr>
              <w:jc w:val="center"/>
            </w:pPr>
            <w:r>
              <w:t>104.4</w:t>
            </w:r>
          </w:p>
        </w:tc>
        <w:tc>
          <w:tcPr>
            <w:tcW w:w="2338" w:type="dxa"/>
          </w:tcPr>
          <w:p w:rsidR="00EE0A62" w:rsidRDefault="00FD5ED9" w:rsidP="00764320">
            <w:pPr>
              <w:jc w:val="center"/>
            </w:pPr>
            <w:r>
              <w:t>73.0</w:t>
            </w:r>
          </w:p>
        </w:tc>
      </w:tr>
      <w:tr w:rsidR="00F7797E" w:rsidTr="00EE0A62">
        <w:tc>
          <w:tcPr>
            <w:tcW w:w="2337" w:type="dxa"/>
          </w:tcPr>
          <w:p w:rsidR="00F7797E" w:rsidRDefault="00F7797E" w:rsidP="003F25FA">
            <w:r>
              <w:t>REML</w:t>
            </w:r>
          </w:p>
        </w:tc>
        <w:tc>
          <w:tcPr>
            <w:tcW w:w="2337" w:type="dxa"/>
          </w:tcPr>
          <w:p w:rsidR="00F7797E" w:rsidRDefault="00FD5ED9" w:rsidP="00764320">
            <w:pPr>
              <w:jc w:val="center"/>
            </w:pPr>
            <w:r>
              <w:t>22.6</w:t>
            </w:r>
          </w:p>
        </w:tc>
        <w:tc>
          <w:tcPr>
            <w:tcW w:w="2338" w:type="dxa"/>
          </w:tcPr>
          <w:p w:rsidR="00F7797E" w:rsidRDefault="00FD5ED9" w:rsidP="00764320">
            <w:pPr>
              <w:jc w:val="center"/>
            </w:pPr>
            <w:r>
              <w:t>137.5</w:t>
            </w:r>
          </w:p>
        </w:tc>
        <w:tc>
          <w:tcPr>
            <w:tcW w:w="2338" w:type="dxa"/>
          </w:tcPr>
          <w:p w:rsidR="00F7797E" w:rsidRDefault="00FD5ED9" w:rsidP="00764320">
            <w:pPr>
              <w:jc w:val="center"/>
            </w:pPr>
            <w:r>
              <w:t>199.99</w:t>
            </w:r>
          </w:p>
        </w:tc>
      </w:tr>
    </w:tbl>
    <w:p w:rsidR="00EE0A62" w:rsidRDefault="00EE0A62" w:rsidP="003F25FA"/>
    <w:p w:rsidR="000F5B83" w:rsidRDefault="000F5B83" w:rsidP="003F25FA"/>
    <w:p w:rsidR="000F5B83" w:rsidRDefault="000F5B83" w:rsidP="003F25FA"/>
    <w:p w:rsidR="00EE0A62" w:rsidRDefault="0084014E" w:rsidP="003F25FA">
      <w:r>
        <w:t>Plotting the four models against the empirical variogram</w:t>
      </w:r>
      <w:r w:rsidR="00372244">
        <w:t xml:space="preserve">. Weighted least squares </w:t>
      </w:r>
      <w:r w:rsidR="00AB163B">
        <w:t xml:space="preserve">seems to fit the data the best, however none of the four models, because of the nature of the variogram approach is able to capture the dip at the end. </w:t>
      </w:r>
    </w:p>
    <w:p w:rsidR="000F5B83" w:rsidRDefault="000F5B83" w:rsidP="003F25FA"/>
    <w:p w:rsidR="000F5B83" w:rsidRDefault="000F5B83" w:rsidP="003F25FA"/>
    <w:p w:rsidR="0081498F" w:rsidRDefault="0081498F" w:rsidP="003F25FA">
      <w:r>
        <w:rPr>
          <w:noProof/>
        </w:rPr>
        <w:drawing>
          <wp:inline distT="0" distB="0" distL="0" distR="0" wp14:anchorId="7C6BC8AF" wp14:editId="49C2D293">
            <wp:extent cx="5343525" cy="2607252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A4" w:rsidRDefault="00AF47A4" w:rsidP="003F25FA">
      <w:pPr>
        <w:rPr>
          <w:noProof/>
        </w:rPr>
      </w:pPr>
    </w:p>
    <w:p w:rsidR="00AF47A4" w:rsidRDefault="00AF47A4" w:rsidP="003F25FA">
      <w:pPr>
        <w:rPr>
          <w:noProof/>
        </w:rPr>
      </w:pPr>
    </w:p>
    <w:p w:rsidR="00AF47A4" w:rsidRDefault="00AF47A4" w:rsidP="003F25FA">
      <w:pPr>
        <w:rPr>
          <w:noProof/>
        </w:rPr>
      </w:pPr>
    </w:p>
    <w:p w:rsidR="00AF47A4" w:rsidRDefault="00AF47A4" w:rsidP="003F25FA">
      <w:pPr>
        <w:rPr>
          <w:noProof/>
        </w:rPr>
      </w:pPr>
    </w:p>
    <w:p w:rsidR="00AF47A4" w:rsidRDefault="00AF47A4" w:rsidP="003F25FA">
      <w:pPr>
        <w:rPr>
          <w:noProof/>
        </w:rPr>
      </w:pPr>
    </w:p>
    <w:p w:rsidR="00AF47A4" w:rsidRDefault="00AF47A4" w:rsidP="003F25FA">
      <w:pPr>
        <w:rPr>
          <w:noProof/>
        </w:rPr>
      </w:pPr>
      <w:r>
        <w:rPr>
          <w:noProof/>
        </w:rPr>
        <w:lastRenderedPageBreak/>
        <w:t>We plot a spatial map of the points in the datset, each color green, red, and black, corresponds to areas 1, 2, and 3, respectively.</w:t>
      </w:r>
      <w:r w:rsidR="007A3805">
        <w:rPr>
          <w:noProof/>
        </w:rPr>
        <w:t xml:space="preserve"> Surprised to see that the “areas” aren’t distinct and points form each area are scattered throughout the study region.</w:t>
      </w:r>
    </w:p>
    <w:p w:rsidR="00AF47A4" w:rsidRDefault="00AF47A4" w:rsidP="003F25FA">
      <w:pPr>
        <w:rPr>
          <w:noProof/>
        </w:rPr>
      </w:pPr>
    </w:p>
    <w:p w:rsidR="001412E9" w:rsidRDefault="001412E9" w:rsidP="003F25FA">
      <w:r>
        <w:rPr>
          <w:noProof/>
        </w:rPr>
        <w:drawing>
          <wp:inline distT="0" distB="0" distL="0" distR="0" wp14:anchorId="272B4ACF" wp14:editId="463BDC1D">
            <wp:extent cx="3212785" cy="314722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3768" cy="31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05" w:rsidRDefault="00FE6992" w:rsidP="003F25FA">
      <w:r>
        <w:t>We next carry out a kriging model to estimate the surface of calcium in the study region. We first plot and examine the detrended points</w:t>
      </w:r>
      <w:r w:rsidR="00C81968">
        <w:t xml:space="preserve"> (remov</w:t>
      </w:r>
      <w:r w:rsidR="003749E7">
        <w:t>ing altitutde and area trends).</w:t>
      </w:r>
    </w:p>
    <w:p w:rsidR="001412E9" w:rsidRDefault="001412E9" w:rsidP="003F25FA">
      <w:r>
        <w:rPr>
          <w:noProof/>
        </w:rPr>
        <w:drawing>
          <wp:inline distT="0" distB="0" distL="0" distR="0" wp14:anchorId="37C83EAF" wp14:editId="3A270EBE">
            <wp:extent cx="3037114" cy="2952749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9151" cy="29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0D2" w:rsidRDefault="00B520D2" w:rsidP="003F25FA"/>
    <w:p w:rsidR="00B520D2" w:rsidRDefault="00B520D2" w:rsidP="003F25FA"/>
    <w:p w:rsidR="00B520D2" w:rsidRDefault="00B520D2" w:rsidP="003F25FA">
      <w:r>
        <w:lastRenderedPageBreak/>
        <w:t>We first fit a ML omdel on the detrended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20D2" w:rsidTr="00A05948">
        <w:tc>
          <w:tcPr>
            <w:tcW w:w="2337" w:type="dxa"/>
          </w:tcPr>
          <w:p w:rsidR="00B520D2" w:rsidRDefault="00B520D2" w:rsidP="00A05948">
            <w:r>
              <w:t>Model</w:t>
            </w:r>
          </w:p>
        </w:tc>
        <w:tc>
          <w:tcPr>
            <w:tcW w:w="2337" w:type="dxa"/>
          </w:tcPr>
          <w:p w:rsidR="00B520D2" w:rsidRDefault="00B520D2" w:rsidP="00A0594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B520D2" w:rsidRDefault="00B520D2" w:rsidP="00A0594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</w:tcPr>
          <w:p w:rsidR="00B520D2" w:rsidRDefault="00B520D2" w:rsidP="00A05948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p/>
                </m:sSup>
              </m:oMath>
            </m:oMathPara>
          </w:p>
        </w:tc>
      </w:tr>
      <w:tr w:rsidR="00B520D2" w:rsidTr="00A05948">
        <w:tc>
          <w:tcPr>
            <w:tcW w:w="2337" w:type="dxa"/>
          </w:tcPr>
          <w:p w:rsidR="00B520D2" w:rsidRDefault="00B520D2" w:rsidP="00A05948">
            <w:r>
              <w:t>ML</w:t>
            </w:r>
          </w:p>
        </w:tc>
        <w:tc>
          <w:tcPr>
            <w:tcW w:w="2337" w:type="dxa"/>
          </w:tcPr>
          <w:p w:rsidR="00B520D2" w:rsidRDefault="009A3C55" w:rsidP="00A05948">
            <w:pPr>
              <w:jc w:val="center"/>
            </w:pPr>
            <w:r>
              <w:t>0.00</w:t>
            </w:r>
          </w:p>
        </w:tc>
        <w:tc>
          <w:tcPr>
            <w:tcW w:w="2338" w:type="dxa"/>
          </w:tcPr>
          <w:p w:rsidR="00B520D2" w:rsidRDefault="009A3C55" w:rsidP="00A05948">
            <w:pPr>
              <w:jc w:val="center"/>
            </w:pPr>
            <w:r>
              <w:t>101.6</w:t>
            </w:r>
          </w:p>
        </w:tc>
        <w:tc>
          <w:tcPr>
            <w:tcW w:w="2338" w:type="dxa"/>
          </w:tcPr>
          <w:p w:rsidR="00B520D2" w:rsidRDefault="009A3C55" w:rsidP="00A05948">
            <w:pPr>
              <w:jc w:val="center"/>
            </w:pPr>
            <w:r>
              <w:t>69.5</w:t>
            </w:r>
          </w:p>
        </w:tc>
      </w:tr>
    </w:tbl>
    <w:p w:rsidR="00B520D2" w:rsidRDefault="00B520D2" w:rsidP="003F25FA"/>
    <w:p w:rsidR="00301699" w:rsidRDefault="00301699" w:rsidP="003F25FA">
      <w:r>
        <w:t xml:space="preserve">Using this, we fit an ordinary kriging model to obtain spatial predictions of calcium content in the soil. </w:t>
      </w:r>
      <w:r w:rsidR="005A65D1">
        <w:t>We plot the predictions of the detrended concentrations with the data superimposed.</w:t>
      </w:r>
      <w:r w:rsidR="00B6695E">
        <w:t xml:space="preserve"> We see higher concentrations in the most northern and southern regions and areas of low concentrations in the middle belt, particularly on the west-most region.</w:t>
      </w:r>
    </w:p>
    <w:p w:rsidR="001412E9" w:rsidRDefault="001412E9" w:rsidP="003F25FA">
      <w:r>
        <w:rPr>
          <w:noProof/>
        </w:rPr>
        <w:drawing>
          <wp:inline distT="0" distB="0" distL="0" distR="0" wp14:anchorId="48D3E148" wp14:editId="296F0616">
            <wp:extent cx="4245429" cy="3123853"/>
            <wp:effectExtent l="0" t="0" r="317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865" cy="313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E9" w:rsidRDefault="00443CFB" w:rsidP="003F25FA">
      <w:r>
        <w:t>We plot the stand</w:t>
      </w:r>
      <w:r w:rsidR="001D79D4">
        <w:t>ard de</w:t>
      </w:r>
      <w:r w:rsidR="0091670A">
        <w:t>viation of the estimates which, as expected, is smallest close to the datapoints.</w:t>
      </w:r>
      <w:r w:rsidR="001412E9">
        <w:rPr>
          <w:noProof/>
        </w:rPr>
        <w:drawing>
          <wp:inline distT="0" distB="0" distL="0" distR="0" wp14:anchorId="4298ED95" wp14:editId="66E69C7D">
            <wp:extent cx="3702028" cy="26887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0400" cy="26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E9" w:rsidRPr="00493D32" w:rsidRDefault="001412E9" w:rsidP="003F25FA"/>
    <w:sectPr w:rsidR="001412E9" w:rsidRPr="00493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B9" w:rsidRDefault="000107B9" w:rsidP="00D079FC">
      <w:pPr>
        <w:spacing w:after="0" w:line="240" w:lineRule="auto"/>
      </w:pPr>
      <w:r>
        <w:separator/>
      </w:r>
    </w:p>
  </w:endnote>
  <w:endnote w:type="continuationSeparator" w:id="0">
    <w:p w:rsidR="000107B9" w:rsidRDefault="000107B9" w:rsidP="00D0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B9" w:rsidRDefault="000107B9" w:rsidP="00D079FC">
      <w:pPr>
        <w:spacing w:after="0" w:line="240" w:lineRule="auto"/>
      </w:pPr>
      <w:r>
        <w:separator/>
      </w:r>
    </w:p>
  </w:footnote>
  <w:footnote w:type="continuationSeparator" w:id="0">
    <w:p w:rsidR="000107B9" w:rsidRDefault="000107B9" w:rsidP="00D07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FA"/>
    <w:rsid w:val="000107B9"/>
    <w:rsid w:val="00087450"/>
    <w:rsid w:val="000F5B83"/>
    <w:rsid w:val="00124A3E"/>
    <w:rsid w:val="001412E9"/>
    <w:rsid w:val="001D79D4"/>
    <w:rsid w:val="0020631C"/>
    <w:rsid w:val="00250BBE"/>
    <w:rsid w:val="002D4E63"/>
    <w:rsid w:val="00301699"/>
    <w:rsid w:val="0034396C"/>
    <w:rsid w:val="00372244"/>
    <w:rsid w:val="003749E7"/>
    <w:rsid w:val="003F25FA"/>
    <w:rsid w:val="00443CFB"/>
    <w:rsid w:val="00493D32"/>
    <w:rsid w:val="004E17E8"/>
    <w:rsid w:val="005A65D1"/>
    <w:rsid w:val="005F6512"/>
    <w:rsid w:val="00764320"/>
    <w:rsid w:val="007812A2"/>
    <w:rsid w:val="007A3805"/>
    <w:rsid w:val="007C041B"/>
    <w:rsid w:val="0081498F"/>
    <w:rsid w:val="00826A78"/>
    <w:rsid w:val="0084014E"/>
    <w:rsid w:val="0086591F"/>
    <w:rsid w:val="0091670A"/>
    <w:rsid w:val="009A3C55"/>
    <w:rsid w:val="009A529C"/>
    <w:rsid w:val="00AB163B"/>
    <w:rsid w:val="00AF47A4"/>
    <w:rsid w:val="00B02204"/>
    <w:rsid w:val="00B174CA"/>
    <w:rsid w:val="00B520D2"/>
    <w:rsid w:val="00B544C2"/>
    <w:rsid w:val="00B6695E"/>
    <w:rsid w:val="00C81968"/>
    <w:rsid w:val="00CE51FC"/>
    <w:rsid w:val="00D079FC"/>
    <w:rsid w:val="00D215A2"/>
    <w:rsid w:val="00D95E17"/>
    <w:rsid w:val="00ED384E"/>
    <w:rsid w:val="00EE0A62"/>
    <w:rsid w:val="00EE110B"/>
    <w:rsid w:val="00F7797E"/>
    <w:rsid w:val="00FD5ED9"/>
    <w:rsid w:val="00FE0207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70109-5738-4193-992D-D02B7725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9FC"/>
  </w:style>
  <w:style w:type="paragraph" w:styleId="Footer">
    <w:name w:val="footer"/>
    <w:basedOn w:val="Normal"/>
    <w:link w:val="FooterChar"/>
    <w:uiPriority w:val="99"/>
    <w:unhideWhenUsed/>
    <w:rsid w:val="00D07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9FC"/>
  </w:style>
  <w:style w:type="table" w:styleId="TableGrid">
    <w:name w:val="Table Grid"/>
    <w:basedOn w:val="TableNormal"/>
    <w:uiPriority w:val="39"/>
    <w:rsid w:val="00EE0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4A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Patrick</dc:creator>
  <cp:keywords/>
  <dc:description/>
  <cp:lastModifiedBy>Liu Patrick</cp:lastModifiedBy>
  <cp:revision>41</cp:revision>
  <dcterms:created xsi:type="dcterms:W3CDTF">2017-02-15T14:41:00Z</dcterms:created>
  <dcterms:modified xsi:type="dcterms:W3CDTF">2017-03-06T16:21:00Z</dcterms:modified>
</cp:coreProperties>
</file>