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给定真实条件后验 q、已知错误代价矩阵 C，且拒识后的总损失为常数 crej 时，逐图比较所有直接动作的最小条件风险与 crej，可得贝叶斯最优选择性决策。使用网络估计后验时，该规则仅最小化估计后验下的风险；概率校准本身不足以保证真实条件风险最优。若拒识意味着送检，其风险还应包含检测后的残余决策损失。本研究仅验证公开标本图像上的选择性识别，不声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设门控输入 z 包含共享特征、两专家熵与专家分歧。只有对完整输入 z、软目标 g* 和权重 w 同时停止梯度，且门控参数与专家参数不共享时，后悔监督关于共享主干和专家参数的梯度才严格为零，门控自身参数梯度仍可非零。仅停止目标与权重的梯度不足以切断经门控输入反传的路径。实现中的 detach_gate_features=True 切断该路径。结论仅限 Lreg 分支，不中断角色、种类、验证器和对比损失对共享主干的训练。</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r>
              <w:rPr>
                <w:rFonts w:ascii="宋体" w:hAnsi="宋体" w:eastAsia="宋体"/>
                <w:b/>
                <w:sz w:val="17"/>
              </w:rPr>
              <w:t>配置</w:t>
            </w:r>
          </w:p>
        </w:tc>
        <w:tc>
          <w:tcPr>
            <w:tcW w:type="dxa" w:w="1531"/>
          </w:tcPr>
          <w:p>
            <w:r>
              <w:rPr>
                <w:rFonts w:ascii="宋体" w:hAnsi="宋体" w:eastAsia="宋体"/>
                <w:b/>
                <w:sz w:val="17"/>
              </w:rPr>
              <w:t>Macro F1</w:t>
            </w:r>
          </w:p>
        </w:tc>
        <w:tc>
          <w:tcPr>
            <w:tcW w:type="dxa" w:w="1531"/>
          </w:tcPr>
          <w:p>
            <w:r>
              <w:rPr>
                <w:rFonts w:ascii="宋体" w:hAnsi="宋体" w:eastAsia="宋体"/>
                <w:b/>
                <w:sz w:val="17"/>
              </w:rPr>
              <w:t>目标类召回</w:t>
            </w:r>
          </w:p>
        </w:tc>
        <w:tc>
          <w:tcPr>
            <w:tcW w:type="dxa" w:w="1531"/>
          </w:tcPr>
          <w:p>
            <w:r>
              <w:rPr>
                <w:rFonts w:ascii="宋体" w:hAnsi="宋体" w:eastAsia="宋体"/>
                <w:b/>
                <w:sz w:val="17"/>
              </w:rPr>
              <w:t>Ti 误入目标</w:t>
            </w:r>
          </w:p>
        </w:tc>
        <w:tc>
          <w:tcPr>
            <w:tcW w:type="dxa" w:w="1531"/>
          </w:tcPr>
          <w:p>
            <w:r>
              <w:rPr>
                <w:rFonts w:ascii="宋体" w:hAnsi="宋体" w:eastAsia="宋体"/>
                <w:b/>
                <w:sz w:val="17"/>
              </w:rPr>
              <w:t>金属误入目标</w:t>
            </w:r>
          </w:p>
        </w:tc>
        <w:tc>
          <w:tcPr>
            <w:tcW w:type="dxa" w:w="1531"/>
          </w:tcPr>
          <w:p>
            <w:r>
              <w:rPr>
                <w:rFonts w:ascii="宋体" w:hAnsi="宋体" w:eastAsia="宋体"/>
                <w:b/>
                <w:sz w:val="17"/>
              </w:rPr>
              <w:t>Ti/金属边遗憾</w:t>
            </w:r>
          </w:p>
        </w:tc>
      </w:tr>
      <w:t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p>
      <w:r>
        <w:br w:type="page"/>
      </w:r>
    </w:p>
    <w:p>
      <w:pPr>
        <w:pStyle w:val="1"/>
        <w:keepNext/>
      </w:pPr>
      <w:r>
        <w:rPr>
          <w:rFonts w:ascii="黑体" w:hAnsi="黑体" w:eastAsia="黑体"/>
          <w:b/>
          <w:sz w:val="28"/>
        </w:rPr>
        <w:t>附录 J 门控训练目标的理论边界与固定专家验证</w:t>
      </w:r>
    </w:p>
    <w:p>
      <w:pPr>
        <w:spacing w:after="100" w:line="336" w:lineRule="auto"/>
        <w:ind w:firstLine="420"/>
      </w:pPr>
      <w:r>
        <w:rPr>
          <w:rFonts w:ascii="宋体" w:hAnsi="宋体" w:eastAsia="宋体"/>
          <w:b w:val="0"/>
          <w:sz w:val="22"/>
        </w:rPr>
        <w:t>本附录补充 RSG-HRGV 门控目标的解析依据、总体风险边界及固定专家对照。已有路由后悔下降结果不能直接解释为门控的独立性能收益，更不能推出整体分类指标必然提高。以下内容用于限定网络创新的可辩护范围，并据此确定后续改进问题。</w:t>
      </w:r>
    </w:p>
    <w:p>
      <w:pPr>
        <w:pStyle w:val="21"/>
        <w:keepNext/>
      </w:pPr>
      <w:r>
        <w:rPr>
          <w:rFonts w:ascii="黑体" w:hAnsi="黑体" w:eastAsia="黑体"/>
          <w:b/>
          <w:sz w:val="24"/>
        </w:rPr>
        <w:t>J.1 软门控目标的优化解释</w:t>
      </w:r>
    </w:p>
    <w:p>
      <w:pPr>
        <w:spacing w:after="100" w:line="336" w:lineRule="auto"/>
        <w:ind w:firstLine="420"/>
      </w:pPr>
      <w:r>
        <w:rPr>
          <w:rFonts w:ascii="宋体" w:hAnsi="宋体" w:eastAsia="宋体"/>
          <w:b w:val="0"/>
          <w:sz w:val="22"/>
        </w:rPr>
        <w:t>固定单张图像和真实角色，两专家对数损失记为 ld、lm，温度 T&gt;0。考虑专家期望损失与负熵正则之和：</w:t>
      </w:r>
    </w:p>
    <w:p>
      <w:pPr>
        <w:jc w:val="center"/>
      </w:pPr>
      <m:oMath>
        <m:r>
          <m:t>Jₜ(t) = t l_d + (1−t) l_m + T[t log t + (1−t) log(1−t)]</m:t>
        </m:r>
      </m:oMath>
    </w:p>
    <w:p>
      <w:pPr>
        <w:spacing w:after="100" w:line="336" w:lineRule="auto"/>
        <w:ind w:firstLine="420"/>
      </w:pPr>
      <w:r>
        <w:rPr>
          <w:rFonts w:ascii="宋体" w:hAnsi="宋体" w:eastAsia="宋体"/>
          <w:b w:val="0"/>
          <w:sz w:val="22"/>
        </w:rPr>
        <w:t>内部二阶导数为 T/[t(1−t)]&gt;0，由一阶导数为零和端点导数极限，可得唯一最优解 t*=sigmoid((lm−ld)/T)，与已实现软目标相同。该解释是经典熵正则化选择原理的两专家实例化，不作为独立首创定理。原理参考 Niculae 与 Blondel，A Regularized Framework for Sparse and Structured Neural Attention，NeurIPS 2017。</w:t>
      </w:r>
    </w:p>
    <w:p>
      <w:pPr>
        <w:jc w:val="center"/>
      </w:pPr>
      <m:oMath>
        <m:r>
          <m:t>Jₜ(g) − Jₜ(t*) = T KL(Ber(g) ∥ Ber(t*))</m:t>
        </m:r>
      </m:oMath>
    </w:p>
    <w:p>
      <w:pPr>
        <w:jc w:val="center"/>
      </w:pPr>
      <m:oMath>
        <m:r>
          <m:t>BCE(g,t*) − H(t*) = KL(Ber(t*) ∥ Ber(g))</m:t>
        </m:r>
      </m:oMath>
    </w:p>
    <w:p>
      <w:pPr>
        <w:spacing w:after="100" w:line="336" w:lineRule="auto"/>
        <w:ind w:firstLine="420"/>
      </w:pPr>
      <w:r>
        <w:rPr>
          <w:rFonts w:ascii="宋体" w:hAnsi="宋体" w:eastAsia="宋体"/>
          <w:b w:val="0"/>
          <w:sz w:val="22"/>
        </w:rPr>
        <w:t>两式的 KL 方向不同。因此 BCE 是对软 oracle 的拟合，不能被写成直接优化熵正则目标的等价实现。四组温度各 3,000 个合成样本的数值核验均通过，其中包含当前温度 0.2。数值核验支持公式实现一致性，不替代解析证明或分类性能实验。</w:t>
      </w:r>
    </w:p>
    <w:p>
      <w:pPr>
        <w:pStyle w:val="21"/>
        <w:keepNext/>
      </w:pPr>
      <w:r>
        <w:rPr>
          <w:rFonts w:ascii="黑体" w:hAnsi="黑体" w:eastAsia="黑体"/>
          <w:b/>
          <w:sz w:val="24"/>
        </w:rPr>
        <w:t>J.2 总体目标非等价性的反例</w:t>
      </w:r>
    </w:p>
    <w:p>
      <w:pPr>
        <w:spacing w:after="100" w:line="336" w:lineRule="auto"/>
        <w:ind w:firstLine="420"/>
      </w:pPr>
      <w:r>
        <w:rPr>
          <w:rFonts w:ascii="宋体" w:hAnsi="宋体" w:eastAsia="宋体"/>
          <w:b w:val="0"/>
          <w:sz w:val="22"/>
        </w:rPr>
        <w:t>对同一输入 x，推理门控不能使用未知真实角色。记真实条件分布为 π，标签相关的软目标为 ty、权重为 wy。在条件平均权重为正时，总体归一化加权 BCE 的最优门控为：</w:t>
      </w:r>
    </w:p>
    <w:p>
      <w:pPr>
        <w:jc w:val="center"/>
      </w:pPr>
      <m:oMath>
        <m:r>
          <m:t>g*BCE = E[wY tY | x] / E[wY | x]</m:t>
        </m:r>
      </m:oMath>
    </w:p>
    <w:p>
      <w:pPr>
        <w:spacing w:after="100" w:line="336" w:lineRule="auto"/>
        <w:ind w:firstLine="420"/>
      </w:pPr>
      <w:r>
        <w:rPr>
          <w:rFonts w:ascii="宋体" w:hAnsi="宋体" w:eastAsia="宋体"/>
          <w:b w:val="0"/>
          <w:sz w:val="22"/>
        </w:rPr>
        <w:t>而融合风险为 R(g)=−Σy πy log[by+g(ay−by)]，一般不在上述门控处最小。取 π=(0.4,0.4,0.1,0.1)，a=(0.72,0.08,0.1,0.1)，b=(0.48,0.32,0.1,0.1)。各概率严格为正，使用当前软目标及差距权重。</w:t>
      </w:r>
    </w:p>
    <w:p>
      <w:pPr>
        <w:jc w:val="center"/>
      </w:pPr>
      <m:oMath>
        <m:r>
          <m:t>R′(g) = 0.096[1/(0.32−0.24g) − 1/(0.48+0.24g)] &gt; 0</m:t>
        </m:r>
      </m:oMath>
    </w:p>
    <w:p>
      <w:pPr>
        <w:spacing w:after="100" w:line="336" w:lineRule="auto"/>
        <w:ind w:firstLine="420"/>
      </w:pPr>
      <w:r>
        <w:rPr>
          <w:rFonts w:ascii="宋体" w:hAnsi="宋体" w:eastAsia="宋体"/>
          <w:b w:val="0"/>
          <w:sz w:val="22"/>
        </w:rPr>
        <w:t>对 g∈[0,1]，上式严格为正，故融合 NLL 唯一最优门控为 0。实际代码计算的 BCE 最优门控为 0.356788，额外产生 0.058905 nat 的条件 NLL。这个有限支持反例否定无条件的 NLL 一致性主张，但未模拟完整联合训练网络，也不证明当前矿物数据上的真实失效原因。</w:t>
      </w:r>
    </w:p>
    <w:p>
      <w:pPr>
        <w:pStyle w:val="21"/>
        <w:keepNext/>
      </w:pPr>
      <w:r>
        <w:rPr>
          <w:rFonts w:ascii="黑体" w:hAnsi="黑体" w:eastAsia="黑体"/>
          <w:b/>
          <w:sz w:val="24"/>
        </w:rPr>
        <w:t>J.3 固定专家的验证集对照</w:t>
      </w:r>
    </w:p>
    <w:p>
      <w:pPr>
        <w:spacing w:after="100" w:line="336" w:lineRule="auto"/>
        <w:ind w:firstLine="420"/>
      </w:pPr>
      <w:r>
        <w:rPr>
          <w:rFonts w:ascii="宋体" w:hAnsi="宋体" w:eastAsia="宋体"/>
          <w:b w:val="0"/>
          <w:sz w:val="22"/>
        </w:rPr>
        <w:t>固定一个未采用后悔监督的 HRGV 专家检查点，在训练集上重新训练门控。比较等权融合、直接融合 NLL 和后悔 BCE 三种策略。两种学习门控均使用三组配对初始化、相同 30 轮预算，按验证集融合 NLL 选轮次。专家全部参数和缓冲区的逐项精确相等检查通过。</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val="0"/>
                <w:sz w:val="20"/>
              </w:rPr>
              <w:t>策略</w:t>
            </w:r>
          </w:p>
        </w:tc>
        <w:tc>
          <w:tcPr>
            <w:tcW w:type="dxa" w:w="2296"/>
          </w:tcPr>
          <w:p>
            <w:r>
              <w:rPr>
                <w:rFonts w:ascii="宋体" w:hAnsi="宋体" w:eastAsia="宋体"/>
                <w:b w:val="0"/>
                <w:sz w:val="20"/>
              </w:rPr>
              <w:t>融合 NLL / nat</w:t>
            </w:r>
          </w:p>
        </w:tc>
        <w:tc>
          <w:tcPr>
            <w:tcW w:type="dxa" w:w="2296"/>
          </w:tcPr>
          <w:p>
            <w:r>
              <w:rPr>
                <w:rFonts w:ascii="宋体" w:hAnsi="宋体" w:eastAsia="宋体"/>
                <w:b w:val="0"/>
                <w:sz w:val="20"/>
              </w:rPr>
              <w:t>路由后悔 / nat</w:t>
            </w:r>
          </w:p>
        </w:tc>
        <w:tc>
          <w:tcPr>
            <w:tcW w:type="dxa" w:w="2296"/>
          </w:tcPr>
          <w:p>
            <w:r>
              <w:rPr>
                <w:rFonts w:ascii="宋体" w:hAnsi="宋体" w:eastAsia="宋体"/>
                <w:b w:val="0"/>
                <w:sz w:val="20"/>
              </w:rPr>
              <w:t>Accuracy</w:t>
            </w:r>
          </w:p>
        </w:tc>
      </w:tr>
      <w:tr>
        <w:tc>
          <w:tcPr>
            <w:tcW w:type="dxa" w:w="2296"/>
          </w:tcPr>
          <w:p>
            <w:r>
              <w:rPr>
                <w:rFonts w:ascii="宋体" w:hAnsi="宋体" w:eastAsia="宋体"/>
                <w:b w:val="0"/>
                <w:sz w:val="20"/>
              </w:rPr>
              <w:t>等权融合</w:t>
            </w:r>
          </w:p>
        </w:tc>
        <w:tc>
          <w:tcPr>
            <w:tcW w:type="dxa" w:w="2296"/>
          </w:tcPr>
          <w:p>
            <w:r>
              <w:rPr>
                <w:rFonts w:ascii="宋体" w:hAnsi="宋体" w:eastAsia="宋体"/>
                <w:b w:val="0"/>
                <w:sz w:val="20"/>
              </w:rPr>
              <w:t>0.798201</w:t>
            </w:r>
          </w:p>
        </w:tc>
        <w:tc>
          <w:tcPr>
            <w:tcW w:type="dxa" w:w="2296"/>
          </w:tcPr>
          <w:p>
            <w:r>
              <w:rPr>
                <w:rFonts w:ascii="宋体" w:hAnsi="宋体" w:eastAsia="宋体"/>
                <w:b w:val="0"/>
                <w:sz w:val="20"/>
              </w:rPr>
              <w:t>0.085095</w:t>
            </w:r>
          </w:p>
        </w:tc>
        <w:tc>
          <w:tcPr>
            <w:tcW w:type="dxa" w:w="2296"/>
          </w:tcPr>
          <w:p>
            <w:r>
              <w:rPr>
                <w:rFonts w:ascii="宋体" w:hAnsi="宋体" w:eastAsia="宋体"/>
                <w:b w:val="0"/>
                <w:sz w:val="20"/>
              </w:rPr>
              <w:t>76.71%</w:t>
            </w:r>
          </w:p>
        </w:tc>
      </w:tr>
      <w:tr>
        <w:tc>
          <w:tcPr>
            <w:tcW w:type="dxa" w:w="2296"/>
          </w:tcPr>
          <w:p>
            <w:r>
              <w:rPr>
                <w:rFonts w:ascii="宋体" w:hAnsi="宋体" w:eastAsia="宋体"/>
                <w:b w:val="0"/>
                <w:sz w:val="20"/>
              </w:rPr>
              <w:t>融合 NLL 门控</w:t>
            </w:r>
          </w:p>
        </w:tc>
        <w:tc>
          <w:tcPr>
            <w:tcW w:type="dxa" w:w="2296"/>
          </w:tcPr>
          <w:p>
            <w:r>
              <w:rPr>
                <w:rFonts w:ascii="宋体" w:hAnsi="宋体" w:eastAsia="宋体"/>
                <w:b w:val="0"/>
                <w:sz w:val="20"/>
              </w:rPr>
              <w:t>0.817507</w:t>
            </w:r>
          </w:p>
        </w:tc>
        <w:tc>
          <w:tcPr>
            <w:tcW w:type="dxa" w:w="2296"/>
          </w:tcPr>
          <w:p>
            <w:r>
              <w:rPr>
                <w:rFonts w:ascii="宋体" w:hAnsi="宋体" w:eastAsia="宋体"/>
                <w:b w:val="0"/>
                <w:sz w:val="20"/>
              </w:rPr>
              <w:t>0.104401</w:t>
            </w:r>
          </w:p>
        </w:tc>
        <w:tc>
          <w:tcPr>
            <w:tcW w:type="dxa" w:w="2296"/>
          </w:tcPr>
          <w:p>
            <w:r>
              <w:rPr>
                <w:rFonts w:ascii="宋体" w:hAnsi="宋体" w:eastAsia="宋体"/>
                <w:b w:val="0"/>
                <w:sz w:val="20"/>
              </w:rPr>
              <w:t>77.26%</w:t>
            </w:r>
          </w:p>
        </w:tc>
      </w:tr>
      <w:tr>
        <w:tc>
          <w:tcPr>
            <w:tcW w:type="dxa" w:w="2296"/>
          </w:tcPr>
          <w:p>
            <w:r>
              <w:rPr>
                <w:rFonts w:ascii="宋体" w:hAnsi="宋体" w:eastAsia="宋体"/>
                <w:b w:val="0"/>
                <w:sz w:val="20"/>
              </w:rPr>
              <w:t>后悔 BCE 门控</w:t>
            </w:r>
          </w:p>
        </w:tc>
        <w:tc>
          <w:tcPr>
            <w:tcW w:type="dxa" w:w="2296"/>
          </w:tcPr>
          <w:p>
            <w:r>
              <w:rPr>
                <w:rFonts w:ascii="宋体" w:hAnsi="宋体" w:eastAsia="宋体"/>
                <w:b w:val="0"/>
                <w:sz w:val="20"/>
              </w:rPr>
              <w:t>0.796819</w:t>
            </w:r>
          </w:p>
        </w:tc>
        <w:tc>
          <w:tcPr>
            <w:tcW w:type="dxa" w:w="2296"/>
          </w:tcPr>
          <w:p>
            <w:r>
              <w:rPr>
                <w:rFonts w:ascii="宋体" w:hAnsi="宋体" w:eastAsia="宋体"/>
                <w:b w:val="0"/>
                <w:sz w:val="20"/>
              </w:rPr>
              <w:t>0.083713</w:t>
            </w:r>
          </w:p>
        </w:tc>
        <w:tc>
          <w:tcPr>
            <w:tcW w:type="dxa" w:w="2296"/>
          </w:tcPr>
          <w:p>
            <w:r>
              <w:rPr>
                <w:rFonts w:ascii="宋体" w:hAnsi="宋体" w:eastAsia="宋体"/>
                <w:b w:val="0"/>
                <w:sz w:val="20"/>
              </w:rPr>
              <w:t>76.53%</w:t>
            </w:r>
          </w:p>
        </w:tc>
      </w:tr>
    </w:tbl>
    <w:p>
      <w:pPr>
        <w:spacing w:after="100" w:line="336" w:lineRule="auto"/>
        <w:ind w:firstLine="420"/>
      </w:pPr>
      <w:r>
        <w:rPr>
          <w:rFonts w:ascii="宋体" w:hAnsi="宋体" w:eastAsia="宋体"/>
          <w:b w:val="0"/>
          <w:sz w:val="22"/>
        </w:rPr>
        <w:t>后悔 BCE 相对等权融合的验证 NLL 仅降低约 0.001381 nat，Accuracy 下降约 0.1817 个百分点。最佳轮次集中在前两轮。三组种子只改变门控初始化，不是三个独立专家。源专家已拟合训练样本并曾用当前验证集选模型，本实验再用同一验证集选门控轮次，故结果仅为探索性机制诊断，不能作独立泛化或显著性结论。</w:t>
      </w:r>
    </w:p>
    <w:p>
      <w:pPr>
        <w:pStyle w:val="21"/>
        <w:keepNext/>
      </w:pPr>
      <w:r>
        <w:rPr>
          <w:rFonts w:ascii="黑体" w:hAnsi="黑体" w:eastAsia="黑体"/>
          <w:b/>
          <w:sz w:val="24"/>
        </w:rPr>
        <w:t>J.4 网络改进需要解决的问题</w:t>
      </w:r>
    </w:p>
    <w:p>
      <w:pPr>
        <w:spacing w:after="100" w:line="336" w:lineRule="auto"/>
        <w:ind w:firstLine="420"/>
      </w:pPr>
      <w:r>
        <w:rPr>
          <w:rFonts w:ascii="宋体" w:hAnsi="宋体" w:eastAsia="宋体"/>
          <w:b w:val="0"/>
          <w:sz w:val="22"/>
        </w:rPr>
        <w:t>后续应分别检验两项问题：其一，训练内专家预测能否代表未见样本上的门控监督；其二，门控训练目标与最终融合风险是否一致。交叉拟合可用于研究第一项，但不能单独消除第二项的总体目标非等价性。新的网络方法应在明确的最终风险目标下提出，再用固定专家对照和独立数据检验，当前不宣称该改进已完成。</w:t>
      </w:r>
    </w:p>
    <w:p>
      <w:pPr>
        <w:spacing w:after="100" w:line="336" w:lineRule="auto"/>
        <w:ind w:firstLine="420"/>
      </w:pPr>
      <w:r>
        <w:rPr>
          <w:rFonts w:ascii="宋体" w:hAnsi="宋体" w:eastAsia="宋体"/>
          <w:b w:val="0"/>
          <w:sz w:val="22"/>
        </w:rPr>
        <w:t>复现依据：verify_rsg_variational_target.py、verify_rsg_population_counterexample.py、audit_frozen_expert_routing.py 与 run_frozen_expert_gate_pilot.py；数值结果位于 outputs/theory，门控实验协议、全部轮次和验证预测位于 outputs/training/frozen_expert_gate_pilot。本文对数损失统一使用 nat；将损失乘以100展示也不能解释为概率百分点。</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