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p>
      <w:pPr>
        <w:pStyle w:val="21"/>
      </w:pPr>
      <w:r>
        <w:t>H.6 凸融合路由后悔精确分解的数值验证</w:t>
      </w:r>
    </w:p>
    <w:p>
      <w:pPr>
        <w:spacing w:line="360" w:lineRule="auto"/>
      </w:pPr>
      <w:r>
        <w:rPr>
          <w:rFonts w:ascii="宋体" w:hAnsi="宋体" w:eastAsia="宋体"/>
          <w:sz w:val="21"/>
        </w:rPr>
        <w:t>令 a、b 分别为直接角色专家和种类映射专家在真实角色上的概率，M=max(a,b)，d=|a-b|，delta=|g-g_o|。在两专家凸融合下，融合真值类概率与路由后悔满足 p_g=M-delta d 和 r=-log(1-delta d/M)。这是一条针对当前计算图的精确恒等式：门控偏离和专家概率差距的乘积给出相对更优专家的概率损失，随后经对数变换得到路由后悔。</w:t>
      </w:r>
    </w:p>
    <w:tbl>
      <w:tblPr>
        <w:tblStyle w:val="aff1"/>
        <w:tblW w:type="auto" w:w="0"/>
        <w:tblLook w:firstColumn="1" w:firstRow="1" w:lastColumn="0" w:lastRow="0" w:noHBand="0" w:noVBand="1" w:val="04A0"/>
      </w:tblPr>
      <w:tblGrid>
        <w:gridCol w:w="1837"/>
        <w:gridCol w:w="1837"/>
        <w:gridCol w:w="1837"/>
        <w:gridCol w:w="1837"/>
        <w:gridCol w:w="1837"/>
      </w:tblGrid>
      <w:tr>
        <w:tc>
          <w:tcPr>
            <w:tcW w:type="dxa" w:w="1837"/>
          </w:tcPr>
          <w:p>
            <w:pPr>
              <w:jc w:val="center"/>
            </w:pPr>
            <w:r>
              <w:rPr>
                <w:rFonts w:ascii="宋体" w:hAnsi="宋体" w:eastAsia="宋体"/>
                <w:b/>
                <w:sz w:val="17"/>
              </w:rPr>
              <w:t>协议</w:t>
            </w:r>
          </w:p>
        </w:tc>
        <w:tc>
          <w:tcPr>
            <w:tcW w:type="dxa" w:w="1837"/>
          </w:tcPr>
          <w:p>
            <w:pPr>
              <w:jc w:val="center"/>
            </w:pPr>
            <w:r>
              <w:rPr>
                <w:rFonts w:ascii="宋体" w:hAnsi="宋体" w:eastAsia="宋体"/>
                <w:b/>
                <w:sz w:val="17"/>
              </w:rPr>
              <w:t>图像数</w:t>
            </w:r>
          </w:p>
        </w:tc>
        <w:tc>
          <w:tcPr>
            <w:tcW w:type="dxa" w:w="1837"/>
          </w:tcPr>
          <w:p>
            <w:pPr>
              <w:jc w:val="center"/>
            </w:pPr>
            <w:r>
              <w:rPr>
                <w:rFonts w:ascii="宋体" w:hAnsi="宋体" w:eastAsia="宋体"/>
                <w:b/>
                <w:sz w:val="17"/>
              </w:rPr>
              <w:t>平均绝对残差</w:t>
            </w:r>
          </w:p>
        </w:tc>
        <w:tc>
          <w:tcPr>
            <w:tcW w:type="dxa" w:w="1837"/>
          </w:tcPr>
          <w:p>
            <w:pPr>
              <w:jc w:val="center"/>
            </w:pPr>
            <w:r>
              <w:rPr>
                <w:rFonts w:ascii="宋体" w:hAnsi="宋体" w:eastAsia="宋体"/>
                <w:b/>
                <w:sz w:val="17"/>
              </w:rPr>
              <w:t>最大绝对残差</w:t>
            </w:r>
          </w:p>
        </w:tc>
        <w:tc>
          <w:tcPr>
            <w:tcW w:type="dxa" w:w="1837"/>
          </w:tcPr>
          <w:p>
            <w:pPr>
              <w:jc w:val="center"/>
            </w:pPr>
            <w:r>
              <w:rPr>
                <w:rFonts w:ascii="宋体" w:hAnsi="宋体" w:eastAsia="宋体"/>
                <w:b/>
                <w:sz w:val="17"/>
              </w:rPr>
              <w:t>违反数</w:t>
            </w:r>
          </w:p>
        </w:tc>
      </w:tr>
      <w:tr>
        <w:tc>
          <w:tcPr>
            <w:tcW w:type="dxa" w:w="1837"/>
          </w:tcPr>
          <w:p>
            <w:pPr>
              <w:jc w:val="center"/>
            </w:pPr>
            <w:r>
              <w:rPr>
                <w:rFonts w:ascii="宋体" w:hAnsi="宋体" w:eastAsia="宋体"/>
                <w:b w:val="0"/>
                <w:sz w:val="17"/>
              </w:rPr>
              <w:t>固定测试</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4.59e-08</w:t>
            </w:r>
          </w:p>
        </w:tc>
        <w:tc>
          <w:tcPr>
            <w:tcW w:type="dxa" w:w="1837"/>
          </w:tcPr>
          <w:p>
            <w:pPr>
              <w:jc w:val="center"/>
            </w:pPr>
            <w:r>
              <w:rPr>
                <w:rFonts w:ascii="宋体" w:hAnsi="宋体" w:eastAsia="宋体"/>
                <w:b w:val="0"/>
                <w:sz w:val="17"/>
              </w:rPr>
              <w:t>7.79e-07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摄影者留出</w:t>
            </w:r>
          </w:p>
        </w:tc>
        <w:tc>
          <w:tcPr>
            <w:tcW w:type="dxa" w:w="1837"/>
          </w:tcPr>
          <w:p>
            <w:pPr>
              <w:jc w:val="center"/>
            </w:pPr>
            <w:r>
              <w:rPr>
                <w:rFonts w:ascii="宋体" w:hAnsi="宋体" w:eastAsia="宋体"/>
                <w:b w:val="0"/>
                <w:sz w:val="17"/>
              </w:rPr>
              <w:t>2538</w:t>
            </w:r>
          </w:p>
        </w:tc>
        <w:tc>
          <w:tcPr>
            <w:tcW w:type="dxa" w:w="1837"/>
          </w:tcPr>
          <w:p>
            <w:pPr>
              <w:jc w:val="center"/>
            </w:pPr>
            <w:r>
              <w:rPr>
                <w:rFonts w:ascii="宋体" w:hAnsi="宋体" w:eastAsia="宋体"/>
                <w:b w:val="0"/>
                <w:sz w:val="17"/>
              </w:rPr>
              <w:t>4.61e-08</w:t>
            </w:r>
          </w:p>
        </w:tc>
        <w:tc>
          <w:tcPr>
            <w:tcW w:type="dxa" w:w="1837"/>
          </w:tcPr>
          <w:p>
            <w:pPr>
              <w:jc w:val="center"/>
            </w:pPr>
            <w:r>
              <w:rPr>
                <w:rFonts w:ascii="宋体" w:hAnsi="宋体" w:eastAsia="宋体"/>
                <w:b w:val="0"/>
                <w:sz w:val="17"/>
              </w:rPr>
              <w:t>7.67e-07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ResNet50 跨主干</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4.96e-08</w:t>
            </w:r>
          </w:p>
        </w:tc>
        <w:tc>
          <w:tcPr>
            <w:tcW w:type="dxa" w:w="1837"/>
          </w:tcPr>
          <w:p>
            <w:pPr>
              <w:jc w:val="center"/>
            </w:pPr>
            <w:r>
              <w:rPr>
                <w:rFonts w:ascii="宋体" w:hAnsi="宋体" w:eastAsia="宋体"/>
                <w:b w:val="0"/>
                <w:sz w:val="17"/>
              </w:rPr>
              <w:t>8.44e-07</w:t>
            </w:r>
          </w:p>
        </w:tc>
        <w:tc>
          <w:tcPr>
            <w:tcW w:type="dxa" w:w="1837"/>
          </w:tcPr>
          <w:p>
            <w:pPr>
              <w:jc w:val="center"/>
            </w:pPr>
            <w:r>
              <w:rPr>
                <w:rFonts w:ascii="宋体" w:hAnsi="宋体" w:eastAsia="宋体"/>
                <w:b w:val="0"/>
                <w:sz w:val="17"/>
              </w:rPr>
              <w:t>0</w:t>
            </w:r>
          </w:p>
        </w:tc>
      </w:tr>
    </w:tbl>
    <w:p/>
    <w:p>
      <w:pPr>
        <w:spacing w:line="360" w:lineRule="auto"/>
      </w:pPr>
      <w:r>
        <w:rPr>
          <w:rFonts w:ascii="宋体" w:hAnsi="宋体" w:eastAsia="宋体"/>
          <w:sz w:val="21"/>
        </w:rPr>
        <w:t>三种协议共覆盖 9 次、10,242 张图像。以 2.00e-06 为预设容差，精确分解的最大绝对残差为 8.44e-07，违反数为 0。非零残差来自 float32 概率和后悔值保存、再以十进制导出的有限精度，故这里的结论是容差内数值一致，而非数学意义上的零误差。</w:t>
      </w:r>
    </w:p>
    <w:p>
      <w:pPr>
        <w:spacing w:line="360" w:lineRule="auto"/>
      </w:pPr>
      <w:r>
        <w:rPr>
          <w:rFonts w:ascii="宋体" w:hAnsi="宋体" w:eastAsia="宋体"/>
          <w:sz w:val="21"/>
        </w:rPr>
        <w:t>该章节验证的是现有 RSG-HRGV 两专家凸融合的公式实现，不改变既有分类结果，也不构成 Accuracy、Macro F1、工业分选、品位、回收率、元素含量、真实外部泛化或未知矿物拒识能力的新增结论。</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