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00" w:line="288" w:lineRule="auto"/>
        <w:jc w:val="center"/>
      </w:pPr>
      <w:r>
        <w:rPr>
          <w:rFonts w:ascii="黑体" w:hAnsi="黑体" w:eastAsia="黑体"/>
          <w:b/>
          <w:color w:val="1F4E78"/>
          <w:sz w:val="40"/>
        </w:rPr>
        <w:t>钒钛关键战略材料四川省重点实验室</w:t>
      </w:r>
    </w:p>
    <w:p>
      <w:pPr>
        <w:spacing w:before="0" w:after="800" w:line="288" w:lineRule="auto"/>
        <w:jc w:val="center"/>
      </w:pPr>
      <w:r>
        <w:rPr>
          <w:rFonts w:ascii="黑体" w:hAnsi="黑体" w:eastAsia="黑体"/>
          <w:b/>
          <w:color w:val="1F4E78"/>
          <w:sz w:val="52"/>
        </w:rPr>
        <w:t>开放项目技术报告</w:t>
      </w:r>
    </w:p>
    <w:p>
      <w:pPr>
        <w:spacing w:before="0" w:after="1000" w:line="324" w:lineRule="auto"/>
        <w:jc w:val="center"/>
      </w:pPr>
      <w:r>
        <w:rPr>
          <w:rFonts w:ascii="黑体" w:hAnsi="黑体" w:eastAsia="黑体"/>
          <w:b/>
          <w:sz w:val="44"/>
        </w:rPr>
        <w:t>基于深度学习的钒钛矿相关矿物图像识别方法研究</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4422"/>
        <w:gridCol w:w="4422"/>
      </w:tblGrid>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项目编号</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项目承担单位</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项目负责人</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[待填]</w:t>
            </w:r>
          </w:p>
        </w:tc>
      </w:tr>
      <w:tr>
        <w:tc>
          <w:tcPr>
            <w:tcW w:type="dxa" w:w="2268"/>
            <w:tcMar>
              <w:top w:w="160" w:type="dxa"/>
              <w:start w:w="180" w:type="dxa"/>
              <w:bottom w:w="160" w:type="dxa"/>
              <w:end w:w="180" w:type="dxa"/>
            </w:tcMar>
            <w:shd w:fill="E8EEF5"/>
          </w:tcPr>
          <w:p>
            <w:pPr>
              <w:spacing w:before="0" w:after="0" w:line="288" w:lineRule="auto"/>
              <w:jc w:val="center"/>
            </w:pPr>
            <w:r>
              <w:rPr>
                <w:rFonts w:ascii="黑体" w:hAnsi="黑体" w:eastAsia="黑体"/>
                <w:b/>
                <w:sz w:val="24"/>
              </w:rPr>
              <w:t>报告完成日期</w:t>
            </w:r>
          </w:p>
        </w:tc>
        <w:tc>
          <w:tcPr>
            <w:tcW w:type="dxa" w:w="4536"/>
            <w:tcMar>
              <w:top w:w="160" w:type="dxa"/>
              <w:start w:w="180" w:type="dxa"/>
              <w:bottom w:w="160" w:type="dxa"/>
              <w:end w:w="180" w:type="dxa"/>
            </w:tcMar>
          </w:tcPr>
          <w:p>
            <w:pPr>
              <w:spacing w:before="0" w:after="0" w:line="288" w:lineRule="auto"/>
              <w:jc w:val="center"/>
            </w:pPr>
            <w:r>
              <w:rPr>
                <w:rFonts w:ascii="宋体" w:hAnsi="宋体" w:eastAsia="宋体"/>
                <w:b w:val="0"/>
                <w:sz w:val="24"/>
              </w:rPr>
              <w:t>2026 年 7 月</w:t>
            </w:r>
          </w:p>
        </w:tc>
      </w:tr>
    </w:tbl>
    <w:p>
      <w:r>
        <w:br w:type="page"/>
      </w:r>
    </w:p>
    <w:p>
      <w:pPr>
        <w:spacing w:before="320" w:after="160" w:line="288" w:lineRule="auto"/>
        <w:keepNext/>
      </w:pPr>
      <w:r>
        <w:rPr>
          <w:rFonts w:ascii="黑体" w:hAnsi="黑体" w:eastAsia="黑体"/>
          <w:b/>
          <w:color w:val="1F4E78"/>
          <w:sz w:val="32"/>
        </w:rPr>
        <w:t>摘  要</w:t>
      </w:r>
    </w:p>
    <w:p>
      <w:pPr>
        <w:spacing w:before="0" w:after="100" w:line="360" w:lineRule="auto"/>
        <w:ind w:firstLine="420"/>
        <w:jc w:val="both"/>
      </w:pPr>
      <w:r>
        <w:rPr>
          <w:rFonts w:ascii="宋体" w:hAnsi="宋体" w:eastAsia="宋体"/>
          <w:b w:val="0"/>
          <w:sz w:val="24"/>
        </w:rPr>
        <w:t>针对钒钛矿相关组分矿物在公开矿物标本图像中存在来源异构、伴生矿物复杂和困难负样本易混淆等问题，本文开展了基于深度学习的四分类图像识别方法研究。以公开矿物数据库中的矿物标本照片为主要来源，建立了包含目标矿物、含钛干扰矿物、脉石/废石和金属光泽干扰矿物四类样本的数据集，并为图像保留矿物标签、Mindat 图片编号、来源页面及筛选决策等元数据。通过主体清晰度筛选、混合样本隔离、重复图像检测和分层复核，形成了可追溯的固定训练、验证与测试清单。</w:t>
      </w:r>
    </w:p>
    <w:p>
      <w:pPr>
        <w:spacing w:before="0" w:after="100" w:line="360" w:lineRule="auto"/>
        <w:ind w:firstLine="420"/>
        <w:jc w:val="both"/>
      </w:pPr>
      <w:r>
        <w:rPr>
          <w:rFonts w:ascii="宋体" w:hAnsi="宋体" w:eastAsia="宋体"/>
          <w:b w:val="0"/>
          <w:sz w:val="24"/>
        </w:rPr>
        <w:t>在 8,529 张图像上，采用 ImageNet 预训练的 ResNet50 和 EfficientNet-B0 进行三随机种子重复训练。实验表明，EfficientNet-B0 的平均 Macro F1 为 72.87%±1.21%，ResNet50 为 72.06%±0.92%。进一步以 17 类矿物种类和四类选矿角色的固定映射为基础，对共享视觉特征上的角色头、种类头、目标代理头和投影头进行理论化分层建模，并使用种类概率到角色概率的聚合与 KL 一致性约束。受控逻辑条件验证中，48 个角色一致候选集的角色唯一可识别率为 100.00%，51 个角色冲突候选集为 0.00%；该实验不使用图像标签推断或模型预测。固定测试划分上的选择性识别结果显示，阈值 0.90 时三随机种子平均覆盖率为 60.88%，保留样本错误率为 11.71%。这些结果仅支持理论形式化、受控逻辑验证和固定划分上的覆盖率—风险取舍，不构成工业分选、品位/回收率、真实 XRF 成本最优、外部验证或统计显著性结论。</w:t>
      </w:r>
    </w:p>
    <w:p>
      <w:pPr>
        <w:spacing w:before="80" w:after="240" w:line="324" w:lineRule="auto"/>
      </w:pPr>
      <w:r>
        <w:rPr>
          <w:rFonts w:ascii="黑体" w:hAnsi="黑体" w:eastAsia="黑体"/>
          <w:b/>
          <w:sz w:val="24"/>
        </w:rPr>
        <w:t>关键词：</w:t>
      </w:r>
      <w:r>
        <w:rPr>
          <w:rFonts w:ascii="宋体" w:hAnsi="宋体" w:eastAsia="宋体"/>
          <w:b w:val="0"/>
          <w:sz w:val="24"/>
        </w:rPr>
        <w:t>钒钛矿；矿物图像识别；深度学习；数据集构建；困难负样本；分层一致性学习</w:t>
      </w:r>
    </w:p>
    <w:p>
      <w:pPr>
        <w:spacing w:before="320" w:after="160" w:line="288" w:lineRule="auto"/>
        <w:keepNext/>
      </w:pPr>
      <w:r>
        <w:rPr>
          <w:rFonts w:ascii="黑体" w:hAnsi="黑体" w:eastAsia="黑体"/>
          <w:b/>
          <w:color w:val="1F4E78"/>
          <w:sz w:val="32"/>
        </w:rPr>
        <w:t>目  录</w:t>
      </w:r>
    </w:p>
    <w:p>
      <w:pPr>
        <w:spacing w:before="0" w:after="60" w:line="312" w:lineRule="auto"/>
      </w:pPr>
      <w:r>
        <w:rPr>
          <w:rFonts w:ascii="宋体" w:hAnsi="宋体" w:eastAsia="宋体"/>
          <w:b w:val="0"/>
          <w:sz w:val="24"/>
        </w:rPr>
        <w:t>1 研究背景与目标</w:t>
      </w:r>
    </w:p>
    <w:p>
      <w:pPr>
        <w:spacing w:before="0" w:after="60" w:line="312" w:lineRule="auto"/>
      </w:pPr>
      <w:r>
        <w:rPr>
          <w:rFonts w:ascii="宋体" w:hAnsi="宋体" w:eastAsia="宋体"/>
          <w:b w:val="0"/>
          <w:sz w:val="24"/>
        </w:rPr>
        <w:t>2 总体技术路线</w:t>
      </w:r>
    </w:p>
    <w:p>
      <w:pPr>
        <w:spacing w:before="0" w:after="60" w:line="312" w:lineRule="auto"/>
      </w:pPr>
      <w:r>
        <w:rPr>
          <w:rFonts w:ascii="宋体" w:hAnsi="宋体" w:eastAsia="宋体"/>
          <w:b w:val="0"/>
          <w:sz w:val="24"/>
        </w:rPr>
        <w:t>3 数据集构建与质量控制</w:t>
      </w:r>
    </w:p>
    <w:p>
      <w:pPr>
        <w:spacing w:before="0" w:after="60" w:line="312" w:lineRule="auto"/>
      </w:pPr>
      <w:r>
        <w:rPr>
          <w:rFonts w:ascii="宋体" w:hAnsi="宋体" w:eastAsia="宋体"/>
          <w:b w:val="0"/>
          <w:sz w:val="24"/>
        </w:rPr>
        <w:t>4 模型与实验设计</w:t>
      </w:r>
    </w:p>
    <w:p>
      <w:pPr>
        <w:spacing w:before="0" w:after="60" w:line="312" w:lineRule="auto"/>
      </w:pPr>
      <w:r>
        <w:rPr>
          <w:rFonts w:ascii="宋体" w:hAnsi="宋体" w:eastAsia="宋体"/>
          <w:b w:val="0"/>
          <w:sz w:val="24"/>
        </w:rPr>
        <w:t>5 实验结果与讨论</w:t>
      </w:r>
    </w:p>
    <w:p>
      <w:pPr>
        <w:spacing w:before="0" w:after="60" w:line="312" w:lineRule="auto"/>
      </w:pPr>
      <w:r>
        <w:rPr>
          <w:rFonts w:ascii="宋体" w:hAnsi="宋体" w:eastAsia="宋体"/>
          <w:b w:val="0"/>
          <w:sz w:val="24"/>
        </w:rPr>
        <w:t>6 主要创新与阶段性成果</w:t>
      </w:r>
    </w:p>
    <w:p>
      <w:pPr>
        <w:spacing w:before="0" w:after="60" w:line="312" w:lineRule="auto"/>
      </w:pPr>
      <w:r>
        <w:rPr>
          <w:rFonts w:ascii="宋体" w:hAnsi="宋体" w:eastAsia="宋体"/>
          <w:b w:val="0"/>
          <w:sz w:val="24"/>
        </w:rPr>
        <w:t>7 局限性与后续研究</w:t>
      </w:r>
    </w:p>
    <w:p>
      <w:pPr>
        <w:spacing w:before="0" w:after="60" w:line="312" w:lineRule="auto"/>
      </w:pPr>
      <w:r>
        <w:rPr>
          <w:rFonts w:ascii="宋体" w:hAnsi="宋体" w:eastAsia="宋体"/>
          <w:b w:val="0"/>
          <w:sz w:val="24"/>
        </w:rPr>
        <w:t>8 结论</w:t>
      </w:r>
    </w:p>
    <w:p>
      <w:pPr>
        <w:spacing w:before="0" w:after="60" w:line="312" w:lineRule="auto"/>
      </w:pPr>
      <w:r>
        <w:rPr>
          <w:rFonts w:ascii="宋体" w:hAnsi="宋体" w:eastAsia="宋体"/>
          <w:b w:val="0"/>
          <w:sz w:val="24"/>
        </w:rPr>
        <w:t>参考文献</w:t>
      </w:r>
    </w:p>
    <w:p>
      <w:pPr>
        <w:spacing w:before="0" w:after="60" w:line="312" w:lineRule="auto"/>
      </w:pPr>
      <w:r>
        <w:rPr>
          <w:rFonts w:ascii="宋体" w:hAnsi="宋体" w:eastAsia="宋体"/>
          <w:b w:val="0"/>
          <w:sz w:val="24"/>
        </w:rPr>
        <w:t>附录 A 数据字段与复现说明</w:t>
      </w:r>
    </w:p>
    <w:p>
      <w:r>
        <w:br w:type="page"/>
      </w:r>
    </w:p>
    <w:p>
      <w:pPr>
        <w:spacing w:before="320" w:after="160" w:line="288" w:lineRule="auto"/>
        <w:keepNext/>
      </w:pPr>
      <w:r>
        <w:rPr>
          <w:rFonts w:ascii="黑体" w:hAnsi="黑体" w:eastAsia="黑体"/>
          <w:b/>
          <w:color w:val="1F4E78"/>
          <w:sz w:val="32"/>
        </w:rPr>
        <w:t>1 研究背景与目标</w:t>
      </w:r>
    </w:p>
    <w:p>
      <w:pPr>
        <w:spacing w:before="240" w:after="120" w:line="288" w:lineRule="auto"/>
        <w:keepNext/>
      </w:pPr>
      <w:r>
        <w:rPr>
          <w:rFonts w:ascii="黑体" w:hAnsi="黑体" w:eastAsia="黑体"/>
          <w:b/>
          <w:color w:val="1F4E78"/>
          <w:sz w:val="28"/>
        </w:rPr>
        <w:t>1.1 研究背景</w:t>
      </w:r>
    </w:p>
    <w:p>
      <w:pPr>
        <w:spacing w:before="0" w:after="100" w:line="360" w:lineRule="auto"/>
        <w:ind w:firstLine="420"/>
        <w:jc w:val="both"/>
      </w:pPr>
      <w:r>
        <w:rPr>
          <w:rFonts w:ascii="宋体" w:hAnsi="宋体" w:eastAsia="宋体"/>
          <w:b w:val="0"/>
          <w:sz w:val="24"/>
        </w:rPr>
        <w:t>钒、钛、铁等战略金属的高效利用依赖于对矿石组分、伴生矿物和脉石的有效识别。传统矿物鉴定通常需要显微镜、X 射线荧光光谱、X 射线衍射或化学分析等手段，具有可靠性高但设备依赖强、现场快速初筛成本较高的特点。机器视觉和深度学习可以从颜色、光泽、晶体形态、粒度与基质等可见外观线索中提取特征，为矿物识别与预选提供辅助信息。</w:t>
      </w:r>
    </w:p>
    <w:p>
      <w:pPr>
        <w:spacing w:before="0" w:after="100" w:line="360" w:lineRule="auto"/>
        <w:ind w:firstLine="420"/>
        <w:jc w:val="both"/>
      </w:pPr>
      <w:r>
        <w:rPr>
          <w:rFonts w:ascii="宋体" w:hAnsi="宋体" w:eastAsia="宋体"/>
          <w:b w:val="0"/>
          <w:sz w:val="24"/>
        </w:rPr>
        <w:t>与直接使用工业皮带图像不同，公开矿物标本照片的来源、拍摄背景、尺度和伴生关系更复杂，但也提供了较丰富的类内变化。利用此类数据建立结构清晰、来源可追溯、划分受控的识别基线，可作为后续真实矿石颗粒图像、光谱信息及工艺变量融合建模之前的研究基础。</w:t>
      </w:r>
    </w:p>
    <w:p>
      <w:pPr>
        <w:spacing w:before="240" w:after="120" w:line="288" w:lineRule="auto"/>
        <w:keepNext/>
      </w:pPr>
      <w:r>
        <w:rPr>
          <w:rFonts w:ascii="黑体" w:hAnsi="黑体" w:eastAsia="黑体"/>
          <w:b/>
          <w:color w:val="1F4E78"/>
          <w:sz w:val="28"/>
        </w:rPr>
        <w:t>1.2 研究范围与定位</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8844"/>
      </w:tblGrid>
      <w:tr>
        <w:tc>
          <w:tcPr>
            <w:tcW w:type="dxa" w:w="8844"/>
            <w:shd w:fill="F4F7FA"/>
            <w:tcMar>
              <w:top w:w="120" w:type="dxa"/>
              <w:start w:w="160" w:type="dxa"/>
              <w:bottom w:w="120" w:type="dxa"/>
              <w:end w:w="160" w:type="dxa"/>
            </w:tcMar>
          </w:tcPr>
          <w:p>
            <w:pPr>
              <w:spacing w:before="0" w:after="0" w:line="324" w:lineRule="auto"/>
            </w:pPr>
            <w:r>
              <w:rPr>
                <w:rFonts w:ascii="黑体" w:hAnsi="黑体" w:eastAsia="黑体"/>
                <w:b/>
                <w:color w:val="1F4E78"/>
                <w:sz w:val="22"/>
              </w:rPr>
              <w:t>研究定位：</w:t>
            </w:r>
            <w:r>
              <w:rPr>
                <w:rFonts w:ascii="宋体" w:hAnsi="宋体" w:eastAsia="宋体"/>
                <w:b w:val="0"/>
                <w:sz w:val="22"/>
              </w:rPr>
              <w:t>本报告研究的是公开矿物标本图像条件下的钒钛矿相关组分矿物视觉识别方法验证。模型输出反映可见外观类别，不用于直接预测钒、钛、铁品位、回收率或工业生产线分选效率。</w:t>
            </w:r>
          </w:p>
        </w:tc>
      </w:tr>
    </w:tbl>
    <w:p>
      <w:pPr>
        <w:spacing w:after="0"/>
      </w:pPr>
    </w:p>
    <w:p>
      <w:pPr>
        <w:spacing w:before="240" w:after="120" w:line="288" w:lineRule="auto"/>
        <w:keepNext/>
      </w:pPr>
      <w:r>
        <w:rPr>
          <w:rFonts w:ascii="黑体" w:hAnsi="黑体" w:eastAsia="黑体"/>
          <w:b/>
          <w:color w:val="1F4E78"/>
          <w:sz w:val="28"/>
        </w:rPr>
        <w:t>1.3 研究目标</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623"/>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序号</w:t>
            </w:r>
          </w:p>
        </w:tc>
        <w:tc>
          <w:tcPr>
            <w:tcW w:type="dxa" w:w="283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研究目标</w:t>
            </w:r>
          </w:p>
        </w:tc>
        <w:tc>
          <w:tcPr>
            <w:tcW w:type="dxa" w:w="453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完成方式</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1</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建立可追溯的钒钛矿相关矿物图像数据资源</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保留来源页面、矿物标签、图片编号、筛选决策与固定清单</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2</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构建面向分选风险的四分类任务</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将非目标样本细分为含钛干扰、脉石/废石和金属光泽困难干扰</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3</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建立深度学习识别基线并评价稳定性</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采用 ResNet50、EfficientNet-B0，三随机种子训练与固定测试集评价</w:t>
            </w:r>
          </w:p>
        </w:tc>
      </w:tr>
      <w:tr>
        <w:tc>
          <w:tcPr>
            <w:tcW w:type="dxa" w:w="623"/>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4</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分析模型失效模式并提出改进方向</w:t>
            </w:r>
          </w:p>
        </w:tc>
        <w:tc>
          <w:tcPr>
            <w:tcW w:type="dxa" w:w="453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混淆矩阵、错分对统计、三随机种子 Focal Loss 消融、角色感知学习和分层模型组件消融</w:t>
            </w:r>
          </w:p>
        </w:tc>
      </w:tr>
    </w:tbl>
    <w:p>
      <w:pPr>
        <w:spacing w:after="60"/>
      </w:pPr>
    </w:p>
    <w:p>
      <w:pPr>
        <w:spacing w:before="320" w:after="160" w:line="288" w:lineRule="auto"/>
        <w:keepNext/>
      </w:pPr>
      <w:r>
        <w:rPr>
          <w:rFonts w:ascii="黑体" w:hAnsi="黑体" w:eastAsia="黑体"/>
          <w:b/>
          <w:color w:val="1F4E78"/>
          <w:sz w:val="32"/>
        </w:rPr>
        <w:t>2 总体技术路线</w:t>
      </w:r>
    </w:p>
    <w:p>
      <w:pPr>
        <w:spacing w:before="0" w:after="100" w:line="360" w:lineRule="auto"/>
        <w:ind w:firstLine="420"/>
        <w:jc w:val="both"/>
      </w:pPr>
      <w:r>
        <w:rPr>
          <w:rFonts w:ascii="宋体" w:hAnsi="宋体" w:eastAsia="宋体"/>
          <w:b w:val="0"/>
          <w:sz w:val="24"/>
        </w:rPr>
        <w:t>本研究按照“公开图像采集—质量筛选与标注—固定划分—深度模型训练—多维评价—错误诊断”的流程开展。数据层面强调来源与筛选记录，训练层面强调固定划分和多随机种子重复，分析层面强调困难类别与具体错分方向，而非仅报告总体准确率。</w:t>
      </w:r>
    </w:p>
    <w:p>
      <w:pPr>
        <w:spacing w:before="80" w:after="40" w:line="240" w:lineRule="auto"/>
        <w:jc w:val="center"/>
      </w:pPr>
      <w:r>
        <w:drawing>
          <wp:inline xmlns:a="http://schemas.openxmlformats.org/drawingml/2006/main" xmlns:pic="http://schemas.openxmlformats.org/drawingml/2006/picture">
            <wp:extent cx="5760000" cy="2240000"/>
            <wp:docPr id="1" name="Picture 1"/>
            <wp:cNvGraphicFramePr>
              <a:graphicFrameLocks noChangeAspect="1"/>
            </wp:cNvGraphicFramePr>
            <a:graphic>
              <a:graphicData uri="http://schemas.openxmlformats.org/drawingml/2006/picture">
                <pic:pic>
                  <pic:nvPicPr>
                    <pic:cNvPr id="0" name="技术报告_配图_总体技术路线.png"/>
                    <pic:cNvPicPr/>
                  </pic:nvPicPr>
                  <pic:blipFill>
                    <a:blip r:embed="rId11"/>
                    <a:stretch>
                      <a:fillRect/>
                    </a:stretch>
                  </pic:blipFill>
                  <pic:spPr>
                    <a:xfrm>
                      <a:off x="0" y="0"/>
                      <a:ext cx="5760000" cy="2240000"/>
                    </a:xfrm>
                    <a:prstGeom prst="rect"/>
                  </pic:spPr>
                </pic:pic>
              </a:graphicData>
            </a:graphic>
          </wp:inline>
        </w:drawing>
      </w:r>
    </w:p>
    <w:p>
      <w:pPr>
        <w:spacing w:before="80" w:after="160" w:line="276" w:lineRule="auto"/>
        <w:jc w:val="center"/>
      </w:pPr>
      <w:r>
        <w:rPr>
          <w:rFonts w:ascii="宋体" w:hAnsi="宋体" w:eastAsia="宋体"/>
          <w:b w:val="0"/>
          <w:sz w:val="21"/>
        </w:rPr>
        <w:t>图 1 本研究总体技术路线</w:t>
      </w:r>
    </w:p>
    <w:p>
      <w:pPr>
        <w:spacing w:before="240" w:after="120" w:line="288" w:lineRule="auto"/>
        <w:keepNext/>
      </w:pPr>
      <w:r>
        <w:rPr>
          <w:rFonts w:ascii="黑体" w:hAnsi="黑体" w:eastAsia="黑体"/>
          <w:b/>
          <w:color w:val="1F4E78"/>
          <w:sz w:val="28"/>
        </w:rPr>
        <w:t>2.1 任务定义</w:t>
      </w:r>
    </w:p>
    <w:p>
      <w:pPr>
        <w:spacing w:before="0" w:after="100" w:line="360" w:lineRule="auto"/>
        <w:ind w:firstLine="420"/>
        <w:jc w:val="both"/>
      </w:pPr>
      <w:r>
        <w:rPr>
          <w:rFonts w:ascii="宋体" w:hAnsi="宋体" w:eastAsia="宋体"/>
          <w:b w:val="0"/>
          <w:sz w:val="24"/>
        </w:rPr>
        <w:t>为避免将所有非目标矿物简单合并为同一类别，本研究设定四分类任务：目标矿物（magnetite、ilmenite、titanomagnetite 等相关组分的视觉代理）、含钛干扰矿物、脉石/废石和金属光泽困难干扰矿物。该设计使模型既需区分目标与非目标，也需面对含钛、暗色和金属光泽等更接近目标类的干扰条件。</w:t>
      </w:r>
    </w:p>
    <w:p>
      <w:pPr>
        <w:spacing w:before="320" w:after="160" w:line="288" w:lineRule="auto"/>
        <w:keepNext/>
      </w:pPr>
      <w:r>
        <w:rPr>
          <w:rFonts w:ascii="黑体" w:hAnsi="黑体" w:eastAsia="黑体"/>
          <w:b/>
          <w:color w:val="1F4E78"/>
          <w:sz w:val="32"/>
        </w:rPr>
        <w:t>3 数据集构建与质量控制</w:t>
      </w:r>
    </w:p>
    <w:p>
      <w:pPr>
        <w:spacing w:before="240" w:after="120" w:line="288" w:lineRule="auto"/>
        <w:keepNext/>
      </w:pPr>
      <w:r>
        <w:rPr>
          <w:rFonts w:ascii="黑体" w:hAnsi="黑体" w:eastAsia="黑体"/>
          <w:b/>
          <w:color w:val="1F4E78"/>
          <w:sz w:val="28"/>
        </w:rPr>
        <w:t>3.1 数据来源与元数据</w:t>
      </w:r>
    </w:p>
    <w:p>
      <w:pPr>
        <w:spacing w:before="0" w:after="100" w:line="360" w:lineRule="auto"/>
        <w:ind w:firstLine="420"/>
        <w:jc w:val="both"/>
      </w:pPr>
      <w:r>
        <w:rPr>
          <w:rFonts w:ascii="宋体" w:hAnsi="宋体" w:eastAsia="宋体"/>
          <w:b w:val="0"/>
          <w:sz w:val="24"/>
        </w:rPr>
        <w:t>图像主要来自 Mindat 等公开矿物信息页面。每张纳入管理的图像记录原始文件名、矿物标签、Mindat 图片编号、详情页链接、页面标题和初步筛选结论等字段。该方式保证后续可回溯图像来源与标签依据，同时避免将未经核验的网页抓取结果直接作为训练样本。</w:t>
      </w:r>
    </w:p>
    <w:p>
      <w:pPr>
        <w:spacing w:before="240" w:after="120" w:line="288" w:lineRule="auto"/>
        <w:keepNext/>
      </w:pPr>
      <w:r>
        <w:rPr>
          <w:rFonts w:ascii="黑体" w:hAnsi="黑体" w:eastAsia="黑体"/>
          <w:b/>
          <w:color w:val="1F4E78"/>
          <w:sz w:val="28"/>
        </w:rPr>
        <w:t>3.2 类别体系与样本规模</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58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任务标签</w:t>
            </w:r>
          </w:p>
        </w:tc>
        <w:tc>
          <w:tcPr>
            <w:tcW w:type="dxa" w:w="85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样本数</w:t>
            </w:r>
          </w:p>
        </w:tc>
        <w:tc>
          <w:tcPr>
            <w:tcW w:type="dxa" w:w="368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主要子类</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设置目的</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目标矿物</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1,661</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magnetite 1,316；ilmenite 322；titanomagnetite 23</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模拟钒钛矿相关有用组分的视觉代理</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含钛干扰矿物</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3,268</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rutile、anatase、perovskite、titanite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避免将所有含钛矿物误判为目标</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脉石/废石</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2,427</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fluorapatite、vesuvianite、quartz、feldspar、calcite、pyroxene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模拟分选中的脉石与废石干扰</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金属光泽干扰</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1,173</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pyrite、hematite、goethite、chalcopyrite 等</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检验模型是否仅凭暗色或反光特征误判</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合计</w:t>
            </w:r>
          </w:p>
        </w:tc>
        <w:tc>
          <w:tcPr>
            <w:tcW w:type="dxa" w:w="850"/>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8,529</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固定版本 dataset_final_v1</w:t>
            </w:r>
          </w:p>
        </w:tc>
      </w:tr>
    </w:tbl>
    <w:p>
      <w:pPr>
        <w:spacing w:after="60"/>
      </w:pPr>
    </w:p>
    <w:p>
      <w:pPr>
        <w:spacing w:before="240" w:after="120" w:line="288" w:lineRule="auto"/>
        <w:keepNext/>
      </w:pPr>
      <w:r>
        <w:rPr>
          <w:rFonts w:ascii="黑体" w:hAnsi="黑体" w:eastAsia="黑体"/>
          <w:b/>
          <w:color w:val="1F4E78"/>
          <w:sz w:val="28"/>
        </w:rPr>
        <w:t>3.3 图像筛选与分层复核</w:t>
      </w:r>
    </w:p>
    <w:p>
      <w:pPr>
        <w:spacing w:before="0" w:after="100" w:line="360" w:lineRule="auto"/>
        <w:ind w:firstLine="420"/>
        <w:jc w:val="both"/>
      </w:pPr>
      <w:r>
        <w:rPr>
          <w:rFonts w:ascii="宋体" w:hAnsi="宋体" w:eastAsia="宋体"/>
          <w:b w:val="0"/>
          <w:sz w:val="24"/>
        </w:rPr>
        <w:t>预筛阶段保留矿物主体占画面比例较高、颜色/光泽/块状或晶体形态可辨、分辨率满足识别需要且页面标签清晰的图片；剔除主体不明、多矿物混杂、严重模糊、过暗/过曝、纯显微照片及标尺、硬币、人手占比过大的图片。标题出现多个矿物且主体不清晰的样本先进入 mixed_uncertain 队列，不直接作为单标签正样本。</w:t>
      </w:r>
    </w:p>
    <w:p>
      <w:pPr>
        <w:spacing w:before="0" w:after="100" w:line="360" w:lineRule="auto"/>
        <w:ind w:firstLine="420"/>
        <w:jc w:val="both"/>
      </w:pPr>
      <w:r>
        <w:rPr>
          <w:rFonts w:ascii="宋体" w:hAnsi="宋体" w:eastAsia="宋体"/>
          <w:b w:val="0"/>
          <w:sz w:val="24"/>
        </w:rPr>
        <w:t>数据质控采用分层抽检与复核记录机制。共建立 823 张复核队列，其中 789 张保留、32 张排除、2 张标记为 needs_expert 并不进入最终训练清单。完全重复图像、近重复图像和跨标签冲突样本均在数据划分前进行审查。复核结论已形成；为保证项目归档可追溯性，复核人、复核日期及 3 条缺失的排除原因仍需由实际复核人员补录到原始复核队列。</w:t>
      </w:r>
    </w:p>
    <w:p>
      <w:pPr>
        <w:spacing w:before="240" w:after="120" w:line="288" w:lineRule="auto"/>
        <w:keepNext/>
      </w:pPr>
      <w:r>
        <w:rPr>
          <w:rFonts w:ascii="黑体" w:hAnsi="黑体" w:eastAsia="黑体"/>
          <w:b/>
          <w:color w:val="1F4E78"/>
          <w:sz w:val="28"/>
        </w:rPr>
        <w:t>3.4 固定划分与泄漏控制</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集合</w:t>
            </w:r>
          </w:p>
        </w:tc>
        <w:tc>
          <w:tcPr>
            <w:tcW w:type="dxa" w:w="124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图像数</w:t>
            </w:r>
          </w:p>
        </w:tc>
        <w:tc>
          <w:tcPr>
            <w:tcW w:type="dxa" w:w="124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比例</w:t>
            </w:r>
          </w:p>
        </w:tc>
        <w:tc>
          <w:tcPr>
            <w:tcW w:type="dxa" w:w="379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用途</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训练集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5,961</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69.89%</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模型参数学习与数据增强</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验证集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1,284</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15.05%</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早停与超参数观察</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测试集</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1,284</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15.05%</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固定的最终性能评价</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合计</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8,529</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100.00%</w:t>
            </w:r>
          </w:p>
        </w:tc>
        <w:tc>
          <w:tcPr>
            <w:tcW w:type="dxa" w:w="3798"/>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固定版本 dataset_final_v1</w:t>
            </w:r>
          </w:p>
        </w:tc>
      </w:tr>
    </w:tbl>
    <w:p>
      <w:pPr>
        <w:spacing w:after="60"/>
      </w:pPr>
    </w:p>
    <w:p>
      <w:pPr>
        <w:spacing w:before="0" w:after="100" w:line="360" w:lineRule="auto"/>
        <w:ind w:firstLine="420"/>
        <w:jc w:val="both"/>
      </w:pPr>
      <w:r>
        <w:rPr>
          <w:rFonts w:ascii="宋体" w:hAnsi="宋体" w:eastAsia="宋体"/>
          <w:b w:val="0"/>
          <w:sz w:val="24"/>
        </w:rPr>
        <w:t>划分时以 Mindat 图片编号和近重复图像组作为基本单元，确保同一来源图片或被识别为高度相近的图片不跨训练、验证和测试集合。该策略减少了同图或近同图泄漏导致的性能虚高风险。</w:t>
      </w:r>
    </w:p>
    <w:p>
      <w:pPr>
        <w:spacing w:before="320" w:after="160" w:line="288" w:lineRule="auto"/>
        <w:keepNext/>
      </w:pPr>
      <w:r>
        <w:rPr>
          <w:rFonts w:ascii="黑体" w:hAnsi="黑体" w:eastAsia="黑体"/>
          <w:b/>
          <w:color w:val="1F4E78"/>
          <w:sz w:val="32"/>
        </w:rPr>
        <w:t>4 模型与实验设计</w:t>
      </w:r>
    </w:p>
    <w:p>
      <w:pPr>
        <w:spacing w:before="240" w:after="120" w:line="288" w:lineRule="auto"/>
        <w:keepNext/>
      </w:pPr>
      <w:r>
        <w:rPr>
          <w:rFonts w:ascii="黑体" w:hAnsi="黑体" w:eastAsia="黑体"/>
          <w:b/>
          <w:color w:val="1F4E78"/>
          <w:sz w:val="28"/>
        </w:rPr>
        <w:t>4.1 对比模型</w:t>
      </w:r>
    </w:p>
    <w:p>
      <w:pPr>
        <w:spacing w:before="0" w:after="100" w:line="360" w:lineRule="auto"/>
        <w:ind w:firstLine="420"/>
        <w:jc w:val="both"/>
      </w:pPr>
      <w:r>
        <w:rPr>
          <w:rFonts w:ascii="宋体" w:hAnsi="宋体" w:eastAsia="宋体"/>
          <w:b w:val="0"/>
          <w:sz w:val="24"/>
        </w:rPr>
        <w:t>选用 ResNet50 与 EfficientNet-B0 作为对比基线。二者均加载 ImageNet 预训练权重，以适应本研究公开标本图像数据量有限、成像风格多样的特点。ResNet50 用于提供经典残差网络基线，EfficientNet-B0 用于考察复合缩放结构在该任务上的表现。</w:t>
      </w:r>
    </w:p>
    <w:p>
      <w:pPr>
        <w:spacing w:before="240" w:after="120" w:line="288" w:lineRule="auto"/>
        <w:keepNext/>
      </w:pPr>
      <w:r>
        <w:rPr>
          <w:rFonts w:ascii="黑体" w:hAnsi="黑体" w:eastAsia="黑体"/>
          <w:b/>
          <w:color w:val="1F4E78"/>
          <w:sz w:val="28"/>
        </w:rPr>
        <w:t>4.2 训练设置</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226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项目</w:t>
            </w:r>
          </w:p>
        </w:tc>
        <w:tc>
          <w:tcPr>
            <w:tcW w:type="dxa" w:w="572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设置</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输入与预训练</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ImageNet 预训练权重及相应标准化</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优化器</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AdamW</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类别不平衡处理</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按类别逆频率设置损失权重</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数据增强</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随机裁剪、水平翻转、旋转和颜色扰动等训练期增强</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早停</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以验证集 Macro F1 作为主要监控指标</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重复实验</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每种模型使用 20260727、20260728、20260729 三个随机种子独立训练</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评价指标</w:t>
            </w:r>
          </w:p>
        </w:tc>
        <w:tc>
          <w:tcPr>
            <w:tcW w:type="dxa" w:w="5726"/>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Accuracy、Macro Precision、Macro Recall、Macro F1 与各类别 Recall</w:t>
            </w:r>
          </w:p>
        </w:tc>
      </w:tr>
    </w:tbl>
    <w:p>
      <w:pPr>
        <w:spacing w:after="60"/>
      </w:pPr>
    </w:p>
    <w:p>
      <w:pPr>
        <w:spacing w:before="240" w:after="120" w:line="288" w:lineRule="auto"/>
        <w:keepNext/>
      </w:pPr>
      <w:r>
        <w:rPr>
          <w:rFonts w:ascii="黑体" w:hAnsi="黑体" w:eastAsia="黑体"/>
          <w:b/>
          <w:color w:val="1F4E78"/>
          <w:sz w:val="28"/>
        </w:rPr>
        <w:t>4.3 Focal Loss 三随机种子消融</w:t>
      </w:r>
    </w:p>
    <w:p>
      <w:pPr>
        <w:spacing w:before="0" w:after="100" w:line="360" w:lineRule="auto"/>
        <w:ind w:firstLine="420"/>
        <w:jc w:val="both"/>
      </w:pPr>
      <w:r>
        <w:rPr>
          <w:rFonts w:ascii="宋体" w:hAnsi="宋体" w:eastAsia="宋体"/>
          <w:b w:val="0"/>
          <w:sz w:val="24"/>
        </w:rPr>
        <w:t>在 EfficientNet-B0 的受控条件下，将加权交叉熵替换为类别加权 Focal Loss（gamma=2.0），其余数据版本、划分、网络、增强、优化器和训练设置保持一致。两个设置均使用 20260727、20260728 和 20260729 三个随机种子独立训练。该实验用于判断统一难例强调机制能否稳定改善四类任务及目标代理风险指标。</w:t>
      </w:r>
    </w:p>
    <w:p>
      <w:pPr>
        <w:spacing w:before="240" w:after="120" w:line="288" w:lineRule="auto"/>
        <w:keepNext/>
      </w:pPr>
      <w:r>
        <w:rPr>
          <w:rFonts w:ascii="黑体" w:hAnsi="黑体" w:eastAsia="黑体"/>
          <w:b/>
          <w:color w:val="1F4E78"/>
          <w:sz w:val="28"/>
        </w:rPr>
        <w:t>4.4 角色感知困难负样本学习</w:t>
      </w:r>
    </w:p>
    <w:p>
      <w:pPr>
        <w:spacing w:before="0" w:after="100" w:line="360" w:lineRule="auto"/>
        <w:ind w:firstLine="420"/>
        <w:jc w:val="both"/>
      </w:pPr>
      <w:r>
        <w:rPr>
          <w:rFonts w:ascii="宋体" w:hAnsi="宋体" w:eastAsia="宋体"/>
          <w:b w:val="0"/>
          <w:sz w:val="24"/>
        </w:rPr>
        <w:t>针对基线中目标矿物与含钛干扰、金属光泽干扰之间的主要错分方向，构建角色感知困难负样本模型。模型以 EfficientNet-B0 为共享特征主干，保留四分类主任务，同时增加目标代理/非目标代理二分类辅助头；训练阶段仅对“目标矿物—含钛干扰”和“目标矿物—金属光泽干扰”施加表示分离约束。总损失由四分类加权交叉熵、二分类辅助损失和关系感知对比损失组成。该设计不依赖虚构的品位、回收率或流程成本，将改进目标限定为降低公开标本图像条件下的关键视觉混淆。</w:t>
      </w:r>
    </w:p>
    <w:p>
      <w:pPr>
        <w:spacing w:before="240" w:after="120" w:line="288" w:lineRule="auto"/>
        <w:keepNext/>
      </w:pPr>
      <w:r>
        <w:rPr>
          <w:rFonts w:ascii="黑体" w:hAnsi="黑体" w:eastAsia="黑体"/>
          <w:b/>
          <w:color w:val="1F4E78"/>
          <w:sz w:val="28"/>
        </w:rPr>
        <w:t>4.5 理论模型与符号定义</w:t>
      </w:r>
    </w:p>
    <w:p>
      <w:pPr>
        <w:spacing w:before="0" w:after="100" w:line="360" w:lineRule="auto"/>
        <w:ind w:firstLine="420"/>
        <w:jc w:val="both"/>
      </w:pPr>
      <w:r>
        <w:rPr>
          <w:rFonts w:ascii="宋体" w:hAnsi="宋体" w:eastAsia="宋体"/>
          <w:b w:val="0"/>
          <w:sz w:val="24"/>
        </w:rPr>
        <w:t>在现有四分类角色标签之外，数据清单还保留了 17 类细粒度 mineral_label。理论感知分层模型以 EfficientNet-B0 产生共享视觉特征 h，并从同一特征并列导出角色头、种类头、目标代理二分类头和投影头；各输出头之间不存在串联依赖。种类—角色关系仅通过固定映射矩阵 A 对种类概率进行聚合，得到角色层概率，而不是把一个输出头直接作为另一个输出头的输入。</w:t>
      </w:r>
    </w:p>
    <w:p>
      <w:pPr>
        <w:spacing w:before="80" w:after="40" w:line="240" w:lineRule="auto"/>
        <w:jc w:val="center"/>
      </w:pPr>
      <w:r>
        <w:drawing>
          <wp:inline xmlns:a="http://schemas.openxmlformats.org/drawingml/2006/main" xmlns:pic="http://schemas.openxmlformats.org/drawingml/2006/picture">
            <wp:extent cx="5544000" cy="3252894"/>
            <wp:docPr id="2" name="Picture 2"/>
            <wp:cNvGraphicFramePr>
              <a:graphicFrameLocks noChangeAspect="1"/>
            </wp:cNvGraphicFramePr>
            <a:graphic>
              <a:graphicData uri="http://schemas.openxmlformats.org/drawingml/2006/picture">
                <pic:pic>
                  <pic:nvPicPr>
                    <pic:cNvPr id="0" name="fig10_theory_aware_hierarchical_architecture_cn.png"/>
                    <pic:cNvPicPr/>
                  </pic:nvPicPr>
                  <pic:blipFill>
                    <a:blip r:embed="rId12"/>
                    <a:stretch>
                      <a:fillRect/>
                    </a:stretch>
                  </pic:blipFill>
                  <pic:spPr>
                    <a:xfrm>
                      <a:off x="0" y="0"/>
                      <a:ext cx="5544000" cy="3252894"/>
                    </a:xfrm>
                    <a:prstGeom prst="rect"/>
                  </pic:spPr>
                </pic:pic>
              </a:graphicData>
            </a:graphic>
          </wp:inline>
        </w:drawing>
      </w:r>
    </w:p>
    <w:p>
      <w:pPr>
        <w:spacing w:before="80" w:after="160" w:line="276" w:lineRule="auto"/>
        <w:jc w:val="center"/>
      </w:pPr>
      <w:r>
        <w:rPr>
          <w:rFonts w:ascii="宋体" w:hAnsi="宋体" w:eastAsia="宋体"/>
          <w:b w:val="0"/>
          <w:sz w:val="21"/>
        </w:rPr>
        <w:t>图 2 理论感知分层识别模型结构：共享视觉特征、四个并列输出头与种类到角色的概率聚合</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符号</w:t>
            </w:r>
          </w:p>
        </w:tc>
        <w:tc>
          <w:tcPr>
            <w:tcW w:type="dxa" w:w="6293"/>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定义</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x</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输入矿物图像</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S</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细粒度矿物种类集合，当前包含 17 类</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R</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选矿角色集合，当前包含目标、含钛干扰、脉石/废石和金属光泽干扰四类</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A</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固定的种类—角色映射矩阵，A 的每一列仅对应一个角色</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p_s</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种类头输出的种类概率向量</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p_r</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角色头直接输出的角色概率向量</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p_tilde_r</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由 A 对 p_s 聚合得到的角色概率向量</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q(x)</w:t>
            </w:r>
          </w:p>
        </w:tc>
        <w:tc>
          <w:tcPr>
            <w:tcW w:type="dxa" w:w="6293"/>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角色预测的最大 Softmax 置信度，用于选择性识别</w:t>
            </w:r>
          </w:p>
        </w:tc>
      </w:tr>
    </w:tbl>
    <w:p>
      <w:pPr>
        <w:spacing w:after="60"/>
      </w:pPr>
    </w:p>
    <w:p>
      <w:pPr>
        <w:spacing w:before="0" w:after="100" w:line="360" w:lineRule="auto"/>
        <w:ind w:firstLine="420"/>
        <w:jc w:val="both"/>
      </w:pPr>
      <w:r>
        <w:rPr>
          <w:rFonts w:ascii="宋体" w:hAnsi="宋体" w:eastAsia="宋体"/>
          <w:b w:val="0"/>
          <w:sz w:val="24"/>
        </w:rPr>
        <w:t>种类头产生的角色聚合概率定义为：</w:t>
      </w:r>
    </w:p>
    <w:p>
      <w:pPr>
        <w:spacing w:before="40" w:after="100" w:line="240" w:lineRule="auto"/>
        <w:jc w:val="center"/>
      </w:pPr>
      <w:r>
        <w:drawing>
          <wp:inline xmlns:a="http://schemas.openxmlformats.org/drawingml/2006/main" xmlns:pic="http://schemas.openxmlformats.org/drawingml/2006/picture">
            <wp:extent cx="2520000" cy="977143"/>
            <wp:docPr id="3" name="Picture 3"/>
            <wp:cNvGraphicFramePr>
              <a:graphicFrameLocks noChangeAspect="1"/>
            </wp:cNvGraphicFramePr>
            <a:graphic>
              <a:graphicData uri="http://schemas.openxmlformats.org/drawingml/2006/picture">
                <pic:pic>
                  <pic:nvPicPr>
                    <pic:cNvPr id="0" name="aggregation.png"/>
                    <pic:cNvPicPr/>
                  </pic:nvPicPr>
                  <pic:blipFill>
                    <a:blip r:embed="rId13"/>
                    <a:stretch>
                      <a:fillRect/>
                    </a:stretch>
                  </pic:blipFill>
                  <pic:spPr>
                    <a:xfrm>
                      <a:off x="0" y="0"/>
                      <a:ext cx="2520000" cy="977143"/>
                    </a:xfrm>
                    <a:prstGeom prst="rect"/>
                  </pic:spPr>
                </pic:pic>
              </a:graphicData>
            </a:graphic>
          </wp:inline>
        </w:drawing>
      </w:r>
    </w:p>
    <w:p>
      <w:pPr>
        <w:spacing w:before="0" w:after="100" w:line="360" w:lineRule="auto"/>
        <w:ind w:firstLine="420"/>
        <w:jc w:val="both"/>
      </w:pPr>
      <w:r>
        <w:rPr>
          <w:rFonts w:ascii="宋体" w:hAnsi="宋体" w:eastAsia="宋体"/>
          <w:b w:val="0"/>
          <w:sz w:val="24"/>
        </w:rPr>
        <w:t>完整训练目标由角色分类、种类分类、层级一致性、目标代理二分类和困难负样本约束共同组成：</w:t>
      </w:r>
    </w:p>
    <w:p>
      <w:pPr>
        <w:spacing w:before="40" w:after="100" w:line="240" w:lineRule="auto"/>
        <w:jc w:val="center"/>
      </w:pPr>
      <w:r>
        <w:drawing>
          <wp:inline xmlns:a="http://schemas.openxmlformats.org/drawingml/2006/main" xmlns:pic="http://schemas.openxmlformats.org/drawingml/2006/picture">
            <wp:extent cx="5400000" cy="459319"/>
            <wp:docPr id="4" name="Picture 4"/>
            <wp:cNvGraphicFramePr>
              <a:graphicFrameLocks noChangeAspect="1"/>
            </wp:cNvGraphicFramePr>
            <a:graphic>
              <a:graphicData uri="http://schemas.openxmlformats.org/drawingml/2006/picture">
                <pic:pic>
                  <pic:nvPicPr>
                    <pic:cNvPr id="0" name="joint_loss.png"/>
                    <pic:cNvPicPr/>
                  </pic:nvPicPr>
                  <pic:blipFill>
                    <a:blip r:embed="rId14"/>
                    <a:stretch>
                      <a:fillRect/>
                    </a:stretch>
                  </pic:blipFill>
                  <pic:spPr>
                    <a:xfrm>
                      <a:off x="0" y="0"/>
                      <a:ext cx="5400000" cy="459319"/>
                    </a:xfrm>
                    <a:prstGeom prst="rect"/>
                  </pic:spPr>
                </pic:pic>
              </a:graphicData>
            </a:graphic>
          </wp:inline>
        </w:drawing>
      </w:r>
    </w:p>
    <w:p>
      <w:pPr>
        <w:spacing w:before="0" w:after="100" w:line="360" w:lineRule="auto"/>
        <w:ind w:firstLine="420"/>
        <w:jc w:val="both"/>
      </w:pPr>
      <w:r>
        <w:rPr>
          <w:rFonts w:ascii="宋体" w:hAnsi="宋体" w:eastAsia="宋体"/>
          <w:b w:val="0"/>
          <w:sz w:val="24"/>
        </w:rPr>
        <w:t>其中 alpha=0.50、beta=0.10、gamma=0.25、eta=0.10；困难负样本项仅约束目标矿物—含钛干扰和目标矿物—金属光泽干扰两类预定义高风险关系。一致性损失严格采用角色头分布到种类聚合角色分布的 KL 方向：</w:t>
      </w:r>
    </w:p>
    <w:p>
      <w:pPr>
        <w:spacing w:before="40" w:after="100" w:line="240" w:lineRule="auto"/>
        <w:jc w:val="center"/>
      </w:pPr>
      <w:r>
        <w:drawing>
          <wp:inline xmlns:a="http://schemas.openxmlformats.org/drawingml/2006/main" xmlns:pic="http://schemas.openxmlformats.org/drawingml/2006/picture">
            <wp:extent cx="3780000" cy="768128"/>
            <wp:docPr id="5" name="Picture 5"/>
            <wp:cNvGraphicFramePr>
              <a:graphicFrameLocks noChangeAspect="1"/>
            </wp:cNvGraphicFramePr>
            <a:graphic>
              <a:graphicData uri="http://schemas.openxmlformats.org/drawingml/2006/picture">
                <pic:pic>
                  <pic:nvPicPr>
                    <pic:cNvPr id="0" name="consistency.png"/>
                    <pic:cNvPicPr/>
                  </pic:nvPicPr>
                  <pic:blipFill>
                    <a:blip r:embed="rId15"/>
                    <a:stretch>
                      <a:fillRect/>
                    </a:stretch>
                  </pic:blipFill>
                  <pic:spPr>
                    <a:xfrm>
                      <a:off x="0" y="0"/>
                      <a:ext cx="3780000" cy="768128"/>
                    </a:xfrm>
                    <a:prstGeom prst="rect"/>
                  </pic:spPr>
                </pic:pic>
              </a:graphicData>
            </a:graphic>
          </wp:inline>
        </w:drawing>
      </w:r>
    </w:p>
    <w:p>
      <w:pPr>
        <w:spacing w:before="0" w:after="100" w:line="360" w:lineRule="auto"/>
        <w:ind w:firstLine="420"/>
        <w:jc w:val="both"/>
      </w:pPr>
      <w:r>
        <w:rPr>
          <w:rFonts w:ascii="宋体" w:hAnsi="宋体" w:eastAsia="宋体"/>
          <w:b w:val="0"/>
          <w:sz w:val="24"/>
        </w:rPr>
        <w:t>该形式化描述的是公开矿物图像标签层级及其视觉预测约束，不把角色输出解释为品位、回收率、流程阶段或工业处置动作。</w:t>
      </w:r>
    </w:p>
    <w:p>
      <w:pPr>
        <w:spacing w:before="240" w:after="120" w:line="288" w:lineRule="auto"/>
        <w:keepNext/>
      </w:pPr>
      <w:r>
        <w:rPr>
          <w:rFonts w:ascii="黑体" w:hAnsi="黑体" w:eastAsia="黑体"/>
          <w:b/>
          <w:color w:val="1F4E78"/>
          <w:sz w:val="28"/>
        </w:rPr>
        <w:t>4.6 角色可识别性命题</w:t>
      </w:r>
    </w:p>
    <w:p>
      <w:pPr>
        <w:spacing w:before="0" w:after="100" w:line="360" w:lineRule="auto"/>
        <w:ind w:firstLine="420"/>
        <w:jc w:val="both"/>
      </w:pPr>
      <w:r>
        <w:rPr>
          <w:rFonts w:ascii="宋体" w:hAnsi="宋体" w:eastAsia="宋体"/>
          <w:b w:val="0"/>
          <w:sz w:val="24"/>
        </w:rPr>
        <w:t>命题 1：对图像 x 的候选种类集合 S_i，若集合内任一种类 s 经固定映射 A 均对应同一角色 r，即对所有 s∈S_i 均有 A e_s=e_r，则角色 r 唯一确定，即使具体种类 s 仍不能唯一确定。</w:t>
      </w:r>
    </w:p>
    <w:p>
      <w:pPr>
        <w:spacing w:before="0" w:after="100" w:line="360" w:lineRule="auto"/>
        <w:ind w:firstLine="420"/>
        <w:jc w:val="both"/>
      </w:pPr>
      <w:r>
        <w:rPr>
          <w:rFonts w:ascii="宋体" w:hAnsi="宋体" w:eastAsia="宋体"/>
          <w:b w:val="0"/>
          <w:sz w:val="24"/>
        </w:rPr>
        <w:t>证明要点：映射 A 将候选集合中的每个种类独热向量映射为同一角色独热向量，因此种类层的不确定性在角色层被消去。唯一识别种类足以确定角色；反过来，只要全部候选种类同属一角色，确定角色并不要求先确定具体种类。故在该固定映射下，角色可识别的条件弱于种类可识别的条件。该命题是针对当前领域问题的条件化形式化，不主张一般层级学习的新理论。</w:t>
      </w:r>
    </w:p>
    <w:p>
      <w:pPr>
        <w:spacing w:before="240" w:after="120" w:line="288" w:lineRule="auto"/>
        <w:keepNext/>
      </w:pPr>
      <w:r>
        <w:rPr>
          <w:rFonts w:ascii="黑体" w:hAnsi="黑体" w:eastAsia="黑体"/>
          <w:b/>
          <w:color w:val="1F4E78"/>
          <w:sz w:val="28"/>
        </w:rPr>
        <w:t>4.7 选择性识别规则</w:t>
      </w:r>
    </w:p>
    <w:p>
      <w:pPr>
        <w:spacing w:before="0" w:after="100" w:line="360" w:lineRule="auto"/>
        <w:ind w:firstLine="420"/>
        <w:jc w:val="both"/>
      </w:pPr>
      <w:r>
        <w:rPr>
          <w:rFonts w:ascii="宋体" w:hAnsi="宋体" w:eastAsia="宋体"/>
          <w:b w:val="0"/>
          <w:sz w:val="24"/>
        </w:rPr>
        <w:t>对角色头输出，以最大 Softmax 概率定义置信度：</w:t>
      </w:r>
    </w:p>
    <w:p>
      <w:pPr>
        <w:spacing w:before="40" w:after="100" w:line="240" w:lineRule="auto"/>
        <w:jc w:val="center"/>
      </w:pPr>
      <w:r>
        <w:drawing>
          <wp:inline xmlns:a="http://schemas.openxmlformats.org/drawingml/2006/main" xmlns:pic="http://schemas.openxmlformats.org/drawingml/2006/picture">
            <wp:extent cx="2880000" cy="677070"/>
            <wp:docPr id="6" name="Picture 6"/>
            <wp:cNvGraphicFramePr>
              <a:graphicFrameLocks noChangeAspect="1"/>
            </wp:cNvGraphicFramePr>
            <a:graphic>
              <a:graphicData uri="http://schemas.openxmlformats.org/drawingml/2006/picture">
                <pic:pic>
                  <pic:nvPicPr>
                    <pic:cNvPr id="0" name="confidence.png"/>
                    <pic:cNvPicPr/>
                  </pic:nvPicPr>
                  <pic:blipFill>
                    <a:blip r:embed="rId16"/>
                    <a:stretch>
                      <a:fillRect/>
                    </a:stretch>
                  </pic:blipFill>
                  <pic:spPr>
                    <a:xfrm>
                      <a:off x="0" y="0"/>
                      <a:ext cx="2880000" cy="677070"/>
                    </a:xfrm>
                    <a:prstGeom prst="rect"/>
                  </pic:spPr>
                </pic:pic>
              </a:graphicData>
            </a:graphic>
          </wp:inline>
        </w:drawing>
      </w:r>
    </w:p>
    <w:p>
      <w:pPr>
        <w:spacing w:before="0" w:after="100" w:line="360" w:lineRule="auto"/>
        <w:ind w:firstLine="420"/>
        <w:jc w:val="both"/>
      </w:pPr>
      <w:r>
        <w:rPr>
          <w:rFonts w:ascii="宋体" w:hAnsi="宋体" w:eastAsia="宋体"/>
          <w:b w:val="0"/>
          <w:sz w:val="24"/>
        </w:rPr>
        <w:t>当 q(x) 不低于阈值 tau 时保留角色预测，否则将样本标记为 defer，含义仅为建议后续检查。覆盖率与保留样本错误率分别定义为：</w:t>
      </w:r>
    </w:p>
    <w:p>
      <w:pPr>
        <w:spacing w:before="40" w:after="100" w:line="240" w:lineRule="auto"/>
        <w:jc w:val="center"/>
      </w:pPr>
      <w:r>
        <w:drawing>
          <wp:inline xmlns:a="http://schemas.openxmlformats.org/drawingml/2006/main" xmlns:pic="http://schemas.openxmlformats.org/drawingml/2006/picture">
            <wp:extent cx="3780000" cy="855388"/>
            <wp:docPr id="7" name="Picture 7"/>
            <wp:cNvGraphicFramePr>
              <a:graphicFrameLocks noChangeAspect="1"/>
            </wp:cNvGraphicFramePr>
            <a:graphic>
              <a:graphicData uri="http://schemas.openxmlformats.org/drawingml/2006/picture">
                <pic:pic>
                  <pic:nvPicPr>
                    <pic:cNvPr id="0" name="coverage.png"/>
                    <pic:cNvPicPr/>
                  </pic:nvPicPr>
                  <pic:blipFill>
                    <a:blip r:embed="rId17"/>
                    <a:stretch>
                      <a:fillRect/>
                    </a:stretch>
                  </pic:blipFill>
                  <pic:spPr>
                    <a:xfrm>
                      <a:off x="0" y="0"/>
                      <a:ext cx="3780000" cy="855388"/>
                    </a:xfrm>
                    <a:prstGeom prst="rect"/>
                  </pic:spPr>
                </pic:pic>
              </a:graphicData>
            </a:graphic>
          </wp:inline>
        </w:drawing>
      </w:r>
    </w:p>
    <w:p>
      <w:pPr>
        <w:spacing w:before="40" w:after="100" w:line="240" w:lineRule="auto"/>
        <w:jc w:val="center"/>
      </w:pPr>
      <w:r>
        <w:drawing>
          <wp:inline xmlns:a="http://schemas.openxmlformats.org/drawingml/2006/main" xmlns:pic="http://schemas.openxmlformats.org/drawingml/2006/picture">
            <wp:extent cx="4860000" cy="1432752"/>
            <wp:docPr id="8" name="Picture 8"/>
            <wp:cNvGraphicFramePr>
              <a:graphicFrameLocks noChangeAspect="1"/>
            </wp:cNvGraphicFramePr>
            <a:graphic>
              <a:graphicData uri="http://schemas.openxmlformats.org/drawingml/2006/picture">
                <pic:pic>
                  <pic:nvPicPr>
                    <pic:cNvPr id="0" name="risk.png"/>
                    <pic:cNvPicPr/>
                  </pic:nvPicPr>
                  <pic:blipFill>
                    <a:blip r:embed="rId18"/>
                    <a:stretch>
                      <a:fillRect/>
                    </a:stretch>
                  </pic:blipFill>
                  <pic:spPr>
                    <a:xfrm>
                      <a:off x="0" y="0"/>
                      <a:ext cx="4860000" cy="1432752"/>
                    </a:xfrm>
                    <a:prstGeom prst="rect"/>
                  </pic:spPr>
                </pic:pic>
              </a:graphicData>
            </a:graphic>
          </wp:inline>
        </w:drawing>
      </w:r>
    </w:p>
    <w:p>
      <w:pPr>
        <w:spacing w:before="320" w:after="160" w:line="288" w:lineRule="auto"/>
        <w:keepNext/>
      </w:pPr>
      <w:r>
        <w:rPr>
          <w:rFonts w:ascii="黑体" w:hAnsi="黑体" w:eastAsia="黑体"/>
          <w:b/>
          <w:color w:val="1F4E78"/>
          <w:sz w:val="32"/>
        </w:rPr>
        <w:t>5 实验结果与讨论</w:t>
      </w:r>
    </w:p>
    <w:p>
      <w:pPr>
        <w:spacing w:before="240" w:after="120" w:line="288" w:lineRule="auto"/>
        <w:keepNext/>
      </w:pPr>
      <w:r>
        <w:rPr>
          <w:rFonts w:ascii="黑体" w:hAnsi="黑体" w:eastAsia="黑体"/>
          <w:b/>
          <w:color w:val="1F4E78"/>
          <w:sz w:val="28"/>
        </w:rPr>
        <w:t>5.1 总体性能比较</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58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模型</w:t>
            </w:r>
          </w:p>
        </w:tc>
        <w:tc>
          <w:tcPr>
            <w:tcW w:type="dxa" w:w="175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Accuracy（%）</w:t>
            </w:r>
          </w:p>
        </w:tc>
        <w:tc>
          <w:tcPr>
            <w:tcW w:type="dxa" w:w="204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Precision（%）</w:t>
            </w:r>
          </w:p>
        </w:tc>
        <w:tc>
          <w:tcPr>
            <w:tcW w:type="dxa" w:w="192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Recall（%）</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Macro F1（%）</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ResNet50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74.84 ± 1.56</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73.32 ± 1.87</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71.63 ± 0.78</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72.06 ± 0.92</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74.69 ± 1.28</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72.71 ± 1.28</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73.17 ± 1.12</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72.87 ± 1.21</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角色感知 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74.79 ± 0.84</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73.28 ± 1.18</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72.87 ± 1.00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73.02 ± 1.09</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分层一致性 EfficientNet-B0</w:t>
            </w:r>
          </w:p>
        </w:tc>
        <w:tc>
          <w:tcPr>
            <w:tcW w:type="dxa" w:w="175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75.42 ± 2.59</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73.71 ± 2.85</w:t>
            </w:r>
          </w:p>
        </w:tc>
        <w:tc>
          <w:tcPr>
            <w:tcW w:type="dxa" w:w="1927"/>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73.61 ± 1.78</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73.41 ± 2.40</w:t>
            </w:r>
          </w:p>
        </w:tc>
      </w:tr>
    </w:tbl>
    <w:p>
      <w:pPr>
        <w:spacing w:after="60"/>
      </w:pPr>
    </w:p>
    <w:p>
      <w:pPr>
        <w:spacing w:before="0" w:after="100" w:line="360" w:lineRule="auto"/>
        <w:ind w:firstLine="420"/>
        <w:jc w:val="both"/>
      </w:pPr>
      <w:r>
        <w:rPr>
          <w:rFonts w:ascii="宋体" w:hAnsi="宋体" w:eastAsia="宋体"/>
          <w:b w:val="0"/>
          <w:sz w:val="24"/>
        </w:rPr>
        <w:t>三随机种子结果显示，EfficientNet-B0 的平均 Macro F1 比 ResNet50 高 0.67 个百分点，平均 Accuracy 基本相当。角色感知模型的平均 Macro F1 较普通 EfficientNet-B0 高 0.15 个百分点；分层一致性模型提高 0.54 个百分点，但标准差为 2.40 个百分点。两种改进的均值差均小于或接近种子间波动，因此均不应表述为在总体四分类上稳定优于基线。后续类别与风险指标用于说明不同机制带来的实际取舍。</w:t>
      </w:r>
    </w:p>
    <w:p>
      <w:pPr>
        <w:spacing w:before="80" w:after="40" w:line="240" w:lineRule="auto"/>
        <w:jc w:val="center"/>
      </w:pPr>
      <w:r>
        <w:drawing>
          <wp:inline xmlns:a="http://schemas.openxmlformats.org/drawingml/2006/main" xmlns:pic="http://schemas.openxmlformats.org/drawingml/2006/picture">
            <wp:extent cx="5544000" cy="2056451"/>
            <wp:docPr id="9" name="Picture 9"/>
            <wp:cNvGraphicFramePr>
              <a:graphicFrameLocks noChangeAspect="1"/>
            </wp:cNvGraphicFramePr>
            <a:graphic>
              <a:graphicData uri="http://schemas.openxmlformats.org/drawingml/2006/picture">
                <pic:pic>
                  <pic:nvPicPr>
                    <pic:cNvPr id="0" name="fig1_model_comparison.png"/>
                    <pic:cNvPicPr/>
                  </pic:nvPicPr>
                  <pic:blipFill>
                    <a:blip r:embed="rId19"/>
                    <a:stretch>
                      <a:fillRect/>
                    </a:stretch>
                  </pic:blipFill>
                  <pic:spPr>
                    <a:xfrm>
                      <a:off x="0" y="0"/>
                      <a:ext cx="5544000" cy="2056451"/>
                    </a:xfrm>
                    <a:prstGeom prst="rect"/>
                  </pic:spPr>
                </pic:pic>
              </a:graphicData>
            </a:graphic>
          </wp:inline>
        </w:drawing>
      </w:r>
    </w:p>
    <w:p>
      <w:pPr>
        <w:spacing w:before="80" w:after="160" w:line="276" w:lineRule="auto"/>
        <w:jc w:val="center"/>
      </w:pPr>
      <w:r>
        <w:rPr>
          <w:rFonts w:ascii="宋体" w:hAnsi="宋体" w:eastAsia="宋体"/>
          <w:b w:val="0"/>
          <w:sz w:val="21"/>
        </w:rPr>
        <w:t>图 3 四种模型的总体性能对比（均值±样本标准差，n=3）</w:t>
      </w:r>
    </w:p>
    <w:p>
      <w:pPr>
        <w:spacing w:before="240" w:after="120" w:line="288" w:lineRule="auto"/>
        <w:keepNext/>
      </w:pPr>
      <w:r>
        <w:rPr>
          <w:rFonts w:ascii="黑体" w:hAnsi="黑体" w:eastAsia="黑体"/>
          <w:b/>
          <w:color w:val="1F4E78"/>
          <w:sz w:val="28"/>
        </w:rPr>
        <w:t>5.2 各类别召回率分析</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模型</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目标矿物</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含钛干扰</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脉石/废石</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金属光泽干扰</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ResNet50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71.58 ± 5.18</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77.53 ± 8.32</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83.61 ± 0.82</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53.79 ± 4.26</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71.98 ± 0.83</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74.34 ± 2.15</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81.97 ± 2.85</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64.39 ± 3.47</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角色感知 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68.39 ± 3.34</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76.71 ± 0.31</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81.24 ± 0.42</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65.15 ± 1.43</w:t>
            </w:r>
          </w:p>
        </w:tc>
      </w:tr>
      <w:tr>
        <w:tc>
          <w:tcPr>
            <w:tcW w:type="dxa" w:w="1530"/>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分层一致性 EfficientNet-B0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77.56 ± 2.19</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75.15 ± 5.54</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81.69 ± 2.84</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60.04 ± 2.15</w:t>
            </w:r>
          </w:p>
        </w:tc>
      </w:tr>
    </w:tbl>
    <w:p>
      <w:pPr>
        <w:spacing w:after="60"/>
      </w:pPr>
    </w:p>
    <w:p>
      <w:pPr>
        <w:spacing w:before="0" w:after="100" w:line="360" w:lineRule="auto"/>
        <w:ind w:firstLine="420"/>
        <w:jc w:val="both"/>
      </w:pPr>
      <w:r>
        <w:rPr>
          <w:rFonts w:ascii="宋体" w:hAnsi="宋体" w:eastAsia="宋体"/>
          <w:b w:val="0"/>
          <w:sz w:val="24"/>
        </w:rPr>
        <w:t>脉石/废石类别在各模型中均具有较高召回率，说明该类在颜色、透明度和形貌上与目标组分存在较明显差异。金属光泽干扰是更具挑战的类别：黄铁矿、赤铁矿、针铁矿和黄铜矿等可能呈现暗色、反光或块状外观，与目标矿物形成视觉混淆。角色感知模型提高了两类困难干扰的召回，但降低目标召回，体现为保守目标判定；分层一致性模型将目标类召回提升至 77.56%，但金属光泽干扰召回降至 60.04%，显示细粒度种类监督会改变类别边界而非统一改善全部类别。</w:t>
      </w:r>
    </w:p>
    <w:p>
      <w:pPr>
        <w:spacing w:before="80" w:after="40" w:line="240" w:lineRule="auto"/>
        <w:jc w:val="center"/>
      </w:pPr>
      <w:r>
        <w:drawing>
          <wp:inline xmlns:a="http://schemas.openxmlformats.org/drawingml/2006/main" xmlns:pic="http://schemas.openxmlformats.org/drawingml/2006/picture">
            <wp:extent cx="5544000" cy="2577579"/>
            <wp:docPr id="10" name="Picture 10"/>
            <wp:cNvGraphicFramePr>
              <a:graphicFrameLocks noChangeAspect="1"/>
            </wp:cNvGraphicFramePr>
            <a:graphic>
              <a:graphicData uri="http://schemas.openxmlformats.org/drawingml/2006/picture">
                <pic:pic>
                  <pic:nvPicPr>
                    <pic:cNvPr id="0" name="fig2_class_recall.png"/>
                    <pic:cNvPicPr/>
                  </pic:nvPicPr>
                  <pic:blipFill>
                    <a:blip r:embed="rId20"/>
                    <a:stretch>
                      <a:fillRect/>
                    </a:stretch>
                  </pic:blipFill>
                  <pic:spPr>
                    <a:xfrm>
                      <a:off x="0" y="0"/>
                      <a:ext cx="5544000" cy="2577579"/>
                    </a:xfrm>
                    <a:prstGeom prst="rect"/>
                  </pic:spPr>
                </pic:pic>
              </a:graphicData>
            </a:graphic>
          </wp:inline>
        </w:drawing>
      </w:r>
    </w:p>
    <w:p>
      <w:pPr>
        <w:spacing w:before="80" w:after="160" w:line="276" w:lineRule="auto"/>
        <w:jc w:val="center"/>
      </w:pPr>
      <w:r>
        <w:rPr>
          <w:rFonts w:ascii="宋体" w:hAnsi="宋体" w:eastAsia="宋体"/>
          <w:b w:val="0"/>
          <w:sz w:val="21"/>
        </w:rPr>
        <w:t>图 4 四类矿物在四种模型上的测试集召回率（均值±样本标准差，n=3）</w:t>
      </w:r>
    </w:p>
    <w:p>
      <w:pPr>
        <w:spacing w:before="240" w:after="120" w:line="288" w:lineRule="auto"/>
        <w:keepNext/>
      </w:pPr>
      <w:r>
        <w:rPr>
          <w:rFonts w:ascii="黑体" w:hAnsi="黑体" w:eastAsia="黑体"/>
          <w:b/>
          <w:color w:val="1F4E78"/>
          <w:sz w:val="28"/>
        </w:rPr>
        <w:t>5.3 目标代理风险指标</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209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目标代理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目标漏选率（%）</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含钛干扰误入目标（%）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金属光泽干扰误入目标（%）</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加权交叉熵</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70.45 ± 1.34</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28.02 ± 0.46</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9.84 ± 1.24</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11.55 ± 0.66</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 Focal Loss</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69.94 ± 1.20</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27.89 ± 0.80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9.57 ± 1.41</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13.83 ± 2.62</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角色感知困难负样本学习</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70.67 ± 2.57</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31.61 ± 3.34</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7.74 ± 0.35</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9.66 ± 0.98</w:t>
            </w:r>
          </w:p>
        </w:tc>
      </w:tr>
    </w:tbl>
    <w:p>
      <w:pPr>
        <w:spacing w:after="60"/>
      </w:pPr>
    </w:p>
    <w:p>
      <w:pPr>
        <w:spacing w:before="0" w:after="100" w:line="360" w:lineRule="auto"/>
        <w:ind w:firstLine="420"/>
        <w:jc w:val="both"/>
      </w:pPr>
      <w:r>
        <w:rPr>
          <w:rFonts w:ascii="宋体" w:hAnsi="宋体" w:eastAsia="宋体"/>
          <w:b w:val="0"/>
          <w:sz w:val="24"/>
        </w:rPr>
        <w:t>上述指标将四分类预测折叠为“目标代理/非目标代理”后计算，用于刻画与预选决策相关的代理风险，不代表真实生产线的回收率、精矿品位或抛废率。角色感知模型的目标代理 F1 与基线基本相当，但目标漏选率增加；与此同时，含钛干扰和金属光泽干扰误入目标的比例分别下降 2.10 和 1.89 个百分点。这说明该模型通过更保守的目标判定降低了两类高风险视觉混淆，存在明确的精度—召回取舍。</w:t>
      </w:r>
    </w:p>
    <w:p>
      <w:pPr>
        <w:spacing w:before="80" w:after="40" w:line="240" w:lineRule="auto"/>
        <w:jc w:val="center"/>
      </w:pPr>
      <w:r>
        <w:drawing>
          <wp:inline xmlns:a="http://schemas.openxmlformats.org/drawingml/2006/main" xmlns:pic="http://schemas.openxmlformats.org/drawingml/2006/picture">
            <wp:extent cx="5544000" cy="3459488"/>
            <wp:docPr id="11" name="Picture 11"/>
            <wp:cNvGraphicFramePr>
              <a:graphicFrameLocks noChangeAspect="1"/>
            </wp:cNvGraphicFramePr>
            <a:graphic>
              <a:graphicData uri="http://schemas.openxmlformats.org/drawingml/2006/picture">
                <pic:pic>
                  <pic:nvPicPr>
                    <pic:cNvPr id="0" name="fig7_target_proxy_strategy_comparison.png"/>
                    <pic:cNvPicPr/>
                  </pic:nvPicPr>
                  <pic:blipFill>
                    <a:blip r:embed="rId21"/>
                    <a:stretch>
                      <a:fillRect/>
                    </a:stretch>
                  </pic:blipFill>
                  <pic:spPr>
                    <a:xfrm>
                      <a:off x="0" y="0"/>
                      <a:ext cx="5544000" cy="3459488"/>
                    </a:xfrm>
                    <a:prstGeom prst="rect"/>
                  </pic:spPr>
                </pic:pic>
              </a:graphicData>
            </a:graphic>
          </wp:inline>
        </w:drawing>
      </w:r>
    </w:p>
    <w:p>
      <w:pPr>
        <w:spacing w:before="80" w:after="160" w:line="276" w:lineRule="auto"/>
        <w:jc w:val="center"/>
      </w:pPr>
      <w:r>
        <w:rPr>
          <w:rFonts w:ascii="宋体" w:hAnsi="宋体" w:eastAsia="宋体"/>
          <w:b w:val="0"/>
          <w:sz w:val="21"/>
        </w:rPr>
        <w:t>图 5 四种训练策略的目标代理风险指标（均值±样本标准差，n=3）</w:t>
      </w:r>
    </w:p>
    <w:p>
      <w:pPr>
        <w:spacing w:before="240" w:after="120" w:line="288" w:lineRule="auto"/>
        <w:keepNext/>
      </w:pPr>
      <w:r>
        <w:rPr>
          <w:rFonts w:ascii="黑体" w:hAnsi="黑体" w:eastAsia="黑体"/>
          <w:b/>
          <w:color w:val="1F4E78"/>
          <w:sz w:val="28"/>
        </w:rPr>
        <w:t>5.4 混淆矩阵与主要错误方向</w:t>
      </w:r>
    </w:p>
    <w:p>
      <w:pPr>
        <w:spacing w:before="0" w:after="100" w:line="360" w:lineRule="auto"/>
        <w:ind w:firstLine="420"/>
        <w:jc w:val="both"/>
      </w:pPr>
      <w:r>
        <w:rPr>
          <w:rFonts w:ascii="宋体" w:hAnsi="宋体" w:eastAsia="宋体"/>
          <w:b w:val="0"/>
          <w:sz w:val="24"/>
        </w:rPr>
        <w:t>以 EfficientNet-B0、随机种子 20260728 的测试结果为例，在 1,284 张固定测试图像中正确识别 968 张、错误识别 316 张。主要错误集中于含钛干扰矿物与脉石/废石、目标矿物之间的相互混淆，其中“含钛干扰→脉石/废石”为 50 张，“含钛干扰→目标矿物”为 43 张，“目标矿物→含钛干扰”为 40 张，“脉石/废石→含钛干扰”为 40 张。</w:t>
      </w:r>
    </w:p>
    <w:p>
      <w:pPr>
        <w:spacing w:before="80" w:after="40" w:line="240" w:lineRule="auto"/>
        <w:jc w:val="center"/>
      </w:pPr>
      <w:r>
        <w:drawing>
          <wp:inline xmlns:a="http://schemas.openxmlformats.org/drawingml/2006/main" xmlns:pic="http://schemas.openxmlformats.org/drawingml/2006/picture">
            <wp:extent cx="4860000" cy="4166454"/>
            <wp:docPr id="12" name="Picture 12"/>
            <wp:cNvGraphicFramePr>
              <a:graphicFrameLocks noChangeAspect="1"/>
            </wp:cNvGraphicFramePr>
            <a:graphic>
              <a:graphicData uri="http://schemas.openxmlformats.org/drawingml/2006/picture">
                <pic:pic>
                  <pic:nvPicPr>
                    <pic:cNvPr id="0" name="fig3_confusion_matrix.png"/>
                    <pic:cNvPicPr/>
                  </pic:nvPicPr>
                  <pic:blipFill>
                    <a:blip r:embed="rId22"/>
                    <a:stretch>
                      <a:fillRect/>
                    </a:stretch>
                  </pic:blipFill>
                  <pic:spPr>
                    <a:xfrm>
                      <a:off x="0" y="0"/>
                      <a:ext cx="4860000" cy="4166454"/>
                    </a:xfrm>
                    <a:prstGeom prst="rect"/>
                  </pic:spPr>
                </pic:pic>
              </a:graphicData>
            </a:graphic>
          </wp:inline>
        </w:drawing>
      </w:r>
    </w:p>
    <w:p>
      <w:pPr>
        <w:spacing w:before="80" w:after="160" w:line="276" w:lineRule="auto"/>
        <w:jc w:val="center"/>
      </w:pPr>
      <w:r>
        <w:rPr>
          <w:rFonts w:ascii="宋体" w:hAnsi="宋体" w:eastAsia="宋体"/>
          <w:b w:val="0"/>
          <w:sz w:val="21"/>
        </w:rPr>
        <w:t>图 6 EfficientNet-B0（随机种子 20260728）在固定测试集上的混淆矩阵</w:t>
      </w:r>
    </w:p>
    <w:p>
      <w:pPr>
        <w:spacing w:before="80" w:after="40" w:line="240" w:lineRule="auto"/>
        <w:jc w:val="center"/>
      </w:pPr>
      <w:r>
        <w:drawing>
          <wp:inline xmlns:a="http://schemas.openxmlformats.org/drawingml/2006/main" xmlns:pic="http://schemas.openxmlformats.org/drawingml/2006/picture">
            <wp:extent cx="5400000" cy="2432538"/>
            <wp:docPr id="13" name="Picture 13"/>
            <wp:cNvGraphicFramePr>
              <a:graphicFrameLocks noChangeAspect="1"/>
            </wp:cNvGraphicFramePr>
            <a:graphic>
              <a:graphicData uri="http://schemas.openxmlformats.org/drawingml/2006/picture">
                <pic:pic>
                  <pic:nvPicPr>
                    <pic:cNvPr id="0" name="fig4_top_error_pairs.png"/>
                    <pic:cNvPicPr/>
                  </pic:nvPicPr>
                  <pic:blipFill>
                    <a:blip r:embed="rId23"/>
                    <a:stretch>
                      <a:fillRect/>
                    </a:stretch>
                  </pic:blipFill>
                  <pic:spPr>
                    <a:xfrm>
                      <a:off x="0" y="0"/>
                      <a:ext cx="5400000" cy="2432538"/>
                    </a:xfrm>
                    <a:prstGeom prst="rect"/>
                  </pic:spPr>
                </pic:pic>
              </a:graphicData>
            </a:graphic>
          </wp:inline>
        </w:drawing>
      </w:r>
    </w:p>
    <w:p>
      <w:pPr>
        <w:spacing w:before="80" w:after="160" w:line="276" w:lineRule="auto"/>
        <w:jc w:val="center"/>
      </w:pPr>
      <w:r>
        <w:rPr>
          <w:rFonts w:ascii="宋体" w:hAnsi="宋体" w:eastAsia="宋体"/>
          <w:b w:val="0"/>
          <w:sz w:val="21"/>
        </w:rPr>
        <w:t>图 7 EfficientNet-B0（随机种子 20260728）的主要错分方向</w:t>
      </w:r>
    </w:p>
    <w:p>
      <w:pPr>
        <w:spacing w:before="240" w:after="120" w:line="288" w:lineRule="auto"/>
        <w:keepNext/>
      </w:pPr>
      <w:r>
        <w:rPr>
          <w:rFonts w:ascii="黑体" w:hAnsi="黑体" w:eastAsia="黑体"/>
          <w:b/>
          <w:color w:val="1F4E78"/>
          <w:sz w:val="28"/>
        </w:rPr>
        <w:t>5.5 Focal Loss 三随机种子消融讨论</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74"/>
        <w:gridCol w:w="1474"/>
        <w:gridCol w:w="1474"/>
        <w:gridCol w:w="1474"/>
        <w:gridCol w:w="1474"/>
        <w:gridCol w:w="1474"/>
      </w:tblGrid>
      <w:tr>
        <w:tc>
          <w:tcPr>
            <w:tcW w:type="dxa" w:w="204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41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Accuracy（%）</w:t>
            </w:r>
          </w:p>
        </w:tc>
        <w:tc>
          <w:tcPr>
            <w:tcW w:type="dxa" w:w="141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Macro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目标矿物 Recall（%）</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 Recall（%）</w:t>
            </w:r>
          </w:p>
        </w:tc>
        <w:tc>
          <w:tcPr>
            <w:tcW w:type="dxa" w:w="181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 Recall（%）</w:t>
            </w:r>
          </w:p>
        </w:tc>
      </w:tr>
      <w:tr>
        <w:tc>
          <w:tcPr>
            <w:tcW w:type="dxa" w:w="2041"/>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加权交叉熵</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74.69 ± 1.28</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72.87 ± 1.21</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71.98 ± 0.83</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74.34 ± 2.15</w:t>
            </w:r>
          </w:p>
        </w:tc>
        <w:tc>
          <w:tcPr>
            <w:tcW w:type="dxa" w:w="181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64.39 ± 3.47</w:t>
            </w:r>
          </w:p>
        </w:tc>
      </w:tr>
      <w:tr>
        <w:tc>
          <w:tcPr>
            <w:tcW w:type="dxa" w:w="2041"/>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加权 Focal Loss（gamma=2.0）</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75.21 ± 0.74</w:t>
            </w:r>
          </w:p>
        </w:tc>
        <w:tc>
          <w:tcPr>
            <w:tcW w:type="dxa" w:w="1417"/>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73.22 ± 0.83</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72.11 ± 0.80</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76.99 ± 1.78</w:t>
            </w:r>
          </w:p>
        </w:tc>
        <w:tc>
          <w:tcPr>
            <w:tcW w:type="dxa" w:w="181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61.93 ± 3.41</w:t>
            </w:r>
          </w:p>
        </w:tc>
      </w:tr>
    </w:tbl>
    <w:p>
      <w:pPr>
        <w:spacing w:after="60"/>
      </w:pPr>
    </w:p>
    <w:p>
      <w:pPr>
        <w:spacing w:before="0" w:after="100" w:line="360" w:lineRule="auto"/>
        <w:ind w:firstLine="420"/>
        <w:jc w:val="both"/>
      </w:pPr>
      <w:r>
        <w:rPr>
          <w:rFonts w:ascii="宋体" w:hAnsi="宋体" w:eastAsia="宋体"/>
          <w:b w:val="0"/>
          <w:sz w:val="24"/>
        </w:rPr>
        <w:t>三随机种子下，Focal Loss 的平均 Macro F1 比交叉熵高 0.35 个百分点，含钛干扰召回率提高 2.65 个百分点，但金属光泽干扰召回率降低 2.46 个百分点；其目标代理 F1 降低 0.51 个百分点，金属光泽干扰误入目标的比例上升。由于总体差异小于或接近种子间波动，且关键风险指标未形成一致改善，本报告不将 Focal Loss 表述为稳定优于交叉熵的结论。该结果说明统一难例权重调整不能同时解决四类之间的结构性混淆。</w:t>
      </w:r>
    </w:p>
    <w:p>
      <w:pPr>
        <w:spacing w:before="80" w:after="40" w:line="240" w:lineRule="auto"/>
        <w:jc w:val="center"/>
      </w:pPr>
      <w:r>
        <w:drawing>
          <wp:inline xmlns:a="http://schemas.openxmlformats.org/drawingml/2006/main" xmlns:pic="http://schemas.openxmlformats.org/drawingml/2006/picture">
            <wp:extent cx="5400000" cy="2471584"/>
            <wp:docPr id="14" name="Picture 14"/>
            <wp:cNvGraphicFramePr>
              <a:graphicFrameLocks noChangeAspect="1"/>
            </wp:cNvGraphicFramePr>
            <a:graphic>
              <a:graphicData uri="http://schemas.openxmlformats.org/drawingml/2006/picture">
                <pic:pic>
                  <pic:nvPicPr>
                    <pic:cNvPr id="0" name="fig5_focal_loss_ablation.png"/>
                    <pic:cNvPicPr/>
                  </pic:nvPicPr>
                  <pic:blipFill>
                    <a:blip r:embed="rId24"/>
                    <a:stretch>
                      <a:fillRect/>
                    </a:stretch>
                  </pic:blipFill>
                  <pic:spPr>
                    <a:xfrm>
                      <a:off x="0" y="0"/>
                      <a:ext cx="5400000" cy="2471584"/>
                    </a:xfrm>
                    <a:prstGeom prst="rect"/>
                  </pic:spPr>
                </pic:pic>
              </a:graphicData>
            </a:graphic>
          </wp:inline>
        </w:drawing>
      </w:r>
    </w:p>
    <w:p>
      <w:pPr>
        <w:spacing w:before="80" w:after="160" w:line="276" w:lineRule="auto"/>
        <w:jc w:val="center"/>
      </w:pPr>
      <w:r>
        <w:rPr>
          <w:rFonts w:ascii="宋体" w:hAnsi="宋体" w:eastAsia="宋体"/>
          <w:b w:val="0"/>
          <w:sz w:val="21"/>
        </w:rPr>
        <w:t>图 8 加权交叉熵与加权 Focal Loss 的三随机种子消融结果</w:t>
      </w:r>
    </w:p>
    <w:p>
      <w:pPr>
        <w:spacing w:before="240" w:after="120" w:line="288" w:lineRule="auto"/>
        <w:keepNext/>
      </w:pPr>
      <w:r>
        <w:rPr>
          <w:rFonts w:ascii="黑体" w:hAnsi="黑体" w:eastAsia="黑体"/>
          <w:b/>
          <w:color w:val="1F4E78"/>
          <w:sz w:val="28"/>
        </w:rPr>
        <w:t>5.6 角色感知困难负样本学习讨论</w:t>
      </w:r>
    </w:p>
    <w:p>
      <w:pPr>
        <w:spacing w:before="0" w:after="100" w:line="360" w:lineRule="auto"/>
        <w:ind w:firstLine="420"/>
        <w:jc w:val="both"/>
      </w:pPr>
      <w:r>
        <w:rPr>
          <w:rFonts w:ascii="宋体" w:hAnsi="宋体" w:eastAsia="宋体"/>
          <w:b w:val="0"/>
          <w:sz w:val="24"/>
        </w:rPr>
        <w:t>角色感知模型的四分类 Macro F1 为 73.02%±1.09%，相较普通 EfficientNet-B0 的提升仅为 0.15 个百分点，不能据此主张总体识别性能显著提高。其更有意义的变化发生在风险方向：将含钛干扰和金属光泽干扰误入目标的比例分别降至 7.74%±0.35% 和 9.66%±0.98%，同时目标类召回由 71.98% 降至 68.39%。因此，该模型体现为针对高风险误入错误的保守策略原型。后续可通过调节辅助损失权重、增加真实矿石样本及结合分选专家定义的可接受漏选阈值，确定更适宜的运行点。</w:t>
      </w:r>
    </w:p>
    <w:p>
      <w:pPr>
        <w:spacing w:before="240" w:after="120" w:line="288" w:lineRule="auto"/>
        <w:keepNext/>
      </w:pPr>
      <w:r>
        <w:rPr>
          <w:rFonts w:ascii="黑体" w:hAnsi="黑体" w:eastAsia="黑体"/>
          <w:b/>
          <w:color w:val="1F4E78"/>
          <w:sz w:val="28"/>
        </w:rPr>
        <w:t>5.7 分层一致性模型讨论</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209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设置</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目标代理 F1（%）</w:t>
            </w:r>
          </w:p>
        </w:tc>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目标漏选率（%）</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含钛干扰误入目标（%）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8"/>
              </w:rPr>
              <w:t>金属光泽干扰误入目标（%）</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普通 EfficientNet-B0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70.45 ± 1.34</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28.02 ± 0.46</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9.84 ± 1.24</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11.55 ± 0.66</w:t>
            </w:r>
          </w:p>
        </w:tc>
      </w:tr>
      <w:tr>
        <w:tc>
          <w:tcPr>
            <w:tcW w:type="dxa" w:w="2097"/>
            <w:tcMar>
              <w:top w:w="100" w:type="dxa"/>
              <w:start w:w="120" w:type="dxa"/>
              <w:bottom w:w="100" w:type="dxa"/>
              <w:end w:w="120" w:type="dxa"/>
            </w:tcMar>
            <w:vAlign w:val="center"/>
          </w:tcPr>
          <w:p>
            <w:pPr>
              <w:spacing w:before="0" w:after="0" w:line="276" w:lineRule="auto"/>
              <w:jc w:val="center"/>
            </w:pPr>
            <w:r>
              <w:rPr>
                <w:rFonts w:ascii="宋体" w:hAnsi="宋体" w:eastAsia="宋体"/>
                <w:b w:val="0"/>
                <w:sz w:val="18"/>
              </w:rPr>
              <w:t>分层一致性 EfficientNet-B0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72.04 ± 2.05</w:t>
            </w:r>
          </w:p>
        </w:tc>
        <w:tc>
          <w:tcPr>
            <w:tcW w:type="dxa" w:w="170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22.44 ± 2.19</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10.93 ± 3.37</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8"/>
              </w:rPr>
              <w:t>14.39 ± 2.92</w:t>
            </w:r>
          </w:p>
        </w:tc>
      </w:tr>
    </w:tbl>
    <w:p>
      <w:pPr>
        <w:spacing w:after="60"/>
      </w:pPr>
    </w:p>
    <w:p>
      <w:pPr>
        <w:spacing w:before="0" w:after="100" w:line="360" w:lineRule="auto"/>
        <w:ind w:firstLine="420"/>
        <w:jc w:val="both"/>
      </w:pPr>
      <w:r>
        <w:rPr>
          <w:rFonts w:ascii="宋体" w:hAnsi="宋体" w:eastAsia="宋体"/>
          <w:b w:val="0"/>
          <w:sz w:val="24"/>
        </w:rPr>
        <w:t>分层模型在 17 类矿物种类头上的平均测试 Accuracy 为 56.80%±2.23%，而角色主任务的 Macro F1 为 73.41%±2.40%。这符合该数据的任务特点：网页主题矿物、伴生矿物与基质可能共存，细粒度种类标签更难由单张宏观图片稳定确定；但种类概率聚合后的角色信息仍可为粗粒度识别提供辅助。相较普通 EfficientNet-B0，分层模型把目标漏选率降低 5.58 个百分点、目标代理 F1 提高 1.59 个百分点，却使含钛干扰和金属光泽干扰误入目标的比例分别增加 1.09 和 2.84 个百分点。因此，本阶段结果只能支持“分层监督能改善目标类召回、但尚未满足困难负样本风险控制”的结论。为区分不同损失项的影响，进一步进行了层级一致性项与困难负样本约束项的三随机种子组件消融。</w:t>
      </w:r>
    </w:p>
    <w:p>
      <w:pPr>
        <w:spacing w:before="240" w:after="120" w:line="288" w:lineRule="auto"/>
        <w:keepNext/>
      </w:pPr>
      <w:r>
        <w:rPr>
          <w:rFonts w:ascii="黑体" w:hAnsi="黑体" w:eastAsia="黑体"/>
          <w:b/>
          <w:color w:val="1F4E78"/>
          <w:sz w:val="28"/>
        </w:rPr>
        <w:t>5.8 分层模型组件消融</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474"/>
        <w:gridCol w:w="1474"/>
        <w:gridCol w:w="1474"/>
        <w:gridCol w:w="1474"/>
        <w:gridCol w:w="1474"/>
        <w:gridCol w:w="1474"/>
      </w:tblGrid>
      <w:tr>
        <w:tc>
          <w:tcPr>
            <w:tcW w:type="dxa" w:w="158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设置</w:t>
            </w:r>
          </w:p>
        </w:tc>
        <w:tc>
          <w:tcPr>
            <w:tcW w:type="dxa" w:w="136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Macro F1（%）</w:t>
            </w:r>
          </w:p>
        </w:tc>
        <w:tc>
          <w:tcPr>
            <w:tcW w:type="dxa" w:w="1530"/>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目标代理 F1（%）</w:t>
            </w:r>
          </w:p>
        </w:tc>
        <w:tc>
          <w:tcPr>
            <w:tcW w:type="dxa" w:w="147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目标漏选率（%）</w:t>
            </w:r>
          </w:p>
        </w:tc>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含钛干扰误入目标（%）</w:t>
            </w:r>
          </w:p>
        </w:tc>
        <w:tc>
          <w:tcPr>
            <w:tcW w:type="dxa" w:w="198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7"/>
              </w:rPr>
              <w:t>金属光泽干扰误入目标（%）</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7"/>
              </w:rPr>
              <w:t>完整分层模型</w:t>
            </w:r>
          </w:p>
        </w:tc>
        <w:tc>
          <w:tcPr>
            <w:tcW w:type="dxa" w:w="136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73.41 ± 2.40</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72.04 ± 2.05</w:t>
            </w:r>
          </w:p>
        </w:tc>
        <w:tc>
          <w:tcPr>
            <w:tcW w:type="dxa" w:w="147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22.44 ± 2.19</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10.93 ± 3.37</w:t>
            </w:r>
          </w:p>
        </w:tc>
        <w:tc>
          <w:tcPr>
            <w:tcW w:type="dxa" w:w="198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14.39 ± 2.92</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7"/>
              </w:rPr>
              <w:t>去除困难负样本约束</w:t>
            </w:r>
          </w:p>
        </w:tc>
        <w:tc>
          <w:tcPr>
            <w:tcW w:type="dxa" w:w="136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73.63 ± 2.08</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71.62 ± 1.63</w:t>
            </w:r>
          </w:p>
        </w:tc>
        <w:tc>
          <w:tcPr>
            <w:tcW w:type="dxa" w:w="147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22.44 ± 2.40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11.47 ± 2.59</w:t>
            </w:r>
          </w:p>
        </w:tc>
        <w:tc>
          <w:tcPr>
            <w:tcW w:type="dxa" w:w="198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14.96 ± 2.56</w:t>
            </w:r>
          </w:p>
        </w:tc>
      </w:tr>
      <w:tr>
        <w:tc>
          <w:tcPr>
            <w:tcW w:type="dxa" w:w="1587"/>
            <w:tcMar>
              <w:top w:w="100" w:type="dxa"/>
              <w:start w:w="120" w:type="dxa"/>
              <w:bottom w:w="100" w:type="dxa"/>
              <w:end w:w="120" w:type="dxa"/>
            </w:tcMar>
            <w:vAlign w:val="center"/>
          </w:tcPr>
          <w:p>
            <w:pPr>
              <w:spacing w:before="0" w:after="0" w:line="276" w:lineRule="auto"/>
              <w:jc w:val="center"/>
            </w:pPr>
            <w:r>
              <w:rPr>
                <w:rFonts w:ascii="宋体" w:hAnsi="宋体" w:eastAsia="宋体"/>
                <w:b w:val="0"/>
                <w:sz w:val="17"/>
              </w:rPr>
              <w:t>去除层级一致性约束</w:t>
            </w:r>
          </w:p>
        </w:tc>
        <w:tc>
          <w:tcPr>
            <w:tcW w:type="dxa" w:w="136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73.40 ± 2.34</w:t>
            </w:r>
          </w:p>
        </w:tc>
        <w:tc>
          <w:tcPr>
            <w:tcW w:type="dxa" w:w="1530"/>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70.92 ± 0.60</w:t>
            </w:r>
          </w:p>
        </w:tc>
        <w:tc>
          <w:tcPr>
            <w:tcW w:type="dxa" w:w="147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22.84 ± 3.70</w:t>
            </w:r>
          </w:p>
        </w:tc>
        <w:tc>
          <w:tcPr>
            <w:tcW w:type="dxa" w:w="1871"/>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12.02 ± 2.16</w:t>
            </w:r>
          </w:p>
        </w:tc>
        <w:tc>
          <w:tcPr>
            <w:tcW w:type="dxa" w:w="1984"/>
            <w:tcMar>
              <w:top w:w="100" w:type="dxa"/>
              <w:start w:w="120" w:type="dxa"/>
              <w:bottom w:w="100" w:type="dxa"/>
              <w:end w:w="120" w:type="dxa"/>
            </w:tcMar>
            <w:vAlign w:val="center"/>
          </w:tcPr>
          <w:p>
            <w:pPr>
              <w:spacing w:before="0" w:after="0" w:line="276" w:lineRule="auto"/>
              <w:jc w:val="left"/>
            </w:pPr>
            <w:r>
              <w:rPr>
                <w:rFonts w:ascii="宋体" w:hAnsi="宋体" w:eastAsia="宋体"/>
                <w:b w:val="0"/>
                <w:sz w:val="17"/>
              </w:rPr>
              <w:t>14.77 ± 3.41</w:t>
            </w:r>
          </w:p>
        </w:tc>
      </w:tr>
    </w:tbl>
    <w:p>
      <w:pPr>
        <w:spacing w:after="60"/>
      </w:pPr>
    </w:p>
    <w:p>
      <w:pPr>
        <w:spacing w:before="0" w:after="100" w:line="360" w:lineRule="auto"/>
        <w:ind w:firstLine="420"/>
        <w:jc w:val="both"/>
      </w:pPr>
      <w:r>
        <w:rPr>
          <w:rFonts w:ascii="宋体" w:hAnsi="宋体" w:eastAsia="宋体"/>
          <w:b w:val="0"/>
          <w:sz w:val="24"/>
        </w:rPr>
        <w:t>组件消融表明，移除困难负样本约束后，Macro F1 的均值反而上升 0.21 个百分点，但目标代理 F1 下降 0.41 个百分点，含钛干扰和金属光泽干扰误入目标比例分别上升 0.54 和 0.57 个百分点；这说明该约束更可能作用于关键负样本风险，而非提升总体平均分。移除层级一致性约束后，Macro F1 基本不变，但目标代理 F1 下降 1.12 个百分点，目标漏选率、含钛干扰误入目标率和金属光泽干扰误入目标率均上升。由于每组仅含三个随机种子、均值差与样本标准差仍同量级，以上结果只能支持风险指标上的一致方向趋势，不得表述为统计显著或稳定领先。</w:t>
      </w:r>
    </w:p>
    <w:p>
      <w:pPr>
        <w:spacing w:before="240" w:after="120" w:line="288" w:lineRule="auto"/>
        <w:keepNext/>
      </w:pPr>
      <w:r>
        <w:rPr>
          <w:rFonts w:ascii="黑体" w:hAnsi="黑体" w:eastAsia="黑体"/>
          <w:b/>
          <w:color w:val="1F4E78"/>
          <w:sz w:val="28"/>
        </w:rPr>
        <w:t>5.9 角色可识别性的受控逻辑条件验证</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98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候选集情形</w:t>
            </w:r>
          </w:p>
        </w:tc>
        <w:tc>
          <w:tcPr>
            <w:tcW w:type="dxa" w:w="124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候选集数</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种类唯一可识别率（%）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角色唯一可识别率（%）</w:t>
            </w:r>
          </w:p>
        </w:tc>
      </w:tr>
      <w:tr>
        <w:tc>
          <w:tcPr>
            <w:tcW w:type="dxa" w:w="1984"/>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角色一致</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48</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0.00</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100.00</w:t>
            </w:r>
          </w:p>
        </w:tc>
      </w:tr>
      <w:tr>
        <w:tc>
          <w:tcPr>
            <w:tcW w:type="dxa" w:w="1984"/>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角色冲突</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51</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0.00</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0.00</w:t>
            </w:r>
          </w:p>
        </w:tc>
      </w:tr>
      <w:tr>
        <w:tc>
          <w:tcPr>
            <w:tcW w:type="dxa" w:w="1984"/>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合计</w:t>
            </w:r>
          </w:p>
        </w:tc>
        <w:tc>
          <w:tcPr>
            <w:tcW w:type="dxa" w:w="1247"/>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99</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0.00</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48.48</w:t>
            </w:r>
          </w:p>
        </w:tc>
      </w:tr>
    </w:tbl>
    <w:p>
      <w:pPr>
        <w:spacing w:after="60"/>
      </w:pPr>
    </w:p>
    <w:p>
      <w:pPr>
        <w:spacing w:before="0" w:after="100" w:line="360" w:lineRule="auto"/>
        <w:ind w:firstLine="420"/>
        <w:jc w:val="both"/>
      </w:pPr>
      <w:r>
        <w:rPr>
          <w:rFonts w:ascii="宋体" w:hAnsi="宋体" w:eastAsia="宋体"/>
          <w:b w:val="0"/>
          <w:sz w:val="24"/>
        </w:rPr>
        <w:t>该验证使用固定随机种子 20260801，按候选规模 2、3、4 构造集合，并保持原训练、验证、测试划分计数不变。角色一致候选集共 48 个，角色唯一可识别率为 100.00%；角色冲突候选集共 51 个，角色唯一可识别率为 0.00%。结果只验证命题 1 的逻辑条件：候选种类同属一角色时，种类歧义不妨碍角色唯一确定。它不使用模型预测或原图视觉标签推断，也不替代真实多标签标注、外部测试或工业验证。</w:t>
      </w:r>
    </w:p>
    <w:p>
      <w:pPr>
        <w:spacing w:before="240" w:after="120" w:line="288" w:lineRule="auto"/>
        <w:keepNext/>
      </w:pPr>
      <w:r>
        <w:rPr>
          <w:rFonts w:ascii="黑体" w:hAnsi="黑体" w:eastAsia="黑体"/>
          <w:b/>
          <w:color w:val="1F4E78"/>
          <w:sz w:val="28"/>
        </w:rPr>
        <w:t>5.10 固定测试划分上的选择性识别</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11"/>
        <w:gridCol w:w="2211"/>
        <w:gridCol w:w="2211"/>
        <w:gridCol w:w="2211"/>
      </w:tblGrid>
      <w:tr>
        <w:tc>
          <w:tcPr>
            <w:tcW w:type="dxa" w:w="170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置信度阈值</w:t>
            </w:r>
          </w:p>
        </w:tc>
        <w:tc>
          <w:tcPr>
            <w:tcW w:type="dxa" w:w="2154"/>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平均保留样本数</w:t>
            </w:r>
          </w:p>
        </w:tc>
        <w:tc>
          <w:tcPr>
            <w:tcW w:type="dxa" w:w="204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覆盖率（%）</w:t>
            </w:r>
          </w:p>
        </w:tc>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保留样本错误率（%）</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0.00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1284.0 ± 0.0</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100.00 ± 0.00</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24.58 ± 2.59</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0.50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1223.0 ± 37.2</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95.25 ± 2.89</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22.70 ± 1.94</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0.70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1037.3 ± 89.5</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80.79 ± 6.97</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17.82 ± 0.86</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0.80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934.3 ± 119.9</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72.77 ± 9.34</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15.51 ± 1.01</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0.90</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781.7 ± 144.1</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60.88 ± 11.22</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11.71 ± 1.99</w:t>
            </w:r>
          </w:p>
        </w:tc>
      </w:tr>
      <w:tr>
        <w:tc>
          <w:tcPr>
            <w:tcW w:type="dxa" w:w="170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0.95</w:t>
            </w:r>
          </w:p>
        </w:tc>
        <w:tc>
          <w:tcPr>
            <w:tcW w:type="dxa" w:w="2154"/>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662.7 ± 179.1</w:t>
            </w:r>
          </w:p>
        </w:tc>
        <w:tc>
          <w:tcPr>
            <w:tcW w:type="dxa" w:w="204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51.61 ± 13.95</w:t>
            </w:r>
          </w:p>
        </w:tc>
        <w:tc>
          <w:tcPr>
            <w:tcW w:type="dxa" w:w="2381"/>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9.92 ± 1.62</w:t>
            </w:r>
          </w:p>
        </w:tc>
      </w:tr>
    </w:tbl>
    <w:p>
      <w:pPr>
        <w:spacing w:after="60"/>
      </w:pPr>
    </w:p>
    <w:p>
      <w:pPr>
        <w:spacing w:before="80" w:after="40" w:line="240" w:lineRule="auto"/>
        <w:jc w:val="center"/>
      </w:pPr>
      <w:r>
        <w:drawing>
          <wp:inline xmlns:a="http://schemas.openxmlformats.org/drawingml/2006/main" xmlns:pic="http://schemas.openxmlformats.org/drawingml/2006/picture">
            <wp:extent cx="5544000" cy="2217600"/>
            <wp:docPr id="15" name="Picture 15"/>
            <wp:cNvGraphicFramePr>
              <a:graphicFrameLocks noChangeAspect="1"/>
            </wp:cNvGraphicFramePr>
            <a:graphic>
              <a:graphicData uri="http://schemas.openxmlformats.org/drawingml/2006/picture">
                <pic:pic>
                  <pic:nvPicPr>
                    <pic:cNvPr id="0" name="fig9_selective_recognition.png"/>
                    <pic:cNvPicPr/>
                  </pic:nvPicPr>
                  <pic:blipFill>
                    <a:blip r:embed="rId25"/>
                    <a:stretch>
                      <a:fillRect/>
                    </a:stretch>
                  </pic:blipFill>
                  <pic:spPr>
                    <a:xfrm>
                      <a:off x="0" y="0"/>
                      <a:ext cx="5544000" cy="2217600"/>
                    </a:xfrm>
                    <a:prstGeom prst="rect"/>
                  </pic:spPr>
                </pic:pic>
              </a:graphicData>
            </a:graphic>
          </wp:inline>
        </w:drawing>
      </w:r>
    </w:p>
    <w:p>
      <w:pPr>
        <w:spacing w:before="80" w:after="160" w:line="276" w:lineRule="auto"/>
        <w:jc w:val="center"/>
      </w:pPr>
      <w:r>
        <w:rPr>
          <w:rFonts w:ascii="宋体" w:hAnsi="宋体" w:eastAsia="宋体"/>
          <w:b w:val="0"/>
          <w:sz w:val="21"/>
        </w:rPr>
        <w:t>图 9 三随机种子在固定测试划分上的选择性识别覆盖率—风险关系</w:t>
      </w:r>
    </w:p>
    <w:p>
      <w:pPr>
        <w:spacing w:before="0" w:after="100" w:line="360" w:lineRule="auto"/>
        <w:ind w:firstLine="420"/>
        <w:jc w:val="both"/>
      </w:pPr>
      <w:r>
        <w:rPr>
          <w:rFonts w:ascii="宋体" w:hAnsi="宋体" w:eastAsia="宋体"/>
          <w:b w:val="0"/>
          <w:sz w:val="24"/>
        </w:rPr>
        <w:t>阈值从 0.00 提高到 0.90 时，三随机种子的平均覆盖率由 100.00% 降至 60.88%，保留样本错误率由 24.58% 降至 11.71%。这体现了固定公开图像测试划分上的覆盖率—风险取舍：覆盖率越低，延后检查的样本越多。defer 仅表示建议送检、人工复核或后续传感确认；由于当前没有真实检查成本、动作代价和流程数据，不据此声称 XRF 成本最优、工业分选有效或统计显著。</w:t>
      </w:r>
    </w:p>
    <w:p>
      <w:pPr>
        <w:spacing w:before="320" w:after="160" w:line="288" w:lineRule="auto"/>
        <w:keepNext/>
      </w:pPr>
      <w:r>
        <w:rPr>
          <w:rFonts w:ascii="黑体" w:hAnsi="黑体" w:eastAsia="黑体"/>
          <w:b/>
          <w:color w:val="1F4E78"/>
          <w:sz w:val="32"/>
        </w:rPr>
        <w:t>6 主要创新与阶段性成果</w:t>
      </w:r>
    </w:p>
    <w:p>
      <w:pPr>
        <w:spacing w:before="240" w:after="120" w:line="288" w:lineRule="auto"/>
        <w:keepNext/>
      </w:pPr>
      <w:r>
        <w:rPr>
          <w:rFonts w:ascii="黑体" w:hAnsi="黑体" w:eastAsia="黑体"/>
          <w:b/>
          <w:color w:val="1F4E78"/>
          <w:sz w:val="28"/>
        </w:rPr>
        <w:t>6.1 主要创新</w:t>
      </w:r>
    </w:p>
    <w:p>
      <w:pPr>
        <w:spacing w:before="0" w:after="100" w:line="360" w:lineRule="auto"/>
        <w:ind w:firstLine="420"/>
        <w:jc w:val="both"/>
      </w:pPr>
      <w:r>
        <w:rPr>
          <w:rFonts w:ascii="宋体" w:hAnsi="宋体" w:eastAsia="宋体"/>
          <w:b w:val="0"/>
          <w:sz w:val="24"/>
        </w:rPr>
        <w:t>围绕理论感知分层识别主线，本阶段新增贡献严格限定为以下三项；数据整理、基线训练和组件消融作为可复现支撑材料，不扩展为工业效果声明。</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567"/>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序号</w:t>
            </w:r>
          </w:p>
        </w:tc>
        <w:tc>
          <w:tcPr>
            <w:tcW w:type="dxa" w:w="283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创新点</w:t>
            </w:r>
          </w:p>
        </w:tc>
        <w:tc>
          <w:tcPr>
            <w:tcW w:type="dxa" w:w="5556"/>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具体体现</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1</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角色层可识别性的领域化形式化</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用固定种类—角色映射说明候选种类不唯一而角色仍可唯一确定的条件，并以受控候选集验证该逻辑条件。</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2</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种类—角色一致性与困难负样本联合学习</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在共享视觉特征上设置四个并列输出头，以 p_tilde_r=A p_s 和 KL(p_r || p_tilde_r)约束层级一致性，并保留两类预定义困难关系的表示约束。</w:t>
            </w:r>
          </w:p>
        </w:tc>
      </w:tr>
      <w:tr>
        <w:tc>
          <w:tcPr>
            <w:tcW w:type="dxa" w:w="567"/>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3</w:t>
            </w:r>
          </w:p>
        </w:tc>
        <w:tc>
          <w:tcPr>
            <w:tcW w:type="dxa" w:w="2835"/>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固定划分上的选择性识别评价</w:t>
            </w:r>
          </w:p>
        </w:tc>
        <w:tc>
          <w:tcPr>
            <w:tcW w:type="dxa" w:w="5556"/>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从三个完整分层模型的测试预测中复现阈值—覆盖率—保留风险关系，将低置信度样本解释为延后检查而非已验证的处置决策。</w:t>
            </w:r>
          </w:p>
        </w:tc>
      </w:tr>
    </w:tbl>
    <w:p>
      <w:pPr>
        <w:spacing w:after="60"/>
      </w:pPr>
    </w:p>
    <w:p>
      <w:pPr>
        <w:spacing w:before="240" w:after="120" w:line="288" w:lineRule="auto"/>
        <w:keepNext/>
      </w:pPr>
      <w:r>
        <w:rPr>
          <w:rFonts w:ascii="黑体" w:hAnsi="黑体" w:eastAsia="黑体"/>
          <w:b/>
          <w:color w:val="1F4E78"/>
          <w:sz w:val="28"/>
        </w:rPr>
        <w:t>6.2 阶段性成果</w:t>
      </w:r>
    </w:p>
    <w:p>
      <w:pPr>
        <w:spacing w:before="0" w:after="100" w:line="360" w:lineRule="auto"/>
        <w:ind w:firstLine="420"/>
        <w:jc w:val="both"/>
      </w:pPr>
      <w:r>
        <w:rPr>
          <w:rFonts w:ascii="宋体" w:hAnsi="宋体" w:eastAsia="宋体"/>
          <w:b w:val="0"/>
          <w:sz w:val="24"/>
        </w:rPr>
        <w:t>项目已形成数据清单、质量复核记录、训练与测试脚本、模型结果、错误分析文件和可直接用于论文/报告的图表。训练过程固定数据版本与划分，输出文件包含每次实验的指标记录与混淆矩阵。原始公开图像因授权与来源差异不在公开仓库整体分发，但可通过元数据、图片编号和下载流程进行核验与再获取。</w:t>
      </w:r>
    </w:p>
    <w:p>
      <w:pPr>
        <w:spacing w:before="320" w:after="160" w:line="288" w:lineRule="auto"/>
        <w:keepNext/>
      </w:pPr>
      <w:r>
        <w:rPr>
          <w:rFonts w:ascii="黑体" w:hAnsi="黑体" w:eastAsia="黑体"/>
          <w:b/>
          <w:color w:val="1F4E78"/>
          <w:sz w:val="32"/>
        </w:rPr>
        <w:t>7 局限性与后续研究</w:t>
      </w:r>
    </w:p>
    <w:p>
      <w:pPr>
        <w:spacing w:before="240" w:after="120" w:line="288" w:lineRule="auto"/>
        <w:keepNext/>
      </w:pPr>
      <w:r>
        <w:rPr>
          <w:rFonts w:ascii="黑体" w:hAnsi="黑体" w:eastAsia="黑体"/>
          <w:b/>
          <w:color w:val="1F4E78"/>
          <w:sz w:val="28"/>
        </w:rPr>
        <w:t>7.1 当前局限性</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187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问题</w:t>
            </w:r>
          </w:p>
        </w:tc>
        <w:tc>
          <w:tcPr>
            <w:tcW w:type="dxa" w:w="3402"/>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对结果解释的影响</w:t>
            </w:r>
          </w:p>
        </w:tc>
        <w:tc>
          <w:tcPr>
            <w:tcW w:type="dxa" w:w="3685"/>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19"/>
              </w:rPr>
              <w:t>处理原则</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公开标本图像与工业现场差异</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不能将当前准确率等同于皮带分选性能或生产指标</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报告定位为公开标本图像源域验证</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titanomagnetite 样本仅 23 张</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不足以支持钛磁铁矿独立细分类性能结论</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暂作为合并目标类补充并优先扩充</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单标签与伴生矿物共存</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页面主题矿物不一定是图像唯一可见对象</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主体不清样本进入 mixed_uncertain，不直接硬标训练</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来源外泛化尚未充分验证</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摄影者、产地和背景风格仍可能引入领域偏移</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后续回填来源元数据并构建来源留出测试</w:t>
            </w:r>
          </w:p>
        </w:tc>
      </w:tr>
      <w:tr>
        <w:tc>
          <w:tcPr>
            <w:tcW w:type="dxa" w:w="1871"/>
            <w:tcMar>
              <w:top w:w="100" w:type="dxa"/>
              <w:start w:w="120" w:type="dxa"/>
              <w:bottom w:w="100" w:type="dxa"/>
              <w:end w:w="120" w:type="dxa"/>
            </w:tcMar>
            <w:vAlign w:val="center"/>
          </w:tcPr>
          <w:p>
            <w:pPr>
              <w:spacing w:before="0" w:after="0" w:line="276" w:lineRule="auto"/>
              <w:jc w:val="center"/>
            </w:pPr>
            <w:r>
              <w:rPr>
                <w:rFonts w:ascii="宋体" w:hAnsi="宋体" w:eastAsia="宋体"/>
                <w:b w:val="0"/>
                <w:sz w:val="19"/>
              </w:rPr>
              <w:t>改进模型的总体收益有限</w:t>
            </w:r>
          </w:p>
        </w:tc>
        <w:tc>
          <w:tcPr>
            <w:tcW w:type="dxa" w:w="3402"/>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分层模型的两项组件消融显示关键风险指标存在改善方向，但总体分数差异仍小于或接近种子间波动</w:t>
            </w:r>
          </w:p>
        </w:tc>
        <w:tc>
          <w:tcPr>
            <w:tcW w:type="dxa" w:w="3685"/>
            <w:tcMar>
              <w:top w:w="100" w:type="dxa"/>
              <w:start w:w="120" w:type="dxa"/>
              <w:bottom w:w="100" w:type="dxa"/>
              <w:end w:w="120" w:type="dxa"/>
            </w:tcMar>
            <w:vAlign w:val="center"/>
          </w:tcPr>
          <w:p>
            <w:pPr>
              <w:spacing w:before="0" w:after="0" w:line="276" w:lineRule="auto"/>
              <w:jc w:val="left"/>
            </w:pPr>
            <w:r>
              <w:rPr>
                <w:rFonts w:ascii="宋体" w:hAnsi="宋体" w:eastAsia="宋体"/>
                <w:b w:val="0"/>
                <w:sz w:val="19"/>
              </w:rPr>
              <w:t>报告取舍而非宣称稳定领先，后续在目标召回约束下做风险优化和来源外验证</w:t>
            </w:r>
          </w:p>
        </w:tc>
      </w:tr>
    </w:tbl>
    <w:p>
      <w:pPr>
        <w:spacing w:after="60"/>
      </w:pPr>
    </w:p>
    <w:p>
      <w:pPr>
        <w:spacing w:before="240" w:after="120" w:line="288" w:lineRule="auto"/>
        <w:keepNext/>
      </w:pPr>
      <w:r>
        <w:rPr>
          <w:rFonts w:ascii="黑体" w:hAnsi="黑体" w:eastAsia="黑体"/>
          <w:b/>
          <w:color w:val="1F4E78"/>
          <w:sz w:val="28"/>
        </w:rPr>
        <w:t>7.2 后续研究计划</w:t>
      </w:r>
    </w:p>
    <w:p>
      <w:pPr>
        <w:spacing w:before="0" w:after="100" w:line="360" w:lineRule="auto"/>
        <w:ind w:firstLine="420"/>
        <w:jc w:val="both"/>
      </w:pPr>
      <w:r>
        <w:rPr>
          <w:rFonts w:ascii="宋体" w:hAnsi="宋体" w:eastAsia="宋体"/>
          <w:b w:val="0"/>
          <w:sz w:val="24"/>
        </w:rPr>
        <w:t>第一，采集由专家或化验确认的真实钒钛矿颗粒图像，建立独立外部测试集。第二，回填产地、摄影者、收藏机构或页面来源信息，构建严格的来源留出测试；上述外部验证和来源留出评价当前均未完成。第三，在已有组件消融基础上继续考察种类交叉熵和目标代理辅助头，并在专家给定的目标召回下限下研究风险运行点。第四，建立独立未知矿物图像集，比较最大 Softmax 概率、能量分数等开放集拒识方法。第五，仅在取得真实流程阶段、品位/回收率、动作代价和检查成本后，研究阶段条件化决策与真实成本矩阵；结合 XRF、磁性或化验信息的多模态确认也属于未来验证，不由当前选择性识别结果代替。</w:t>
      </w:r>
    </w:p>
    <w:tbl>
      <w:tblPr>
        <w:tblW w:type="auto" w:w="0"/>
        <w:jc w:val="center"/>
        <w:tblLook w:firstColumn="1" w:firstRow="1" w:lastColumn="0" w:lastRow="0" w:noHBand="0" w:noVBand="1" w:val="04A0"/>
        <w:tblLayout w:type="fixed"/>
        <w:tblBorders>
          <w:top w:val="single" w:sz="8" w:space="0" w:color="B7C7D6"/>
          <w:left w:val="single" w:sz="8" w:space="0" w:color="B7C7D6"/>
          <w:bottom w:val="single" w:sz="8" w:space="0" w:color="B7C7D6"/>
          <w:right w:val="single" w:sz="8" w:space="0" w:color="B7C7D6"/>
          <w:insideH w:val="single" w:sz="8" w:space="0" w:color="B7C7D6"/>
          <w:insideV w:val="single" w:sz="8" w:space="0" w:color="B7C7D6"/>
        </w:tblBorders>
      </w:tblPr>
      <w:tblGrid>
        <w:gridCol w:w="8844"/>
      </w:tblGrid>
      <w:tr>
        <w:tc>
          <w:tcPr>
            <w:tcW w:type="dxa" w:w="8844"/>
            <w:shd w:fill="F4F7FA"/>
            <w:tcMar>
              <w:top w:w="120" w:type="dxa"/>
              <w:start w:w="160" w:type="dxa"/>
              <w:bottom w:w="120" w:type="dxa"/>
              <w:end w:w="160" w:type="dxa"/>
            </w:tcMar>
          </w:tcPr>
          <w:p>
            <w:pPr>
              <w:spacing w:before="0" w:after="0" w:line="324" w:lineRule="auto"/>
            </w:pPr>
            <w:r>
              <w:rPr>
                <w:rFonts w:ascii="黑体" w:hAnsi="黑体" w:eastAsia="黑体"/>
                <w:b/>
                <w:color w:val="1F4E78"/>
                <w:sz w:val="22"/>
              </w:rPr>
              <w:t>第一篇论文的建议主线：</w:t>
            </w:r>
            <w:r>
              <w:rPr>
                <w:rFonts w:ascii="宋体" w:hAnsi="宋体" w:eastAsia="宋体"/>
                <w:b w:val="0"/>
                <w:sz w:val="22"/>
              </w:rPr>
              <w:t>以“面向钒钛矿相关矿物识别的分层角色一致性与困难负样本学习”为主线，严谨报告其对目标召回和困难干扰风险的取舍，并以组件消融、来源外测试与开放集评价支撑结论。阶段条件化选矿决策图需要真实流程、品位、回收率和专家确认的矿物—阶段—动作映射，当前仅作为后续研究方向，不写入本阶段方法效果结论。</w:t>
            </w:r>
          </w:p>
        </w:tc>
      </w:tr>
    </w:tbl>
    <w:p>
      <w:pPr>
        <w:spacing w:after="0"/>
      </w:pPr>
    </w:p>
    <w:p>
      <w:pPr>
        <w:spacing w:before="320" w:after="160" w:line="288" w:lineRule="auto"/>
        <w:keepNext/>
      </w:pPr>
      <w:r>
        <w:rPr>
          <w:rFonts w:ascii="黑体" w:hAnsi="黑体" w:eastAsia="黑体"/>
          <w:b/>
          <w:color w:val="1F4E78"/>
          <w:sz w:val="32"/>
        </w:rPr>
        <w:t>8 结论</w:t>
      </w:r>
    </w:p>
    <w:p>
      <w:pPr>
        <w:spacing w:before="0" w:after="100" w:line="360" w:lineRule="auto"/>
      </w:pPr>
      <w:r>
        <w:rPr>
          <w:rFonts w:ascii="黑体" w:hAnsi="黑体" w:eastAsia="黑体"/>
          <w:b/>
          <w:sz w:val="24"/>
        </w:rPr>
        <w:t xml:space="preserve">1. </w:t>
      </w:r>
      <w:r>
        <w:rPr>
          <w:rFonts w:ascii="宋体" w:hAnsi="宋体" w:eastAsia="宋体"/>
          <w:b w:val="0"/>
          <w:sz w:val="24"/>
        </w:rPr>
        <w:t>构建了面向钒钛矿相关组分矿物识别的公开标本图像四分类数据集，共 8,529 张图像，并保留来源追溯、质量筛选和固定划分信息。</w:t>
      </w:r>
    </w:p>
    <w:p>
      <w:pPr>
        <w:spacing w:before="0" w:after="100" w:line="360" w:lineRule="auto"/>
      </w:pPr>
      <w:r>
        <w:rPr>
          <w:rFonts w:ascii="黑体" w:hAnsi="黑体" w:eastAsia="黑体"/>
          <w:b/>
          <w:sz w:val="24"/>
        </w:rPr>
        <w:t xml:space="preserve">2. </w:t>
      </w:r>
      <w:r>
        <w:rPr>
          <w:rFonts w:ascii="宋体" w:hAnsi="宋体" w:eastAsia="宋体"/>
          <w:b w:val="0"/>
          <w:sz w:val="24"/>
        </w:rPr>
        <w:t>通过混合样本隔离、重复/近重复审查和分层复核，形成了训练、验证、测试集分别为 5,961、1,284、1,284 张的可复现实验清单。</w:t>
      </w:r>
    </w:p>
    <w:p>
      <w:pPr>
        <w:spacing w:before="0" w:after="100" w:line="360" w:lineRule="auto"/>
      </w:pPr>
      <w:r>
        <w:rPr>
          <w:rFonts w:ascii="黑体" w:hAnsi="黑体" w:eastAsia="黑体"/>
          <w:b/>
          <w:sz w:val="24"/>
        </w:rPr>
        <w:t xml:space="preserve">3. </w:t>
      </w:r>
      <w:r>
        <w:rPr>
          <w:rFonts w:ascii="宋体" w:hAnsi="宋体" w:eastAsia="宋体"/>
          <w:b w:val="0"/>
          <w:sz w:val="24"/>
        </w:rPr>
        <w:t>ResNet50 与 EfficientNet-B0 的三随机种子结果表明，EfficientNet-B0 的平均 Macro F1 为 72.87%±1.21%，略高于 ResNet50 的 72.06%±0.92%。</w:t>
      </w:r>
    </w:p>
    <w:p>
      <w:pPr>
        <w:spacing w:before="0" w:after="100" w:line="360" w:lineRule="auto"/>
      </w:pPr>
      <w:r>
        <w:rPr>
          <w:rFonts w:ascii="黑体" w:hAnsi="黑体" w:eastAsia="黑体"/>
          <w:b/>
          <w:sz w:val="24"/>
        </w:rPr>
        <w:t xml:space="preserve">4. </w:t>
      </w:r>
      <w:r>
        <w:rPr>
          <w:rFonts w:ascii="宋体" w:hAnsi="宋体" w:eastAsia="宋体"/>
          <w:b w:val="0"/>
          <w:sz w:val="24"/>
        </w:rPr>
        <w:t>脉石/废石较易识别，而含钛干扰矿物与金属光泽干扰矿物是主要难点。三随机种子 Focal Loss 消融未在总体和目标代理风险指标上形成一致改善，说明统一难例权重不足以解决类别关系混淆。</w:t>
      </w:r>
    </w:p>
    <w:p>
      <w:pPr>
        <w:spacing w:before="0" w:after="100" w:line="360" w:lineRule="auto"/>
      </w:pPr>
      <w:r>
        <w:rPr>
          <w:rFonts w:ascii="黑体" w:hAnsi="黑体" w:eastAsia="黑体"/>
          <w:b/>
          <w:sz w:val="24"/>
        </w:rPr>
        <w:t xml:space="preserve">5. </w:t>
      </w:r>
      <w:r>
        <w:rPr>
          <w:rFonts w:ascii="宋体" w:hAnsi="宋体" w:eastAsia="宋体"/>
          <w:b w:val="0"/>
          <w:sz w:val="24"/>
        </w:rPr>
        <w:t>角色感知困难负样本学习在总体 Macro F1 上与基线接近，但可降低含钛干扰和金属光泽干扰误入目标的比例，代价是目标类漏选增加；该方法构成后续依据实际分选风险阈值调优的可解释原型。</w:t>
      </w:r>
    </w:p>
    <w:p>
      <w:pPr>
        <w:spacing w:before="0" w:after="100" w:line="360" w:lineRule="auto"/>
      </w:pPr>
      <w:r>
        <w:rPr>
          <w:rFonts w:ascii="黑体" w:hAnsi="黑体" w:eastAsia="黑体"/>
          <w:b/>
          <w:sz w:val="24"/>
        </w:rPr>
        <w:t xml:space="preserve">6. </w:t>
      </w:r>
      <w:r>
        <w:rPr>
          <w:rFonts w:ascii="宋体" w:hAnsi="宋体" w:eastAsia="宋体"/>
          <w:b w:val="0"/>
          <w:sz w:val="24"/>
        </w:rPr>
        <w:t>矿物种类—选矿角色分层一致性模型将种类概率与角色概率联合约束。两项三随机种子组件消融显示：去除一致性或困难负样本约束后，完整模型在目标代理 F1 和两类关键干扰误入目标风险上均呈更优方向，但总体 Macro F1 差异仍与种子间波动相近；当前应将其视为可量化的风险改善趋势，而非已被证明的稳定性能改进。</w:t>
      </w:r>
    </w:p>
    <w:p>
      <w:pPr>
        <w:spacing w:before="0" w:after="100" w:line="360" w:lineRule="auto"/>
      </w:pPr>
      <w:r>
        <w:rPr>
          <w:rFonts w:ascii="黑体" w:hAnsi="黑体" w:eastAsia="黑体"/>
          <w:b/>
          <w:sz w:val="24"/>
        </w:rPr>
        <w:t xml:space="preserve">7. </w:t>
      </w:r>
      <w:r>
        <w:rPr>
          <w:rFonts w:ascii="宋体" w:hAnsi="宋体" w:eastAsia="宋体"/>
          <w:b w:val="0"/>
          <w:sz w:val="24"/>
        </w:rPr>
        <w:t>角色可识别性命题得到受控逻辑条件验证：48 个角色一致候选集的角色唯一可识别率为 100.00%，51 个角色冲突候选集为 0.00%。该证据不使用视觉标签推断或模型预测；可复现汇总见 outputs/theory_validation/role_identifiability/role_identifiability_summary.json，见§5.9。</w:t>
      </w:r>
    </w:p>
    <w:p>
      <w:pPr>
        <w:spacing w:before="0" w:after="100" w:line="360" w:lineRule="auto"/>
      </w:pPr>
      <w:r>
        <w:rPr>
          <w:rFonts w:ascii="黑体" w:hAnsi="黑体" w:eastAsia="黑体"/>
          <w:b/>
          <w:sz w:val="24"/>
        </w:rPr>
        <w:t xml:space="preserve">8. </w:t>
      </w:r>
      <w:r>
        <w:rPr>
          <w:rFonts w:ascii="宋体" w:hAnsi="宋体" w:eastAsia="宋体"/>
          <w:b w:val="0"/>
          <w:sz w:val="24"/>
        </w:rPr>
        <w:t>固定测试划分上的选择性识别表明阈值提高会降低覆盖率并降低保留样本错误率；阈值 0.90 时平均覆盖率为 60.88%，保留样本错误率为 11.71%。这只是固定划分证据，不是检查成本或处置策略的最优性证明；可复现汇总见 outputs/theory_validation/selective_recognition/selective_recognition_summary.json，见图 9 和§5.10。</w:t>
      </w:r>
    </w:p>
    <w:p>
      <w:pPr>
        <w:spacing w:before="0" w:after="100" w:line="360" w:lineRule="auto"/>
      </w:pPr>
      <w:r>
        <w:rPr>
          <w:rFonts w:ascii="黑体" w:hAnsi="黑体" w:eastAsia="黑体"/>
          <w:b/>
          <w:sz w:val="24"/>
        </w:rPr>
        <w:t xml:space="preserve">9. </w:t>
      </w:r>
      <w:r>
        <w:rPr>
          <w:rFonts w:ascii="宋体" w:hAnsi="宋体" w:eastAsia="宋体"/>
          <w:b w:val="0"/>
          <w:sz w:val="24"/>
        </w:rPr>
        <w:t>当前结果支持公开矿物标本图像上的理论形式化、受控逻辑验证与固定划分选择性识别评价，但不等同于工业现场分选、精矿品位/回收率、XRF 成本最优、外部验证或统计显著性结论。结论 7 的证据追溯至 outputs/theory_validation/role_identifiability/role_identifiability_summary.json（§5.9）；结论 8 的证据追溯至 outputs/theory_validation/selective_recognition/selective_recognition_summary.json 和 outputs/paper_figures_v1/fig9_selective_recognition.png（图 9、§5.10）。</w:t>
      </w:r>
    </w:p>
    <w:p>
      <w:pPr>
        <w:spacing w:before="320" w:after="160" w:line="288" w:lineRule="auto"/>
        <w:keepNext/>
      </w:pPr>
      <w:r>
        <w:rPr>
          <w:rFonts w:ascii="黑体" w:hAnsi="黑体" w:eastAsia="黑体"/>
          <w:b/>
          <w:color w:val="1F4E78"/>
          <w:sz w:val="32"/>
        </w:rPr>
        <w:t>参考文献</w:t>
      </w:r>
    </w:p>
    <w:p>
      <w:pPr>
        <w:spacing w:before="0" w:after="60" w:line="312" w:lineRule="auto"/>
      </w:pPr>
      <w:r>
        <w:rPr>
          <w:rFonts w:ascii="宋体" w:hAnsi="宋体" w:eastAsia="宋体"/>
          <w:b w:val="0"/>
          <w:sz w:val="21"/>
        </w:rPr>
        <w:t>[1] Shin Y, Shin S. Rock Classification in a Vanadiferous Titanomagnetite Deposit Based on Supervised Machine Learning[J]. Minerals, 2022, 12(4): 461.</w:t>
      </w:r>
    </w:p>
    <w:p>
      <w:pPr>
        <w:spacing w:before="0" w:after="60" w:line="312" w:lineRule="auto"/>
      </w:pPr>
      <w:r>
        <w:rPr>
          <w:rFonts w:ascii="宋体" w:hAnsi="宋体" w:eastAsia="宋体"/>
          <w:b w:val="0"/>
          <w:sz w:val="21"/>
        </w:rPr>
        <w:t>[2] Baek J, Cho S, Shin S. Vanadiferous titanomagnetite ore rock classifier using machine learning from portable X-ray fluorescence spectra[J]. Environmental Earth Sciences, 2025, 84: 368.</w:t>
      </w:r>
    </w:p>
    <w:p>
      <w:pPr>
        <w:spacing w:before="0" w:after="60" w:line="312" w:lineRule="auto"/>
      </w:pPr>
      <w:r>
        <w:rPr>
          <w:rFonts w:ascii="宋体" w:hAnsi="宋体" w:eastAsia="宋体"/>
          <w:b w:val="0"/>
          <w:sz w:val="21"/>
        </w:rPr>
        <w:t>[3] Nesteruk S, et al. MineralImage5k: A benchmark for zero-shot raw mineral visual recognition and description[J]. Computers &amp; Geosciences, 2023, 178: 105414.</w:t>
      </w:r>
    </w:p>
    <w:p>
      <w:pPr>
        <w:spacing w:before="0" w:after="60" w:line="312" w:lineRule="auto"/>
      </w:pPr>
      <w:r>
        <w:rPr>
          <w:rFonts w:ascii="宋体" w:hAnsi="宋体" w:eastAsia="宋体"/>
          <w:b w:val="0"/>
          <w:sz w:val="21"/>
        </w:rPr>
        <w:t>[4] Wu B, et al. Mineral Identification Based on Multi-Label Image Classification[J]. Minerals, 2022, 12(11): 1338.</w:t>
      </w:r>
    </w:p>
    <w:p>
      <w:pPr>
        <w:spacing w:before="0" w:after="60" w:line="312" w:lineRule="auto"/>
      </w:pPr>
      <w:r>
        <w:rPr>
          <w:rFonts w:ascii="宋体" w:hAnsi="宋体" w:eastAsia="宋体"/>
          <w:b w:val="0"/>
          <w:sz w:val="21"/>
        </w:rPr>
        <w:t>[5] Ji X, et al. Identifying Minerals from Image Using Out-of-Distribution Artificial Intelligence-Based Model[J]. Minerals, 2024, 14(6): 627.</w:t>
      </w:r>
    </w:p>
    <w:p>
      <w:pPr>
        <w:spacing w:before="0" w:after="60" w:line="312" w:lineRule="auto"/>
      </w:pPr>
      <w:r>
        <w:rPr>
          <w:rFonts w:ascii="宋体" w:hAnsi="宋体" w:eastAsia="宋体"/>
          <w:b w:val="0"/>
          <w:sz w:val="21"/>
        </w:rPr>
        <w:t>[6] Tang H. 基于深度学习的磁铁矿图像识别及应用研究[D]. 华北理工大学, 2023.</w:t>
      </w:r>
    </w:p>
    <w:p>
      <w:pPr>
        <w:spacing w:before="0" w:after="60" w:line="312" w:lineRule="auto"/>
      </w:pPr>
      <w:r>
        <w:rPr>
          <w:rFonts w:ascii="宋体" w:hAnsi="宋体" w:eastAsia="宋体"/>
          <w:b w:val="0"/>
          <w:sz w:val="21"/>
        </w:rPr>
        <w:t>[7] 孙昊, 郑建明. 卷积神经网络在矿石识别中的应用[J]. 福建电脑, 2023.</w:t>
      </w:r>
    </w:p>
    <w:p>
      <w:pPr>
        <w:spacing w:before="0" w:after="60" w:line="312" w:lineRule="auto"/>
      </w:pPr>
      <w:r>
        <w:rPr>
          <w:rFonts w:ascii="宋体" w:hAnsi="宋体" w:eastAsia="宋体"/>
          <w:b w:val="0"/>
          <w:sz w:val="21"/>
        </w:rPr>
        <w:t>[8] Mindat.org. The mineral and locality database[EB/OL]. https://www.mindat.org/.</w:t>
      </w:r>
    </w:p>
    <w:p>
      <w:pPr>
        <w:spacing w:before="0" w:after="60" w:line="312" w:lineRule="auto"/>
      </w:pPr>
      <w:r>
        <w:rPr>
          <w:rFonts w:ascii="宋体" w:hAnsi="宋体" w:eastAsia="宋体"/>
          <w:b w:val="0"/>
          <w:sz w:val="21"/>
        </w:rPr>
        <w:t>[9] Iron Ore Image Recognition Through Multi-View Evolutionary Deep Fusion Method[J]. Future Internet, 2025, 17(12): 553. doi:10.3390/fi17120553.</w:t>
      </w:r>
    </w:p>
    <w:p>
      <w:r>
        <w:br w:type="page"/>
      </w:r>
    </w:p>
    <w:p>
      <w:pPr>
        <w:spacing w:before="320" w:after="160" w:line="288" w:lineRule="auto"/>
        <w:keepNext/>
      </w:pPr>
      <w:r>
        <w:rPr>
          <w:rFonts w:ascii="黑体" w:hAnsi="黑体" w:eastAsia="黑体"/>
          <w:b/>
          <w:color w:val="1F4E78"/>
          <w:sz w:val="32"/>
        </w:rPr>
        <w:t>附录 A 数据字段与复现说明</w:t>
      </w:r>
    </w:p>
    <w:p>
      <w:pPr>
        <w:spacing w:before="240" w:after="120" w:line="288" w:lineRule="auto"/>
        <w:keepNext/>
      </w:pPr>
      <w:r>
        <w:rPr>
          <w:rFonts w:ascii="黑体" w:hAnsi="黑体" w:eastAsia="黑体"/>
          <w:b/>
          <w:color w:val="1F4E78"/>
          <w:sz w:val="28"/>
        </w:rPr>
        <w:t>A.1 关键数据字段</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22"/>
        <w:gridCol w:w="4422"/>
      </w:tblGrid>
      <w:tr>
        <w:tc>
          <w:tcPr>
            <w:tcW w:type="dxa" w:w="2381"/>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字段</w:t>
            </w:r>
          </w:p>
        </w:tc>
        <w:tc>
          <w:tcPr>
            <w:tcW w:type="dxa" w:w="5613"/>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1"/>
              </w:rPr>
              <w:t>说明</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image_id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项目内部唯一图像编号，如 VTM-000001</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relative_path</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图像在数据版本目录中的相对路径</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mineral_label</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细粒度矿物名称标签</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four_class_label</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四分类任务标签</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mindat_photo_id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来源图片编号，用于来源追溯与分组控制</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split_group_id</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重复或近重复控制后的分组编号</w:t>
            </w:r>
          </w:p>
        </w:tc>
      </w:tr>
      <w:tr>
        <w:tc>
          <w:tcPr>
            <w:tcW w:type="dxa" w:w="2381"/>
            <w:tcMar>
              <w:top w:w="100" w:type="dxa"/>
              <w:start w:w="120" w:type="dxa"/>
              <w:bottom w:w="100" w:type="dxa"/>
              <w:end w:w="120" w:type="dxa"/>
            </w:tcMar>
            <w:vAlign w:val="center"/>
          </w:tcPr>
          <w:p>
            <w:pPr>
              <w:spacing w:before="0" w:after="0" w:line="276" w:lineRule="auto"/>
              <w:jc w:val="center"/>
            </w:pPr>
            <w:r>
              <w:rPr>
                <w:rFonts w:ascii="宋体" w:hAnsi="宋体" w:eastAsia="宋体"/>
                <w:b w:val="0"/>
                <w:sz w:val="21"/>
              </w:rPr>
              <w:t>split</w:t>
            </w:r>
          </w:p>
        </w:tc>
        <w:tc>
          <w:tcPr>
            <w:tcW w:type="dxa" w:w="5613"/>
            <w:tcMar>
              <w:top w:w="100" w:type="dxa"/>
              <w:start w:w="120" w:type="dxa"/>
              <w:bottom w:w="100" w:type="dxa"/>
              <w:end w:w="120" w:type="dxa"/>
            </w:tcMar>
            <w:vAlign w:val="center"/>
          </w:tcPr>
          <w:p>
            <w:pPr>
              <w:spacing w:before="0" w:after="0" w:line="276" w:lineRule="auto"/>
              <w:jc w:val="left"/>
            </w:pPr>
            <w:r>
              <w:rPr>
                <w:rFonts w:ascii="宋体" w:hAnsi="宋体" w:eastAsia="宋体"/>
                <w:b w:val="0"/>
                <w:sz w:val="21"/>
              </w:rPr>
              <w:t>train、val 或 test 固定数据划分</w:t>
            </w:r>
          </w:p>
        </w:tc>
      </w:tr>
    </w:tbl>
    <w:p>
      <w:pPr>
        <w:spacing w:after="60"/>
      </w:pPr>
    </w:p>
    <w:p>
      <w:pPr>
        <w:spacing w:before="240" w:after="120" w:line="288" w:lineRule="auto"/>
        <w:keepNext/>
      </w:pPr>
      <w:r>
        <w:rPr>
          <w:rFonts w:ascii="黑体" w:hAnsi="黑体" w:eastAsia="黑体"/>
          <w:b/>
          <w:color w:val="1F4E78"/>
          <w:sz w:val="28"/>
        </w:rPr>
        <w:t>A.2 可复现材料</w:t>
      </w:r>
    </w:p>
    <w:p>
      <w:pPr>
        <w:spacing w:before="0" w:after="100" w:line="360" w:lineRule="auto"/>
        <w:ind w:firstLine="420"/>
        <w:jc w:val="both"/>
      </w:pPr>
      <w:r>
        <w:rPr>
          <w:rFonts w:ascii="宋体" w:hAnsi="宋体" w:eastAsia="宋体"/>
          <w:b w:val="0"/>
          <w:sz w:val="24"/>
        </w:rPr>
        <w:t>本项目保留数据清单、采集与筛选辅助脚本、数据质量审计记录、训练脚本、实验指标、混淆矩阵、逐图预测结果和图表源数据。候选集受控逻辑条件验证的可复现汇总为 outputs/theory_validation/role_identifiability/role_identifiability_summary.json（§5.9）；固定测试划分选择性识别的可复现汇总为 outputs/theory_validation/selective_recognition/selective_recognition_summary.json，图表文件为 outputs/paper_figures_v1/fig9_selective_recognition.png（图 9、§5.10）。正式复现时应以固定清单 dataset_split_manifest_v1_0.csv 为准，并保持图片编号分组、训练随机种子和评价指标定义一致。由于公开网页图片可能具有不同作者与许可，公开共享时应优先发布元数据、脚本、图表源数据和处理规则，而不应在未核实许可的情况下整体再分发原始图片。</w:t>
      </w:r>
    </w:p>
    <w:p>
      <w:pPr>
        <w:spacing w:before="240" w:after="120" w:line="288" w:lineRule="auto"/>
        <w:keepNext/>
      </w:pPr>
      <w:r>
        <w:rPr>
          <w:rFonts w:ascii="黑体" w:hAnsi="黑体" w:eastAsia="黑体"/>
          <w:b/>
          <w:color w:val="1F4E78"/>
          <w:sz w:val="28"/>
        </w:rPr>
        <w:t>A.3 结题前待补信息</w:t>
      </w:r>
    </w:p>
    <w:tbl>
      <w:tblPr>
        <w:tblW w:type="auto" w:w="0"/>
        <w:jc w:val="center"/>
        <w:tblLook w:firstColumn="1" w:firstRow="1" w:lastColumn="0" w:lastRow="0" w:noHBand="0" w:noVBand="1" w:val="04A0"/>
        <w:tblLayout w:type="fixed"/>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26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项目</w:t>
            </w:r>
          </w:p>
        </w:tc>
        <w:tc>
          <w:tcPr>
            <w:tcW w:type="dxa" w:w="311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当前状态</w:t>
            </w:r>
          </w:p>
        </w:tc>
        <w:tc>
          <w:tcPr>
            <w:tcW w:type="dxa" w:w="2608"/>
            <w:tcMar>
              <w:top w:w="100" w:type="dxa"/>
              <w:start w:w="120" w:type="dxa"/>
              <w:bottom w:w="100" w:type="dxa"/>
              <w:end w:w="120" w:type="dxa"/>
            </w:tcMar>
            <w:shd w:fill="E8EEF5"/>
            <w:vAlign w:val="center"/>
          </w:tcPr>
          <w:p>
            <w:pPr>
              <w:spacing w:before="0" w:after="0" w:line="276" w:lineRule="auto"/>
              <w:jc w:val="center"/>
            </w:pPr>
            <w:r>
              <w:rPr>
                <w:rFonts w:ascii="黑体" w:hAnsi="黑体" w:eastAsia="黑体"/>
                <w:b/>
                <w:sz w:val="20"/>
              </w:rPr>
              <w:t>建议补充位置</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项目编号、承担单位、负责人</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待核验</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封面及验收报告基本信息</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任务书考核指标</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本目录未发现任务书本体</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结题验收报告“任务完成情况”逐项对照</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复核人和复核日期</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复核决策已形成，责任字段待完善</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数据质控附件与报告 3.3 节</w:t>
            </w:r>
          </w:p>
        </w:tc>
      </w:tr>
      <w:tr>
        <w:tc>
          <w:tcPr>
            <w:tcW w:type="dxa" w:w="2268"/>
            <w:tcMar>
              <w:top w:w="100" w:type="dxa"/>
              <w:start w:w="120" w:type="dxa"/>
              <w:bottom w:w="100" w:type="dxa"/>
              <w:end w:w="120" w:type="dxa"/>
            </w:tcMar>
            <w:vAlign w:val="center"/>
          </w:tcPr>
          <w:p>
            <w:pPr>
              <w:spacing w:before="0" w:after="0" w:line="276" w:lineRule="auto"/>
              <w:jc w:val="center"/>
            </w:pPr>
            <w:r>
              <w:rPr>
                <w:rFonts w:ascii="宋体" w:hAnsi="宋体" w:eastAsia="宋体"/>
                <w:b w:val="0"/>
                <w:sz w:val="20"/>
              </w:rPr>
              <w:t>财务决算、成果证明与凭证</w:t>
            </w:r>
          </w:p>
        </w:tc>
        <w:tc>
          <w:tcPr>
            <w:tcW w:type="dxa" w:w="311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需由项目承担单位补充</w:t>
            </w:r>
          </w:p>
        </w:tc>
        <w:tc>
          <w:tcPr>
            <w:tcW w:type="dxa" w:w="2608"/>
            <w:tcMar>
              <w:top w:w="100" w:type="dxa"/>
              <w:start w:w="120" w:type="dxa"/>
              <w:bottom w:w="100" w:type="dxa"/>
              <w:end w:w="120" w:type="dxa"/>
            </w:tcMar>
            <w:vAlign w:val="center"/>
          </w:tcPr>
          <w:p>
            <w:pPr>
              <w:spacing w:before="0" w:after="0" w:line="276" w:lineRule="auto"/>
              <w:jc w:val="left"/>
            </w:pPr>
            <w:r>
              <w:rPr>
                <w:rFonts w:ascii="宋体" w:hAnsi="宋体" w:eastAsia="宋体"/>
                <w:b w:val="0"/>
                <w:sz w:val="20"/>
              </w:rPr>
              <w:t>结题验收材料附件</w:t>
            </w:r>
          </w:p>
        </w:tc>
      </w:tr>
    </w:tbl>
    <w:p>
      <w:pPr>
        <w:spacing w:after="60"/>
      </w:pPr>
    </w:p>
    <w:sectPr w:rsidR="00FC693F" w:rsidRPr="0006063C" w:rsidSect="00034616">
      <w:headerReference w:type="default" r:id="rId9"/>
      <w:footerReference w:type="default" r:id="rId10"/>
      <w:pgSz w:w="11906" w:h="16838"/>
      <w:pgMar w:top="1440" w:right="1531" w:bottom="1440" w:left="1531"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宋体" w:hAnsi="宋体" w:eastAsia="宋体"/>
        <w:b w:val="0"/>
        <w:color w:val="5A5A5A"/>
        <w:sz w:val="18"/>
      </w:rPr>
      <w:t>技术报告初稿  |  2026 年 7 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宋体" w:hAnsi="宋体" w:eastAsia="宋体"/>
        <w:b w:val="0"/>
        <w:color w:val="5A5A5A"/>
        <w:sz w:val="19"/>
      </w:rPr>
      <w:t>钒钛关键战略材料四川省重点实验室开放项目技术报告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