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ind w:firstLine="420"/>
        <w:jc w:val="both"/>
      </w:pPr>
      <w:r>
        <w:t>在固定划分上，采用</w:t>
      </w:r>
      <w:r>
        <w:t xml:space="preserve"> ImageNet </w:t>
      </w:r>
      <w:r>
        <w:t>预训练的</w:t>
      </w:r>
      <w:r>
        <w:t xml:space="preserve"> ResNet50 </w:t>
      </w:r>
      <w:r>
        <w:t>和</w:t>
      </w:r>
      <w:r>
        <w:t xml:space="preserve"> EfficientNet-B0 </w:t>
      </w:r>
      <w:r>
        <w:t>开展三随机种子重复训练。</w:t>
      </w:r>
      <w:r>
        <w:t xml:space="preserve">EfficientNet-B0 </w:t>
      </w:r>
      <w:r>
        <w:t>的平均</w:t>
      </w:r>
      <w:r>
        <w:t xml:space="preserve"> Macro F1 </w:t>
      </w:r>
      <w:r>
        <w:t>为</w:t>
      </w:r>
      <w:r>
        <w:t xml:space="preserve"> 72.87%±1.21%</w:t>
      </w:r>
      <w:r>
        <w:t>，</w:t>
      </w:r>
      <w:r>
        <w:t xml:space="preserve">ResNet50 </w:t>
      </w:r>
      <w:r>
        <w:t>为</w:t>
      </w:r>
      <w:r>
        <w:t xml:space="preserve"> 72.06%±0.92%</w:t>
      </w:r>
      <w:r>
        <w:t>。进一步构建了角色感知困难负样本模型和矿物种类</w:t>
      </w:r>
      <w:r>
        <w:t>—</w:t>
      </w:r>
      <w:r>
        <w:t>选矿角色分层一致性模型。分层模型的平均</w:t>
      </w:r>
      <w:r>
        <w:t xml:space="preserve"> Macro F1 </w:t>
      </w:r>
      <w:r>
        <w:t>为</w:t>
      </w:r>
      <w:r>
        <w:t xml:space="preserve"> 73.41%±2.40%</w:t>
      </w:r>
      <w:r>
        <w:t>，并提高目标类召回和目标代理</w:t>
      </w:r>
      <w:r>
        <w:t xml:space="preserve"> F1</w:t>
      </w:r>
      <w:r>
        <w:t>，但同时增加部分困难干扰误入目标的比例，说明现阶段改进主要体现为风险方向的取舍，而非总体性能的稳定领先。选择性识别分析表明，提高置信度阈值可以降低保留样本错误率，但目前最大</w:t>
      </w:r>
      <w:r>
        <w:t xml:space="preserve"> Softmax </w:t>
      </w:r>
      <w:r>
        <w:t>概率尚未完成独立校准，阈值结果仅作为固定测试划分上的描述性证据。</w:t>
      </w:r>
    </w:p>
    <w:p w14:paraId="7080B004" w14:textId="77777777" w:rsidR="00B8619C" w:rsidRDefault="00000000">
      <w:pPr>
        <w:ind w:firstLine="420"/>
        <w:jc w:val="both"/>
      </w:pPr>
      <w:r>
        <w:t>本报告将固定种类</w:t>
      </w:r>
      <w:r>
        <w:t>—</w:t>
      </w:r>
      <w:r>
        <w:t>角色映射下的角色可识别性表述为领域问题的条件化形式化，并将受控候选集合结果定位为程序化一致性检查，而非真实图像或模型性能验证。当前结果仅支持公开矿物标本图像条件下的数据治理、基线比较、风险取舍和方法原型分析，不构成工业分选、品位或回收率、真实</w:t>
      </w:r>
      <w:r>
        <w:t xml:space="preserve"> XRF </w:t>
      </w:r>
      <w:r>
        <w:t>成本最优、外部泛化或统计显著性结论。</w:t>
      </w:r>
    </w:p>
    <w:p w14:paraId="13ED7919" w14:textId="77777777" w:rsidR="00B8619C" w:rsidRDefault="00000000">
      <w:pPr>
        <w:spacing w:before="100"/>
      </w:pPr>
      <w:r>
        <w:rPr>
          <w:rFonts w:eastAsia="黑体"/>
          <w:b/>
        </w:rPr>
        <w:t>关键词：</w:t>
      </w:r>
      <w:r>
        <w:t>钒钛矿；矿物图像识别；困难负样本；分层一致性；选择性识别；风险评价</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97880" cy="313041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97880" cy="3130413"/>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6120000" cy="33340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6120000" cy="3334044"/>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97880" cy="710842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97880" cy="710842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14:paraId="498E2798" w14:textId="77777777" w:rsidR="00B8619C" w:rsidRDefault="00000000">
      <w:pPr>
        <w:pStyle w:val="21"/>
      </w:pPr>
      <w:r>
        <w:t xml:space="preserve">4.6 </w:t>
      </w:r>
      <w:r>
        <w:t>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pPr>
      <w:r>
        <w:t xml:space="preserve">4.7 </w:t>
      </w:r>
      <w:r>
        <w:t>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jc w:val="center"/>
      </w:pPr>
      <w:r>
        <w:t>图</w:t>
      </w:r>
      <w:r>
        <w:t xml:space="preserve"> 5 </w:t>
      </w:r>
      <w:r>
        <w:t>四种模型的总体性能对比（均值</w:t>
      </w:r>
      <w:r>
        <w:t>±</w:t>
      </w:r>
      <w:r>
        <w:t>样本标准差，</w:t>
      </w:r>
      <w:r>
        <w:t>n=3</w:t>
      </w:r>
      <w:r>
        <w:t>）</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jc w:val="center"/>
      </w:pPr>
      <w:r>
        <w:t>图</w:t>
      </w:r>
      <w:r>
        <w:t xml:space="preserve"> 6 </w:t>
      </w:r>
      <w:r>
        <w:t>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jc w:val="center"/>
      </w:pPr>
      <w:r>
        <w:t>图</w:t>
      </w:r>
      <w:r>
        <w:t xml:space="preserve"> 7 </w:t>
      </w:r>
      <w:r>
        <w:t>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jc w:val="center"/>
      </w:pPr>
      <w:r>
        <w:t>图</w:t>
      </w:r>
      <w:r>
        <w:t xml:space="preserve"> 8 EfficientNet-B0</w:t>
      </w:r>
      <w:r>
        <w:t>（随机种子</w:t>
      </w:r>
      <w:r>
        <w:t xml:space="preserve"> 20260728</w:t>
      </w:r>
      <w:r>
        <w:t>）的混淆矩阵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jc w:val="center"/>
      </w:pPr>
      <w:r>
        <w:t>图</w:t>
      </w:r>
      <w:r>
        <w:t xml:space="preserve"> 9 EfficientNet-B0</w:t>
      </w:r>
      <w:r>
        <w:t>（随机种子</w:t>
      </w:r>
      <w:r>
        <w:t xml:space="preserve"> 20260728</w:t>
      </w:r>
      <w:r>
        <w:t>）的主要错分方向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jc w:val="center"/>
      </w:pPr>
      <w:r>
        <w:t>图</w:t>
      </w:r>
      <w:r>
        <w:t xml:space="preserve"> 10 </w:t>
      </w:r>
      <w:r>
        <w:t>加权交叉熵与加权</w:t>
      </w:r>
      <w:r>
        <w:t xml:space="preserve"> Focal Loss </w:t>
      </w:r>
      <w:r>
        <w:t>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jc w:val="center"/>
      </w:pPr>
      <w:r>
        <w:t>图</w:t>
      </w:r>
      <w:r>
        <w:t xml:space="preserve"> 11 </w:t>
      </w:r>
      <w:r>
        <w:t>三随机种子在固定测试划分上的选择性识别风险</w:t>
      </w:r>
      <w:r>
        <w:t>—</w:t>
      </w:r>
      <w:r>
        <w:t>覆盖率关系</w:t>
      </w:r>
    </w:p>
    <w:p w14:paraId="09E1C519" w14:textId="77777777" w:rsidR="00B8619C" w:rsidRDefault="00000000">
      <w:pPr>
        <w:ind w:firstLine="420"/>
        <w:jc w:val="both"/>
      </w:pPr>
      <w:r>
        <w:t>阈值从</w:t>
      </w:r>
      <w:r>
        <w:t xml:space="preserve"> 0.00 </w:t>
      </w:r>
      <w:r>
        <w:t>提高到</w:t>
      </w:r>
      <w:r>
        <w:t xml:space="preserve"> 0.90 </w:t>
      </w:r>
      <w:r>
        <w:t>时，平均覆盖率由</w:t>
      </w:r>
      <w:r>
        <w:t xml:space="preserve"> 100.00% </w:t>
      </w:r>
      <w:r>
        <w:t>降至</w:t>
      </w:r>
      <w:r>
        <w:t xml:space="preserve"> 60.88%</w:t>
      </w:r>
      <w:r>
        <w:t>，保留样本错误率由</w:t>
      </w:r>
      <w:r>
        <w:t xml:space="preserve"> 24.58% </w:t>
      </w:r>
      <w:r>
        <w:t>降至</w:t>
      </w:r>
      <w:r>
        <w:t xml:space="preserve"> 11.71%</w:t>
      </w:r>
      <w:r>
        <w:t>，体现了固定公开图像测试划分上的风险</w:t>
      </w:r>
      <w:r>
        <w:t>—</w:t>
      </w:r>
      <w:r>
        <w:t>覆盖率取舍。由于置信度未校准且阈值未在验证集上按预定约束选择，不能把</w:t>
      </w:r>
      <w:r>
        <w:t xml:space="preserve"> 0.90 </w:t>
      </w:r>
      <w:r>
        <w:t>解释为推荐阈值或工业成本最优点。</w:t>
      </w:r>
    </w:p>
    <w:p w14:paraId="35530D39" w14:textId="77777777" w:rsidR="00B8619C" w:rsidRDefault="00000000">
      <w:pPr>
        <w:pStyle w:val="21"/>
      </w:pPr>
      <w:r>
        <w:t xml:space="preserve">5.11 </w:t>
      </w:r>
      <w:r>
        <w:t>实验结果的综合判断</w:t>
      </w:r>
    </w:p>
    <w:p w14:paraId="4E2F25F0" w14:textId="77777777" w:rsidR="00B8619C" w:rsidRDefault="00000000">
      <w:pPr>
        <w:ind w:firstLine="420"/>
        <w:jc w:val="both"/>
      </w:pPr>
      <w:r>
        <w:t>当前实验已经形成清晰的证据链：基础模型结果稳定可复现；</w:t>
      </w:r>
      <w:r>
        <w:t xml:space="preserve">Focal Loss </w:t>
      </w:r>
      <w:r>
        <w:t>不能统一解决结构性混淆；角色感知方法降低困难干扰误入目标但增加目标漏选；分层方法提高目标召回但增加部分干扰误入；选择性阈值能够降低保留风险但尚未校准。由此可以得出的结论是</w:t>
      </w:r>
      <w:r>
        <w:t>“</w:t>
      </w:r>
      <w:r>
        <w:t>不同机制改变风险取舍</w:t>
      </w:r>
      <w:r>
        <w:t>”</w:t>
      </w:r>
      <w:r>
        <w:t>，而不是</w:t>
      </w:r>
      <w:r>
        <w:t>“</w:t>
      </w:r>
      <w:r>
        <w:t>提出模型稳定优于所有基线</w:t>
      </w:r>
      <w:r>
        <w:t>”</w:t>
      </w:r>
      <w:r>
        <w:t>。</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jc w:val="center"/>
      </w:pPr>
      <w:r>
        <w:t>表</w:t>
      </w:r>
      <w:r>
        <w:t xml:space="preserve"> 18 </w:t>
      </w:r>
      <w:r>
        <w:t>本阶段方法贡献及其解释边界</w:t>
      </w:r>
    </w:p>
    <w:p w14:paraId="4BEB687E" w14:textId="77777777" w:rsidR="00B8619C" w:rsidRDefault="00000000">
      <w:pPr>
        <w:ind w:firstLine="420"/>
        <w:jc w:val="both"/>
      </w:pPr>
      <w:r>
        <w:t>相较原初稿，本修订稿不再把受控候选集合</w:t>
      </w:r>
      <w:r>
        <w:t xml:space="preserve"> 100%/0% </w:t>
      </w:r>
      <w:r>
        <w:t>结果作为核心创新证据，也不把未经校准的最大</w:t>
      </w:r>
      <w:r>
        <w:t xml:space="preserve"> Softmax </w:t>
      </w:r>
      <w:r>
        <w:t>阈值作为独立算法创新。真正需要进一步加强的是：真实候选标签、来源外测试、置信度校准和专家定义的风险约束。</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rPr>
        <w:tc>
          <w:tcPr>
            <w:tcW w:w="2268" w:type="dxa"/>
            <w:shd w:val="clear" w:color="auto" w:fill="D9EAF7"/>
            <w:tcMar>
              <w:top w:w="80" w:type="dxa"/>
              <w:left w:w="90" w:type="dxa"/>
              <w:bottom w:w="80" w:type="dxa"/>
              <w:right w:w="90" w:type="dxa"/>
            </w:tcMar>
            <w:vAlign w:val="center"/>
          </w:tcPr>
          <w:p w14:paraId="302CDFC3" w14:textId="77777777" w:rsidR="00B8619C" w:rsidRDefault="00000000">
            <w:pPr>
              <w:spacing w:after="0" w:line="264" w:lineRule="auto"/>
              <w:jc w:val="center"/>
            </w:pPr>
            <w:r>
              <w:rPr>
                <w:rFonts w:eastAsia="黑体"/>
                <w:b/>
                <w:sz w:val="15"/>
              </w:rPr>
              <w:t>问题</w:t>
            </w:r>
          </w:p>
        </w:tc>
        <w:tc>
          <w:tcPr>
            <w:tcW w:w="3515" w:type="dxa"/>
            <w:shd w:val="clear" w:color="auto" w:fill="D9EAF7"/>
            <w:tcMar>
              <w:top w:w="80" w:type="dxa"/>
              <w:left w:w="90" w:type="dxa"/>
              <w:bottom w:w="80" w:type="dxa"/>
              <w:right w:w="90" w:type="dxa"/>
            </w:tcMar>
            <w:vAlign w:val="center"/>
          </w:tcPr>
          <w:p w14:paraId="449113F5" w14:textId="77777777" w:rsidR="00B8619C" w:rsidRDefault="00000000">
            <w:pPr>
              <w:spacing w:after="0" w:line="264" w:lineRule="auto"/>
              <w:jc w:val="center"/>
            </w:pPr>
            <w:r>
              <w:rPr>
                <w:rFonts w:eastAsia="黑体"/>
                <w:b/>
                <w:sz w:val="15"/>
              </w:rPr>
              <w:t>对结果解释的影响</w:t>
            </w:r>
          </w:p>
        </w:tc>
        <w:tc>
          <w:tcPr>
            <w:tcW w:w="3402" w:type="dxa"/>
            <w:shd w:val="clear" w:color="auto" w:fill="D9EAF7"/>
            <w:tcMar>
              <w:top w:w="80" w:type="dxa"/>
              <w:left w:w="90" w:type="dxa"/>
              <w:bottom w:w="80" w:type="dxa"/>
              <w:right w:w="90" w:type="dxa"/>
            </w:tcMar>
            <w:vAlign w:val="center"/>
          </w:tcPr>
          <w:p w14:paraId="0CB768DC" w14:textId="77777777" w:rsidR="00B8619C" w:rsidRDefault="00000000">
            <w:pPr>
              <w:spacing w:after="0" w:line="264" w:lineRule="auto"/>
              <w:jc w:val="center"/>
            </w:pPr>
            <w:r>
              <w:rPr>
                <w:rFonts w:eastAsia="黑体"/>
                <w:b/>
                <w:sz w:val="15"/>
              </w:rPr>
              <w:t>处理原则</w:t>
            </w:r>
          </w:p>
        </w:tc>
      </w:tr>
      <w:tr w:rsidR="00B8619C" w14:paraId="0A6AAC94" w14:textId="77777777">
        <w:trPr>
          <w:cantSplit/>
          <w:jc w:val="center"/>
        </w:trPr>
        <w:tc>
          <w:tcPr>
            <w:tcW w:w="2268" w:type="dxa"/>
            <w:tcMar>
              <w:top w:w="80" w:type="dxa"/>
              <w:left w:w="90" w:type="dxa"/>
              <w:bottom w:w="80" w:type="dxa"/>
              <w:right w:w="90" w:type="dxa"/>
            </w:tcMar>
            <w:vAlign w:val="center"/>
          </w:tcPr>
          <w:p w14:paraId="40816356" w14:textId="77777777" w:rsidR="00B8619C" w:rsidRDefault="00000000">
            <w:pPr>
              <w:spacing w:after="0" w:line="264" w:lineRule="auto"/>
            </w:pPr>
            <w:r>
              <w:rPr>
                <w:sz w:val="15"/>
              </w:rPr>
              <w:t>公开标本图像与工业现场差异</w:t>
            </w:r>
          </w:p>
        </w:tc>
        <w:tc>
          <w:tcPr>
            <w:tcW w:w="3515" w:type="dxa"/>
            <w:tcMar>
              <w:top w:w="80" w:type="dxa"/>
              <w:left w:w="90" w:type="dxa"/>
              <w:bottom w:w="80" w:type="dxa"/>
              <w:right w:w="90" w:type="dxa"/>
            </w:tcMar>
            <w:vAlign w:val="center"/>
          </w:tcPr>
          <w:p w14:paraId="3ECCAA57" w14:textId="77777777" w:rsidR="00B8619C" w:rsidRDefault="00000000">
            <w:pPr>
              <w:spacing w:after="0" w:line="264" w:lineRule="auto"/>
            </w:pPr>
            <w:r>
              <w:rPr>
                <w:sz w:val="15"/>
              </w:rPr>
              <w:t>不能将当前准确率等同于皮带分选性能或生产指标</w:t>
            </w:r>
          </w:p>
        </w:tc>
        <w:tc>
          <w:tcPr>
            <w:tcW w:w="3402" w:type="dxa"/>
            <w:tcMar>
              <w:top w:w="80" w:type="dxa"/>
              <w:left w:w="90" w:type="dxa"/>
              <w:bottom w:w="80" w:type="dxa"/>
              <w:right w:w="90" w:type="dxa"/>
            </w:tcMar>
            <w:vAlign w:val="center"/>
          </w:tcPr>
          <w:p w14:paraId="4CAFAC1D" w14:textId="77777777" w:rsidR="00B8619C" w:rsidRDefault="00000000">
            <w:pPr>
              <w:spacing w:after="0" w:line="264" w:lineRule="auto"/>
            </w:pPr>
            <w:r>
              <w:rPr>
                <w:sz w:val="15"/>
              </w:rPr>
              <w:t>定位为公开标本图像源域验证</w:t>
            </w:r>
          </w:p>
        </w:tc>
      </w:tr>
      <w:tr w:rsidR="00B8619C" w14:paraId="6A811A37" w14:textId="77777777">
        <w:trPr>
          <w:cantSplit/>
          <w:jc w:val="center"/>
        </w:trPr>
        <w:tc>
          <w:tcPr>
            <w:tcW w:w="2268" w:type="dxa"/>
            <w:tcMar>
              <w:top w:w="80" w:type="dxa"/>
              <w:left w:w="90" w:type="dxa"/>
              <w:bottom w:w="80" w:type="dxa"/>
              <w:right w:w="90" w:type="dxa"/>
            </w:tcMar>
            <w:vAlign w:val="center"/>
          </w:tcPr>
          <w:p w14:paraId="396B6DA7" w14:textId="77777777" w:rsidR="00B8619C" w:rsidRDefault="00000000">
            <w:pPr>
              <w:spacing w:after="0" w:line="264" w:lineRule="auto"/>
            </w:pPr>
            <w:r>
              <w:rPr>
                <w:sz w:val="15"/>
              </w:rPr>
              <w:t xml:space="preserve">titanomagnetite </w:t>
            </w:r>
            <w:r>
              <w:rPr>
                <w:sz w:val="15"/>
              </w:rPr>
              <w:t>仅</w:t>
            </w:r>
            <w:r>
              <w:rPr>
                <w:sz w:val="15"/>
              </w:rPr>
              <w:t xml:space="preserve"> 23 </w:t>
            </w:r>
            <w:r>
              <w:rPr>
                <w:sz w:val="15"/>
              </w:rPr>
              <w:t>张</w:t>
            </w:r>
          </w:p>
        </w:tc>
        <w:tc>
          <w:tcPr>
            <w:tcW w:w="3515" w:type="dxa"/>
            <w:tcMar>
              <w:top w:w="80" w:type="dxa"/>
              <w:left w:w="90" w:type="dxa"/>
              <w:bottom w:w="80" w:type="dxa"/>
              <w:right w:w="90" w:type="dxa"/>
            </w:tcMar>
            <w:vAlign w:val="center"/>
          </w:tcPr>
          <w:p w14:paraId="695A68DF" w14:textId="77777777" w:rsidR="00B8619C" w:rsidRDefault="00000000">
            <w:pPr>
              <w:spacing w:after="0" w:line="264" w:lineRule="auto"/>
            </w:pPr>
            <w:r>
              <w:rPr>
                <w:sz w:val="15"/>
              </w:rPr>
              <w:t>不足以支持钛磁铁矿独立细分类结论</w:t>
            </w:r>
          </w:p>
        </w:tc>
        <w:tc>
          <w:tcPr>
            <w:tcW w:w="3402" w:type="dxa"/>
            <w:tcMar>
              <w:top w:w="80" w:type="dxa"/>
              <w:left w:w="90" w:type="dxa"/>
              <w:bottom w:w="80" w:type="dxa"/>
              <w:right w:w="90" w:type="dxa"/>
            </w:tcMar>
            <w:vAlign w:val="center"/>
          </w:tcPr>
          <w:p w14:paraId="4C761E9C" w14:textId="77777777" w:rsidR="00B8619C" w:rsidRDefault="00000000">
            <w:pPr>
              <w:spacing w:after="0" w:line="264" w:lineRule="auto"/>
            </w:pPr>
            <w:r>
              <w:rPr>
                <w:sz w:val="15"/>
              </w:rPr>
              <w:t>作为合并目标类补充，并优先扩充</w:t>
            </w:r>
          </w:p>
        </w:tc>
      </w:tr>
      <w:tr w:rsidR="00B8619C" w14:paraId="74F0C398" w14:textId="77777777">
        <w:trPr>
          <w:cantSplit/>
          <w:jc w:val="center"/>
        </w:trPr>
        <w:tc>
          <w:tcPr>
            <w:tcW w:w="2268" w:type="dxa"/>
            <w:tcMar>
              <w:top w:w="80" w:type="dxa"/>
              <w:left w:w="90" w:type="dxa"/>
              <w:bottom w:w="80" w:type="dxa"/>
              <w:right w:w="90" w:type="dxa"/>
            </w:tcMar>
            <w:vAlign w:val="center"/>
          </w:tcPr>
          <w:p w14:paraId="75D79E1F" w14:textId="77777777" w:rsidR="00B8619C" w:rsidRDefault="00000000">
            <w:pPr>
              <w:spacing w:after="0" w:line="264" w:lineRule="auto"/>
            </w:pPr>
            <w:r>
              <w:rPr>
                <w:sz w:val="15"/>
              </w:rPr>
              <w:t>普通</w:t>
            </w:r>
            <w:r>
              <w:rPr>
                <w:sz w:val="15"/>
              </w:rPr>
              <w:t xml:space="preserve"> magnetite </w:t>
            </w:r>
            <w:r>
              <w:rPr>
                <w:sz w:val="15"/>
              </w:rPr>
              <w:t>作为代理</w:t>
            </w:r>
          </w:p>
        </w:tc>
        <w:tc>
          <w:tcPr>
            <w:tcW w:w="3515" w:type="dxa"/>
            <w:tcMar>
              <w:top w:w="80" w:type="dxa"/>
              <w:left w:w="90" w:type="dxa"/>
              <w:bottom w:w="80" w:type="dxa"/>
              <w:right w:w="90" w:type="dxa"/>
            </w:tcMar>
            <w:vAlign w:val="center"/>
          </w:tcPr>
          <w:p w14:paraId="6BDA0BE9" w14:textId="77777777" w:rsidR="00B8619C" w:rsidRDefault="00000000">
            <w:pPr>
              <w:spacing w:after="0" w:line="264" w:lineRule="auto"/>
            </w:pPr>
            <w:r>
              <w:rPr>
                <w:sz w:val="15"/>
              </w:rPr>
              <w:t>可能高估对真实钛磁铁矿的代表性</w:t>
            </w:r>
          </w:p>
        </w:tc>
        <w:tc>
          <w:tcPr>
            <w:tcW w:w="3402" w:type="dxa"/>
            <w:tcMar>
              <w:top w:w="80" w:type="dxa"/>
              <w:left w:w="90" w:type="dxa"/>
              <w:bottom w:w="80" w:type="dxa"/>
              <w:right w:w="90" w:type="dxa"/>
            </w:tcMar>
            <w:vAlign w:val="center"/>
          </w:tcPr>
          <w:p w14:paraId="2707E534" w14:textId="77777777" w:rsidR="00B8619C" w:rsidRDefault="00000000">
            <w:pPr>
              <w:spacing w:after="0" w:line="264" w:lineRule="auto"/>
            </w:pPr>
            <w:r>
              <w:rPr>
                <w:sz w:val="15"/>
              </w:rPr>
              <w:t>增加代理标记并开展使用</w:t>
            </w:r>
            <w:r>
              <w:rPr>
                <w:sz w:val="15"/>
              </w:rPr>
              <w:t>/</w:t>
            </w:r>
            <w:r>
              <w:rPr>
                <w:sz w:val="15"/>
              </w:rPr>
              <w:t>不使用代理消融</w:t>
            </w:r>
          </w:p>
        </w:tc>
      </w:tr>
      <w:tr w:rsidR="00B8619C" w14:paraId="57C57211" w14:textId="77777777">
        <w:trPr>
          <w:cantSplit/>
          <w:jc w:val="center"/>
        </w:trPr>
        <w:tc>
          <w:tcPr>
            <w:tcW w:w="2268" w:type="dxa"/>
            <w:tcMar>
              <w:top w:w="80" w:type="dxa"/>
              <w:left w:w="90" w:type="dxa"/>
              <w:bottom w:w="80" w:type="dxa"/>
              <w:right w:w="90" w:type="dxa"/>
            </w:tcMar>
            <w:vAlign w:val="center"/>
          </w:tcPr>
          <w:p w14:paraId="538C97E7" w14:textId="77777777" w:rsidR="00B8619C" w:rsidRDefault="00000000">
            <w:pPr>
              <w:spacing w:after="0" w:line="264" w:lineRule="auto"/>
            </w:pPr>
            <w:r>
              <w:rPr>
                <w:sz w:val="15"/>
              </w:rPr>
              <w:t>单标签与伴生矿物共存</w:t>
            </w:r>
          </w:p>
        </w:tc>
        <w:tc>
          <w:tcPr>
            <w:tcW w:w="3515" w:type="dxa"/>
            <w:tcMar>
              <w:top w:w="80" w:type="dxa"/>
              <w:left w:w="90" w:type="dxa"/>
              <w:bottom w:w="80" w:type="dxa"/>
              <w:right w:w="90" w:type="dxa"/>
            </w:tcMar>
            <w:vAlign w:val="center"/>
          </w:tcPr>
          <w:p w14:paraId="53AC5228" w14:textId="77777777" w:rsidR="00B8619C" w:rsidRDefault="00000000">
            <w:pPr>
              <w:spacing w:after="0" w:line="264" w:lineRule="auto"/>
            </w:pPr>
            <w:r>
              <w:rPr>
                <w:sz w:val="15"/>
              </w:rPr>
              <w:t>页面主题矿物不一定是图像唯一可见对象</w:t>
            </w:r>
          </w:p>
        </w:tc>
        <w:tc>
          <w:tcPr>
            <w:tcW w:w="3402" w:type="dxa"/>
            <w:tcMar>
              <w:top w:w="80" w:type="dxa"/>
              <w:left w:w="90" w:type="dxa"/>
              <w:bottom w:w="80" w:type="dxa"/>
              <w:right w:w="90" w:type="dxa"/>
            </w:tcMar>
            <w:vAlign w:val="center"/>
          </w:tcPr>
          <w:p w14:paraId="14D8AF30" w14:textId="77777777" w:rsidR="00B8619C" w:rsidRDefault="00000000">
            <w:pPr>
              <w:spacing w:after="0" w:line="264" w:lineRule="auto"/>
            </w:pPr>
            <w:r>
              <w:rPr>
                <w:sz w:val="15"/>
              </w:rPr>
              <w:t>建立真实候选标签或多标签复核子集</w:t>
            </w:r>
          </w:p>
        </w:tc>
      </w:tr>
      <w:tr w:rsidR="00B8619C" w14:paraId="1908BC1C" w14:textId="77777777">
        <w:trPr>
          <w:cantSplit/>
          <w:jc w:val="center"/>
        </w:trPr>
        <w:tc>
          <w:tcPr>
            <w:tcW w:w="2268" w:type="dxa"/>
            <w:tcMar>
              <w:top w:w="80" w:type="dxa"/>
              <w:left w:w="90" w:type="dxa"/>
              <w:bottom w:w="80" w:type="dxa"/>
              <w:right w:w="90" w:type="dxa"/>
            </w:tcMar>
            <w:vAlign w:val="center"/>
          </w:tcPr>
          <w:p w14:paraId="4CB5E7C4" w14:textId="77777777" w:rsidR="00B8619C" w:rsidRDefault="00000000">
            <w:pPr>
              <w:spacing w:after="0" w:line="264" w:lineRule="auto"/>
            </w:pPr>
            <w:r>
              <w:rPr>
                <w:sz w:val="15"/>
              </w:rPr>
              <w:t>来源外泛化尚未验证</w:t>
            </w:r>
          </w:p>
        </w:tc>
        <w:tc>
          <w:tcPr>
            <w:tcW w:w="3515" w:type="dxa"/>
            <w:tcMar>
              <w:top w:w="80" w:type="dxa"/>
              <w:left w:w="90" w:type="dxa"/>
              <w:bottom w:w="80" w:type="dxa"/>
              <w:right w:w="90" w:type="dxa"/>
            </w:tcMar>
            <w:vAlign w:val="center"/>
          </w:tcPr>
          <w:p w14:paraId="79893220" w14:textId="77777777" w:rsidR="00B8619C" w:rsidRDefault="00000000">
            <w:pPr>
              <w:spacing w:after="0" w:line="264" w:lineRule="auto"/>
            </w:pPr>
            <w:r>
              <w:rPr>
                <w:sz w:val="15"/>
              </w:rPr>
              <w:t>摄影者、产地和背景风格可能引入领域偏移</w:t>
            </w:r>
          </w:p>
        </w:tc>
        <w:tc>
          <w:tcPr>
            <w:tcW w:w="3402" w:type="dxa"/>
            <w:tcMar>
              <w:top w:w="80" w:type="dxa"/>
              <w:left w:w="90" w:type="dxa"/>
              <w:bottom w:w="80" w:type="dxa"/>
              <w:right w:w="90" w:type="dxa"/>
            </w:tcMar>
            <w:vAlign w:val="center"/>
          </w:tcPr>
          <w:p w14:paraId="1F54F35B" w14:textId="77777777" w:rsidR="00B8619C" w:rsidRDefault="00000000">
            <w:pPr>
              <w:spacing w:after="0" w:line="264" w:lineRule="auto"/>
            </w:pPr>
            <w:r>
              <w:rPr>
                <w:sz w:val="15"/>
              </w:rPr>
              <w:t>按来源、摄影者或矿区整体留出测试</w:t>
            </w:r>
          </w:p>
        </w:tc>
      </w:tr>
      <w:tr w:rsidR="00B8619C" w14:paraId="65B928F7" w14:textId="77777777">
        <w:trPr>
          <w:cantSplit/>
          <w:jc w:val="center"/>
        </w:trPr>
        <w:tc>
          <w:tcPr>
            <w:tcW w:w="2268" w:type="dxa"/>
            <w:tcMar>
              <w:top w:w="80" w:type="dxa"/>
              <w:left w:w="90" w:type="dxa"/>
              <w:bottom w:w="80" w:type="dxa"/>
              <w:right w:w="90" w:type="dxa"/>
            </w:tcMar>
            <w:vAlign w:val="center"/>
          </w:tcPr>
          <w:p w14:paraId="7F252DAC" w14:textId="77777777" w:rsidR="00B8619C" w:rsidRDefault="00000000">
            <w:pPr>
              <w:spacing w:after="0" w:line="264" w:lineRule="auto"/>
            </w:pPr>
            <w:r>
              <w:rPr>
                <w:sz w:val="15"/>
              </w:rPr>
              <w:t>分层模型总体收益有限</w:t>
            </w:r>
          </w:p>
        </w:tc>
        <w:tc>
          <w:tcPr>
            <w:tcW w:w="3515" w:type="dxa"/>
            <w:tcMar>
              <w:top w:w="80" w:type="dxa"/>
              <w:left w:w="90" w:type="dxa"/>
              <w:bottom w:w="80" w:type="dxa"/>
              <w:right w:w="90" w:type="dxa"/>
            </w:tcMar>
            <w:vAlign w:val="center"/>
          </w:tcPr>
          <w:p w14:paraId="505625D5" w14:textId="77777777" w:rsidR="00B8619C" w:rsidRDefault="00000000">
            <w:pPr>
              <w:spacing w:after="0" w:line="264" w:lineRule="auto"/>
            </w:pPr>
            <w:r>
              <w:rPr>
                <w:sz w:val="15"/>
              </w:rPr>
              <w:t>均值差接近种子间波动</w:t>
            </w:r>
          </w:p>
        </w:tc>
        <w:tc>
          <w:tcPr>
            <w:tcW w:w="3402" w:type="dxa"/>
            <w:tcMar>
              <w:top w:w="80" w:type="dxa"/>
              <w:left w:w="90" w:type="dxa"/>
              <w:bottom w:w="80" w:type="dxa"/>
              <w:right w:w="90" w:type="dxa"/>
            </w:tcMar>
            <w:vAlign w:val="center"/>
          </w:tcPr>
          <w:p w14:paraId="13F62A15" w14:textId="77777777" w:rsidR="00B8619C" w:rsidRDefault="00000000">
            <w:pPr>
              <w:spacing w:after="0" w:line="264" w:lineRule="auto"/>
            </w:pPr>
            <w:r>
              <w:rPr>
                <w:sz w:val="15"/>
              </w:rPr>
              <w:t>报告风险取舍，不宣称稳定领先</w:t>
            </w:r>
          </w:p>
        </w:tc>
      </w:tr>
      <w:tr w:rsidR="00B8619C" w14:paraId="6976F001" w14:textId="77777777">
        <w:trPr>
          <w:cantSplit/>
          <w:jc w:val="center"/>
        </w:trPr>
        <w:tc>
          <w:tcPr>
            <w:tcW w:w="2268" w:type="dxa"/>
            <w:tcMar>
              <w:top w:w="80" w:type="dxa"/>
              <w:left w:w="90" w:type="dxa"/>
              <w:bottom w:w="80" w:type="dxa"/>
              <w:right w:w="90" w:type="dxa"/>
            </w:tcMar>
            <w:vAlign w:val="center"/>
          </w:tcPr>
          <w:p w14:paraId="0B65748F" w14:textId="77777777" w:rsidR="00B8619C" w:rsidRDefault="00000000">
            <w:pPr>
              <w:spacing w:after="0" w:line="264" w:lineRule="auto"/>
            </w:pPr>
            <w:r>
              <w:rPr>
                <w:sz w:val="15"/>
              </w:rPr>
              <w:t>置信度尚未校准</w:t>
            </w:r>
          </w:p>
        </w:tc>
        <w:tc>
          <w:tcPr>
            <w:tcW w:w="3515" w:type="dxa"/>
            <w:tcMar>
              <w:top w:w="80" w:type="dxa"/>
              <w:left w:w="90" w:type="dxa"/>
              <w:bottom w:w="80" w:type="dxa"/>
              <w:right w:w="90" w:type="dxa"/>
            </w:tcMar>
            <w:vAlign w:val="center"/>
          </w:tcPr>
          <w:p w14:paraId="4E3549D8" w14:textId="77777777" w:rsidR="00B8619C" w:rsidRDefault="00000000">
            <w:pPr>
              <w:spacing w:after="0" w:line="264" w:lineRule="auto"/>
            </w:pPr>
            <w:r>
              <w:rPr>
                <w:sz w:val="15"/>
              </w:rPr>
              <w:t>阈值不能解释为推荐运行点</w:t>
            </w:r>
          </w:p>
        </w:tc>
        <w:tc>
          <w:tcPr>
            <w:tcW w:w="3402" w:type="dxa"/>
            <w:tcMar>
              <w:top w:w="80" w:type="dxa"/>
              <w:left w:w="90" w:type="dxa"/>
              <w:bottom w:w="80" w:type="dxa"/>
              <w:right w:w="90" w:type="dxa"/>
            </w:tcMar>
            <w:vAlign w:val="center"/>
          </w:tcPr>
          <w:p w14:paraId="6D5ED0A3" w14:textId="77777777" w:rsidR="00B8619C" w:rsidRDefault="00000000">
            <w:pPr>
              <w:spacing w:after="0" w:line="264" w:lineRule="auto"/>
            </w:pPr>
            <w:r>
              <w:rPr>
                <w:sz w:val="15"/>
              </w:rPr>
              <w:t>验证集温度缩放并报告</w:t>
            </w:r>
            <w:r>
              <w:rPr>
                <w:sz w:val="15"/>
              </w:rPr>
              <w:t xml:space="preserve"> ECE</w:t>
            </w:r>
            <w:r>
              <w:rPr>
                <w:sz w:val="15"/>
              </w:rPr>
              <w:t>、</w:t>
            </w:r>
            <w:r>
              <w:rPr>
                <w:sz w:val="15"/>
              </w:rPr>
              <w:t>Brier</w:t>
            </w:r>
            <w:r>
              <w:rPr>
                <w:sz w:val="15"/>
              </w:rPr>
              <w:t>、</w:t>
            </w:r>
            <w:r>
              <w:rPr>
                <w:sz w:val="15"/>
              </w:rPr>
              <w:t>AURC</w:t>
            </w:r>
          </w:p>
        </w:tc>
      </w:tr>
    </w:tbl>
    <w:p w14:paraId="12E23AB2" w14:textId="77777777" w:rsidR="00B8619C" w:rsidRDefault="00000000">
      <w:pPr>
        <w:pStyle w:val="af7"/>
        <w:keepNext/>
        <w:spacing w:after="100"/>
        <w:jc w:val="center"/>
      </w:pPr>
      <w:r>
        <w:t>表</w:t>
      </w:r>
      <w:r>
        <w:t xml:space="preserve"> 19 </w:t>
      </w:r>
      <w:r>
        <w:t>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ind w:firstLine="420"/>
        <w:jc w:val="both"/>
      </w:pPr>
      <w:r>
        <w:t>第四，回填摄影者、矿区、收藏机构和背景信息，建立来源留出测试集；普通随机固定测试集继续保留用于与既有结果连续比较。</w:t>
      </w:r>
    </w:p>
    <w:p w14:paraId="157112F3" w14:textId="77777777" w:rsidR="00B8619C" w:rsidRDefault="00000000">
      <w:pPr>
        <w:ind w:firstLine="420"/>
        <w:jc w:val="both"/>
      </w:pPr>
      <w:r>
        <w:t>第五，对最大</w:t>
      </w:r>
      <w:r>
        <w:t xml:space="preserve"> Softmax </w:t>
      </w:r>
      <w:r>
        <w:t>概率进行验证集温度缩放，报告</w:t>
      </w:r>
      <w:r>
        <w:t xml:space="preserve"> NLL</w:t>
      </w:r>
      <w:r>
        <w:t>、</w:t>
      </w:r>
      <w:r>
        <w:t>ECE</w:t>
      </w:r>
      <w:r>
        <w:t>、</w:t>
      </w:r>
      <w:r>
        <w:t>Brier</w:t>
      </w:r>
      <w:r>
        <w:t>、</w:t>
      </w:r>
      <w:r>
        <w:t>Risk-Coverage</w:t>
      </w:r>
      <w:r>
        <w:t>、</w:t>
      </w:r>
      <w:r>
        <w:t xml:space="preserve">AURC </w:t>
      </w:r>
      <w:r>
        <w:t>和</w:t>
      </w:r>
      <w:r>
        <w:t xml:space="preserve"> E-AURC</w:t>
      </w:r>
      <w:r>
        <w:t>，并在验证集按预定约束选择阈值。</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ind w:firstLine="420"/>
        <w:jc w:val="both"/>
      </w:pPr>
      <w:r>
        <w:t>采集由专家或化验确认的真实钒钛矿颗粒图像，建立独立外部测试集；建立独立未知矿物图像集，比较最大</w:t>
      </w:r>
      <w:r>
        <w:t xml:space="preserve"> Softmax</w:t>
      </w:r>
      <w:r>
        <w:t>、预测熵、</w:t>
      </w:r>
      <w:r>
        <w:t xml:space="preserve">Energy Score </w:t>
      </w:r>
      <w:r>
        <w:t>等开放集方法；在取得真实流程阶段、品位</w:t>
      </w:r>
      <w:r>
        <w:t>/</w:t>
      </w:r>
      <w:r>
        <w:t>回收率、动作代价和检查成本后，再研究阶段条件化选矿决策与多模态确认。</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jc w:val="both"/>
      </w:pPr>
      <w:r>
        <w:t xml:space="preserve">6. </w:t>
      </w:r>
      <w:r>
        <w:t>分层一致性模型提高目标召回和目标代理</w:t>
      </w:r>
      <w:r>
        <w:t xml:space="preserve"> F1</w:t>
      </w:r>
      <w:r>
        <w:t>，但增加部分困难干扰误入目标。当前代码实际采用</w:t>
      </w:r>
      <w:r>
        <w:t xml:space="preserve"> D_KL(A p_s || p_r)</w:t>
      </w:r>
      <w:r>
        <w:t>，本修订稿已统一公式、结构图和文字说明。</w:t>
      </w:r>
    </w:p>
    <w:p w14:paraId="1B7658C4" w14:textId="77777777" w:rsidR="00B8619C" w:rsidRDefault="00000000">
      <w:pPr>
        <w:jc w:val="both"/>
      </w:pPr>
      <w:r>
        <w:t xml:space="preserve">7. </w:t>
      </w:r>
      <w:r>
        <w:t>固定映射候选集合结果仅是命题与程序实现的构造性一致性检查，不构成图像识别或真实弱标签证据。</w:t>
      </w:r>
    </w:p>
    <w:p w14:paraId="26380D74" w14:textId="77777777" w:rsidR="00B8619C" w:rsidRDefault="00000000">
      <w:pPr>
        <w:jc w:val="both"/>
      </w:pPr>
      <w:r>
        <w:t xml:space="preserve">8. </w:t>
      </w:r>
      <w:r>
        <w:t>选择性识别显示提高阈值会降低覆盖率和保留风险；由于置信度未校准且阈值未由验证集预先选择，该结果仅为固定测试划分的描述性分析。</w:t>
      </w:r>
    </w:p>
    <w:p w14:paraId="4F68E219" w14:textId="77777777" w:rsidR="00B8619C" w:rsidRDefault="00000000">
      <w:pPr>
        <w:jc w:val="both"/>
      </w:pPr>
      <w:r>
        <w:t xml:space="preserve">9. </w:t>
      </w:r>
      <w:r>
        <w:t>当前工作已经形成较完整的结题实验与复现材料，但尚不能证明模型在工业现场、来源外数据、真实品位</w:t>
      </w:r>
      <w:r>
        <w:t>/</w:t>
      </w:r>
      <w:r>
        <w:t>回收率或成本最优决策上有效。</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ind w:firstLine="420"/>
        <w:jc w:val="both"/>
      </w:pPr>
      <w:r>
        <w:t>项目保留数据清单、采集与筛选脚本、数据质量审计记录、训练脚本、实验指标、混淆矩阵、逐图预测和图表源数据。固定映射程序化检查汇总位于</w:t>
      </w:r>
      <w:r>
        <w:t xml:space="preserve"> outputs/theory_validation/role_identifiability/role_identifiability_summary.json</w:t>
      </w:r>
      <w:r>
        <w:t>；选择性识别汇总位于</w:t>
      </w:r>
      <w:r>
        <w:t xml:space="preserve"> outputs/theory_validation/selective_recognition/selective_recognition_summary.json</w:t>
      </w:r>
      <w:r>
        <w:t>；图</w:t>
      </w:r>
      <w:r>
        <w:t xml:space="preserve"> 11 </w:t>
      </w:r>
      <w:r>
        <w:t>位于</w:t>
      </w:r>
      <w:r>
        <w:t xml:space="preserve"> outputs/paper_figures_v1/fig9_selective_recognition.png</w:t>
      </w:r>
      <w:r>
        <w:t>。</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