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B9C9C" w14:textId="77777777" w:rsidR="00B8619C" w:rsidRDefault="00B8619C"/>
    <w:p w14:paraId="39D3DCB2" w14:textId="77777777" w:rsidR="00B8619C" w:rsidRDefault="00B8619C"/>
    <w:p w14:paraId="0FC67235" w14:textId="77777777" w:rsidR="00B8619C" w:rsidRDefault="00B8619C"/>
    <w:p w14:paraId="4B18110D" w14:textId="77777777" w:rsidR="00B8619C" w:rsidRDefault="00000000">
      <w:pPr>
        <w:jc w:val="center"/>
      </w:pPr>
      <w:r>
        <w:rPr>
          <w:rFonts w:eastAsia="黑体"/>
          <w:b/>
          <w:color w:val="1F4E79"/>
          <w:sz w:val="36"/>
        </w:rPr>
        <w:t>钒钛关键战略材料四川省重点实验室</w:t>
      </w:r>
    </w:p>
    <w:p w14:paraId="75530998" w14:textId="77777777" w:rsidR="00B8619C" w:rsidRDefault="00000000">
      <w:pPr>
        <w:jc w:val="center"/>
      </w:pPr>
      <w:r>
        <w:rPr>
          <w:rFonts w:eastAsia="黑体"/>
          <w:b/>
          <w:sz w:val="44"/>
        </w:rPr>
        <w:t>开放项目技术报告</w:t>
      </w:r>
    </w:p>
    <w:p w14:paraId="0DA3FF50" w14:textId="77777777" w:rsidR="00B8619C" w:rsidRDefault="00B8619C"/>
    <w:p w14:paraId="67865389" w14:textId="77777777" w:rsidR="00B8619C" w:rsidRDefault="00B8619C"/>
    <w:p w14:paraId="273FA6CE" w14:textId="77777777" w:rsidR="00B8619C" w:rsidRDefault="00000000">
      <w:pPr>
        <w:jc w:val="center"/>
      </w:pPr>
      <w:r>
        <w:rPr>
          <w:rFonts w:eastAsia="黑体"/>
          <w:b/>
          <w:sz w:val="40"/>
        </w:rPr>
        <w:t>基于深度学习的钒钛矿相关矿物图像识别方法研究</w:t>
      </w:r>
    </w:p>
    <w:p w14:paraId="4FEF063A" w14:textId="77777777" w:rsidR="00B8619C" w:rsidRDefault="00000000">
      <w:pPr>
        <w:jc w:val="center"/>
      </w:pPr>
      <w:r>
        <w:rPr>
          <w:rFonts w:eastAsia="黑体"/>
          <w:b/>
          <w:color w:val="C0504D"/>
          <w:sz w:val="28"/>
        </w:rPr>
        <w:t>技术报告修订稿</w:t>
      </w:r>
    </w:p>
    <w:p w14:paraId="1FCEAD4C" w14:textId="77777777" w:rsidR="00B8619C" w:rsidRDefault="00B8619C"/>
    <w:p w14:paraId="56DB085C" w14:textId="77777777" w:rsidR="00B8619C" w:rsidRDefault="00B8619C"/>
    <w:p w14:paraId="2BDCA3C4" w14:textId="77777777" w:rsidR="00B8619C" w:rsidRDefault="00B8619C"/>
    <w:tbl>
      <w:tblPr>
        <w:tblStyle w:val="aff1"/>
        <w:tblW w:w="0" w:type="auto"/>
        <w:jc w:val="center"/>
        <w:tblLayout w:type="fixed"/>
        <w:tblLook w:val="04A0" w:firstRow="1" w:lastRow="0" w:firstColumn="1" w:lastColumn="0" w:noHBand="0" w:noVBand="1"/>
      </w:tblPr>
      <w:tblGrid>
        <w:gridCol w:w="2551"/>
        <w:gridCol w:w="5386"/>
      </w:tblGrid>
      <w:tr w:rsidR="00B8619C" w14:paraId="20FBBE37" w14:textId="77777777">
        <w:trPr>
          <w:cantSplit/>
          <w:jc w:val="center"/>
        </w:trPr>
        <w:tc>
          <w:tcPr>
            <w:tcW w:w="2551" w:type="dxa"/>
            <w:tcMar>
              <w:top w:w="80" w:type="dxa"/>
              <w:left w:w="90" w:type="dxa"/>
              <w:bottom w:w="80" w:type="dxa"/>
              <w:right w:w="90" w:type="dxa"/>
            </w:tcMar>
            <w:vAlign w:val="center"/>
          </w:tcPr>
          <w:p w14:paraId="4A8350B9" w14:textId="77777777" w:rsidR="00B8619C" w:rsidRDefault="00000000">
            <w:pPr>
              <w:spacing w:after="0" w:line="264" w:lineRule="auto"/>
              <w:jc w:val="center"/>
            </w:pPr>
            <w:r>
              <w:rPr>
                <w:sz w:val="22"/>
              </w:rPr>
              <w:t>项目编号</w:t>
            </w:r>
          </w:p>
        </w:tc>
        <w:tc>
          <w:tcPr>
            <w:tcW w:w="5386" w:type="dxa"/>
            <w:tcMar>
              <w:top w:w="80" w:type="dxa"/>
              <w:left w:w="90" w:type="dxa"/>
              <w:bottom w:w="80" w:type="dxa"/>
              <w:right w:w="90" w:type="dxa"/>
            </w:tcMar>
            <w:vAlign w:val="center"/>
          </w:tcPr>
          <w:p w14:paraId="2ABC9DBA" w14:textId="77777777" w:rsidR="00B8619C" w:rsidRDefault="00000000">
            <w:pPr>
              <w:spacing w:after="0" w:line="264" w:lineRule="auto"/>
              <w:jc w:val="center"/>
            </w:pPr>
            <w:r>
              <w:rPr>
                <w:sz w:val="22"/>
              </w:rPr>
              <w:t>[</w:t>
            </w:r>
            <w:r>
              <w:rPr>
                <w:sz w:val="22"/>
              </w:rPr>
              <w:t>待填</w:t>
            </w:r>
            <w:r>
              <w:rPr>
                <w:sz w:val="22"/>
              </w:rPr>
              <w:t>]</w:t>
            </w:r>
          </w:p>
        </w:tc>
      </w:tr>
      <w:tr w:rsidR="00B8619C" w14:paraId="1AD38460" w14:textId="77777777">
        <w:trPr>
          <w:cantSplit/>
          <w:jc w:val="center"/>
        </w:trPr>
        <w:tc>
          <w:tcPr>
            <w:tcW w:w="2551" w:type="dxa"/>
            <w:tcMar>
              <w:top w:w="80" w:type="dxa"/>
              <w:left w:w="90" w:type="dxa"/>
              <w:bottom w:w="80" w:type="dxa"/>
              <w:right w:w="90" w:type="dxa"/>
            </w:tcMar>
            <w:vAlign w:val="center"/>
          </w:tcPr>
          <w:p w14:paraId="74BD0F0E" w14:textId="77777777" w:rsidR="00B8619C" w:rsidRDefault="00000000">
            <w:pPr>
              <w:spacing w:after="0" w:line="264" w:lineRule="auto"/>
            </w:pPr>
            <w:r>
              <w:rPr>
                <w:sz w:val="22"/>
              </w:rPr>
              <w:t>项目承担单位</w:t>
            </w:r>
          </w:p>
        </w:tc>
        <w:tc>
          <w:tcPr>
            <w:tcW w:w="5386" w:type="dxa"/>
            <w:tcMar>
              <w:top w:w="80" w:type="dxa"/>
              <w:left w:w="90" w:type="dxa"/>
              <w:bottom w:w="80" w:type="dxa"/>
              <w:right w:w="90" w:type="dxa"/>
            </w:tcMar>
            <w:vAlign w:val="center"/>
          </w:tcPr>
          <w:p w14:paraId="13F78C71" w14:textId="77777777" w:rsidR="00B8619C" w:rsidRDefault="00000000">
            <w:pPr>
              <w:spacing w:after="0" w:line="264" w:lineRule="auto"/>
            </w:pPr>
            <w:r>
              <w:rPr>
                <w:sz w:val="22"/>
              </w:rPr>
              <w:t>[</w:t>
            </w:r>
            <w:r>
              <w:rPr>
                <w:sz w:val="22"/>
              </w:rPr>
              <w:t>待填</w:t>
            </w:r>
            <w:r>
              <w:rPr>
                <w:sz w:val="22"/>
              </w:rPr>
              <w:t>]</w:t>
            </w:r>
          </w:p>
        </w:tc>
      </w:tr>
      <w:tr w:rsidR="00B8619C" w14:paraId="35AD9C0E" w14:textId="77777777">
        <w:trPr>
          <w:cantSplit/>
          <w:jc w:val="center"/>
        </w:trPr>
        <w:tc>
          <w:tcPr>
            <w:tcW w:w="2551" w:type="dxa"/>
            <w:tcMar>
              <w:top w:w="80" w:type="dxa"/>
              <w:left w:w="90" w:type="dxa"/>
              <w:bottom w:w="80" w:type="dxa"/>
              <w:right w:w="90" w:type="dxa"/>
            </w:tcMar>
            <w:vAlign w:val="center"/>
          </w:tcPr>
          <w:p w14:paraId="3F8A08A1" w14:textId="77777777" w:rsidR="00B8619C" w:rsidRDefault="00000000">
            <w:pPr>
              <w:spacing w:after="0" w:line="264" w:lineRule="auto"/>
            </w:pPr>
            <w:r>
              <w:rPr>
                <w:sz w:val="22"/>
              </w:rPr>
              <w:t>项目负责人</w:t>
            </w:r>
          </w:p>
        </w:tc>
        <w:tc>
          <w:tcPr>
            <w:tcW w:w="5386" w:type="dxa"/>
            <w:tcMar>
              <w:top w:w="80" w:type="dxa"/>
              <w:left w:w="90" w:type="dxa"/>
              <w:bottom w:w="80" w:type="dxa"/>
              <w:right w:w="90" w:type="dxa"/>
            </w:tcMar>
            <w:vAlign w:val="center"/>
          </w:tcPr>
          <w:p w14:paraId="2D79D358" w14:textId="77777777" w:rsidR="00B8619C" w:rsidRDefault="00000000">
            <w:pPr>
              <w:spacing w:after="0" w:line="264" w:lineRule="auto"/>
            </w:pPr>
            <w:r>
              <w:rPr>
                <w:sz w:val="22"/>
              </w:rPr>
              <w:t>[</w:t>
            </w:r>
            <w:r>
              <w:rPr>
                <w:sz w:val="22"/>
              </w:rPr>
              <w:t>待填</w:t>
            </w:r>
            <w:r>
              <w:rPr>
                <w:sz w:val="22"/>
              </w:rPr>
              <w:t>]</w:t>
            </w:r>
          </w:p>
        </w:tc>
      </w:tr>
      <w:tr w:rsidR="00B8619C" w14:paraId="71BD9F79" w14:textId="77777777">
        <w:trPr>
          <w:cantSplit/>
          <w:jc w:val="center"/>
        </w:trPr>
        <w:tc>
          <w:tcPr>
            <w:tcW w:w="2551" w:type="dxa"/>
            <w:tcMar>
              <w:top w:w="80" w:type="dxa"/>
              <w:left w:w="90" w:type="dxa"/>
              <w:bottom w:w="80" w:type="dxa"/>
              <w:right w:w="90" w:type="dxa"/>
            </w:tcMar>
            <w:vAlign w:val="center"/>
          </w:tcPr>
          <w:p w14:paraId="60488AB1" w14:textId="77777777" w:rsidR="00B8619C" w:rsidRDefault="00000000">
            <w:pPr>
              <w:spacing w:after="0" w:line="264" w:lineRule="auto"/>
            </w:pPr>
            <w:r>
              <w:rPr>
                <w:sz w:val="22"/>
              </w:rPr>
              <w:t>报告完成日期</w:t>
            </w:r>
          </w:p>
        </w:tc>
        <w:tc>
          <w:tcPr>
            <w:tcW w:w="5386" w:type="dxa"/>
            <w:tcMar>
              <w:top w:w="80" w:type="dxa"/>
              <w:left w:w="90" w:type="dxa"/>
              <w:bottom w:w="80" w:type="dxa"/>
              <w:right w:w="90" w:type="dxa"/>
            </w:tcMar>
            <w:vAlign w:val="center"/>
          </w:tcPr>
          <w:p w14:paraId="59FD9EB0" w14:textId="77777777" w:rsidR="00B8619C" w:rsidRDefault="00000000">
            <w:pPr>
              <w:spacing w:after="0" w:line="264" w:lineRule="auto"/>
            </w:pPr>
            <w:r>
              <w:rPr>
                <w:sz w:val="22"/>
              </w:rPr>
              <w:t xml:space="preserve">2026 </w:t>
            </w:r>
            <w:r>
              <w:rPr>
                <w:sz w:val="22"/>
              </w:rPr>
              <w:t>年</w:t>
            </w:r>
            <w:r>
              <w:rPr>
                <w:sz w:val="22"/>
              </w:rPr>
              <w:t xml:space="preserve"> 8 </w:t>
            </w:r>
            <w:r>
              <w:rPr>
                <w:sz w:val="22"/>
              </w:rPr>
              <w:t>月</w:t>
            </w:r>
          </w:p>
        </w:tc>
      </w:tr>
    </w:tbl>
    <w:p w14:paraId="129BE77C" w14:textId="77777777" w:rsidR="00B8619C" w:rsidRDefault="00000000">
      <w:r>
        <w:br w:type="page"/>
      </w:r>
    </w:p>
    <w:p w14:paraId="020C43B6" w14:textId="77777777" w:rsidR="00B8619C" w:rsidRDefault="00000000">
      <w:pPr>
        <w:pStyle w:val="1"/>
        <w:jc w:val="center"/>
      </w:pPr>
      <w:r>
        <w:lastRenderedPageBreak/>
        <w:t>摘</w:t>
      </w:r>
      <w:r>
        <w:t xml:space="preserve">  </w:t>
      </w:r>
      <w:r>
        <w:t>要</w:t>
      </w:r>
    </w:p>
    <w:p w14:paraId="2B8E516B" w14:textId="77777777" w:rsidR="00B8619C" w:rsidRDefault="00000000">
      <w:pPr>
        <w:ind w:firstLine="420"/>
        <w:jc w:val="both"/>
      </w:pPr>
      <w:r>
        <w:t>针对公开矿物标本图像来源异构、伴生矿物复杂以及目标矿物与含钛、金属光泽干扰样本易混淆等问题，本研究构建了面向钒钛矿相关组分矿物视觉识别的四分类数据集。数据集包含目标矿物、含钛干扰矿物、脉石</w:t>
      </w:r>
      <w:r>
        <w:t>/</w:t>
      </w:r>
      <w:r>
        <w:t>废石和金属光泽干扰矿物四类，共</w:t>
      </w:r>
      <w:r>
        <w:t xml:space="preserve"> 8,529 </w:t>
      </w:r>
      <w:r>
        <w:t>张图像，并保留矿物标签、</w:t>
      </w:r>
      <w:r>
        <w:t xml:space="preserve">Mindat </w:t>
      </w:r>
      <w:r>
        <w:t>图片编号、来源页面、质量筛选和固定划分信息。通过混合样本隔离、完全重复与近重复审查以及分层复核，形成训练、验证和测试集分别为</w:t>
      </w:r>
      <w:r>
        <w:t xml:space="preserve"> 5,961</w:t>
      </w:r>
      <w:r>
        <w:t>、</w:t>
      </w:r>
      <w:r>
        <w:t xml:space="preserve">1,284 </w:t>
      </w:r>
      <w:r>
        <w:t>和</w:t>
      </w:r>
      <w:r>
        <w:t xml:space="preserve"> 1,284 </w:t>
      </w:r>
      <w:r>
        <w:t>张的可复现实验清单。</w:t>
      </w:r>
    </w:p>
    <w:p w14:paraId="0DD64779" w14:textId="77777777" w:rsidR="00B8619C" w:rsidRDefault="00000000">
      <w:pPr>
        <w:spacing w:line="360" w:lineRule="auto"/>
        <w:ind w:firstLine="420"/>
        <w:jc w:val="both"/>
      </w:pPr>
      <w:r>
        <w:rPr>
          <w:rFonts w:ascii="宋体" w:hAnsi="宋体" w:eastAsia="宋体"/>
          <w:sz w:val="21"/>
        </w:rPr>
        <w:t>在固定划分上，采用 ImageNet 预训练的 ResNet50 和 EfficientNet-B0 开展三随机种子重复训练，EfficientNet-B0 的平均 Macro F1 为72.87%±1.21%。在此基础上构建共享 EfficientNet-B0 主干的分层一致性网络，同时预测4类选矿角色、17类矿物种类及目标/非目标标签，并以固定映射和困难负样本约束建立可解释的风险结构。种类预测映射到角色后产生18.74±1.29个百分点的经验风险收缩；一致性项使双头 KL 从0.0565降至0.0426。温度缩放将测试 ECE 从0.1131降至0.0342，并在独立认证子集上实现预设选择性风险控制。</w:t>
      </w:r>
    </w:p>
    <w:p w14:paraId="7080B004" w14:textId="77777777" w:rsidR="00B8619C" w:rsidRDefault="00000000">
      <w:pPr>
        <w:spacing w:line="360" w:lineRule="auto"/>
        <w:ind w:firstLine="420"/>
        <w:jc w:val="both"/>
      </w:pPr>
      <w:r>
        <w:rPr>
          <w:rFonts w:ascii="宋体" w:hAnsi="宋体" w:eastAsia="宋体"/>
          <w:sz w:val="21"/>
        </w:rPr>
        <w:t>摄影者整体留出的严格实验包含5,639张具有来源字段的图像。分层模型在该测试上的 Macro F1 为69.70%±0.90%，较 EfficientNet-B0 提高2.70个百分点，并改善目标类和金属光泽干扰召回。普通磁铁矿代理消融表明，移除1,316张代理样本后目标召回由72.22%降至45.06%；钛磁铁矿最终保留23张、固定测试仅4张，因此其结果仅作描述性证据。当前工作定位为公开标本图像条件下的钒钛矿相关组分矿物视觉代理研究，不构成工业品位、回收率或现场分选验证。</w:t>
      </w:r>
    </w:p>
    <w:p>
      <w:pPr>
        <w:spacing w:line="360" w:lineRule="auto" w:after="80"/>
      </w:pPr>
      <w:r>
        <w:rPr>
          <w:rFonts w:ascii="宋体" w:hAnsi="宋体" w:eastAsia="宋体"/>
          <w:sz w:val="21"/>
        </w:rPr>
        <w:t>在进一步的网络改进中，HRGV-Net 的三随机种子 Accuracy 为76.48%±0.23%、Macro F1 为74.59%±0.34%。角色感知对比约束的 Accuracy 与 Macro F1 成对簇区间均未跨0；门控、双验证器和残差校正则表现为可解释但多数尚未达到显著性的风险取舍。</w:t>
      </w:r>
    </w:p>
    <w:p>
      <w:pPr>
        <w:spacing w:line="360" w:lineRule="auto" w:after="80"/>
      </w:pPr>
      <w:r>
        <w:rPr>
          <w:rFonts w:ascii="宋体" w:hAnsi="宋体" w:eastAsia="宋体"/>
          <w:sz w:val="21"/>
        </w:rPr>
        <w:t>进一步的 RSG-HRGV-Net 将“应融合哪些证据”从间接终端监督转为基于真实类别专家损失差的后悔监督。三随机种子正式比较中，RSG 的总体 Accuracy 为76.45%±0.98%、Macro F1 为74.76%±0.90%，与参考 HRGV 的差异区间均跨0；但平均路由后悔下降1.77个百分点，95%簇 Bootstrap 区间为[−2.86, −0.69]个百分点。该网络创新的实证支撑来自路由机制，而非对总体分类精度的过度宣传。</w:t>
      </w:r>
    </w:p>
    <w:p w14:paraId="13ED7919" w14:textId="77777777" w:rsidR="00B8619C" w:rsidRDefault="00000000">
      <w:pPr>
        <w:spacing w:before="100" w:line="360" w:lineRule="auto"/>
      </w:pPr>
      <w:r>
        <w:rPr>
          <w:rFonts w:ascii="宋体" w:hAnsi="宋体" w:eastAsia="宋体"/>
          <w:sz w:val="21"/>
        </w:rPr>
        <w:t>关键词：钒钛矿；矿物图像识别；分层一致性；角色风险收缩；概率校准；来源外泛化；选择性风险认证</w:t>
      </w:r>
    </w:p>
    <w:p w14:paraId="184B8070" w14:textId="77777777" w:rsidR="00B8619C" w:rsidRDefault="00000000">
      <w:r>
        <w:br w:type="page"/>
      </w:r>
    </w:p>
    <w:p w14:paraId="238AFFB0" w14:textId="77777777" w:rsidR="00B8619C" w:rsidRDefault="00000000">
      <w:pPr>
        <w:pStyle w:val="1"/>
        <w:jc w:val="center"/>
      </w:pPr>
      <w:r>
        <w:lastRenderedPageBreak/>
        <w:t>目</w:t>
      </w:r>
      <w:r>
        <w:t xml:space="preserve">  </w:t>
      </w:r>
      <w:r>
        <w:t>录</w:t>
      </w:r>
    </w:p>
    <w:p w14:paraId="267FC2DA" w14:textId="77777777" w:rsidR="00B8619C" w:rsidRDefault="00B8619C">
      <w:pPr>
        <w:spacing w:after="0"/>
      </w:pP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6044"/>
        <w:gridCol w:w="3201"/>
      </w:tblGrid>
      <w:tr w:rsidR="00B8619C" w14:paraId="52089D54" w14:textId="77777777" w:rsidTr="00072BF2">
        <w:trPr>
          <w:jc w:val="center"/>
        </w:trPr>
        <w:tc>
          <w:tcPr>
            <w:tcW w:w="3269" w:type="pct"/>
            <w:tcMar>
              <w:top w:w="12" w:type="dxa"/>
              <w:left w:w="30" w:type="dxa"/>
              <w:bottom w:w="12" w:type="dxa"/>
              <w:right w:w="30" w:type="dxa"/>
            </w:tcMar>
            <w:vAlign w:val="center"/>
          </w:tcPr>
          <w:p w14:paraId="0E62FCB7" w14:textId="77777777" w:rsidR="00B8619C" w:rsidRDefault="00000000">
            <w:pPr>
              <w:spacing w:after="0" w:line="216" w:lineRule="auto"/>
            </w:pPr>
            <w:r>
              <w:rPr>
                <w:rFonts w:ascii="宋体" w:hAnsi="宋体"/>
                <w:b/>
                <w:sz w:val="18"/>
              </w:rPr>
              <w:t>1 研究背景与目标</w:t>
            </w:r>
          </w:p>
        </w:tc>
        <w:tc>
          <w:tcPr>
            <w:tcW w:w="1731" w:type="pct"/>
            <w:tcMar>
              <w:top w:w="12" w:type="dxa"/>
              <w:left w:w="30" w:type="dxa"/>
              <w:bottom w:w="12" w:type="dxa"/>
              <w:right w:w="30" w:type="dxa"/>
            </w:tcMar>
            <w:vAlign w:val="center"/>
          </w:tcPr>
          <w:p w14:paraId="0685B1F4" w14:textId="77777777" w:rsidR="00B8619C" w:rsidRDefault="00000000">
            <w:pPr>
              <w:spacing w:after="0" w:line="216" w:lineRule="auto"/>
              <w:jc w:val="right"/>
            </w:pPr>
            <w:r>
              <w:rPr>
                <w:rFonts w:ascii="宋体" w:hAnsi="宋体"/>
                <w:sz w:val="16"/>
              </w:rPr>
              <w:t>4</w:t>
            </w:r>
          </w:p>
        </w:tc>
      </w:tr>
      <w:tr w:rsidR="00B8619C" w14:paraId="3F08923D" w14:textId="77777777" w:rsidTr="00072BF2">
        <w:trPr>
          <w:jc w:val="center"/>
        </w:trPr>
        <w:tc>
          <w:tcPr>
            <w:tcW w:w="3269" w:type="pct"/>
            <w:tcMar>
              <w:top w:w="12" w:type="dxa"/>
              <w:left w:w="30" w:type="dxa"/>
              <w:bottom w:w="12" w:type="dxa"/>
              <w:right w:w="30" w:type="dxa"/>
            </w:tcMar>
            <w:vAlign w:val="center"/>
          </w:tcPr>
          <w:p w14:paraId="2F88887E" w14:textId="77777777" w:rsidR="00B8619C" w:rsidRDefault="00000000">
            <w:pPr>
              <w:spacing w:after="0" w:line="216" w:lineRule="auto"/>
              <w:ind w:left="397"/>
            </w:pPr>
            <w:r>
              <w:rPr>
                <w:rFonts w:ascii="宋体" w:hAnsi="宋体"/>
                <w:sz w:val="16"/>
              </w:rPr>
              <w:t>1.1 研究背景</w:t>
            </w:r>
          </w:p>
        </w:tc>
        <w:tc>
          <w:tcPr>
            <w:tcW w:w="1731" w:type="pct"/>
            <w:tcMar>
              <w:top w:w="12" w:type="dxa"/>
              <w:left w:w="30" w:type="dxa"/>
              <w:bottom w:w="12" w:type="dxa"/>
              <w:right w:w="30" w:type="dxa"/>
            </w:tcMar>
            <w:vAlign w:val="center"/>
          </w:tcPr>
          <w:p w14:paraId="23E90F9C" w14:textId="77777777" w:rsidR="00B8619C" w:rsidRDefault="00000000">
            <w:pPr>
              <w:spacing w:after="0" w:line="216" w:lineRule="auto"/>
              <w:jc w:val="right"/>
            </w:pPr>
            <w:r>
              <w:rPr>
                <w:rFonts w:ascii="宋体" w:hAnsi="宋体"/>
                <w:sz w:val="16"/>
              </w:rPr>
              <w:t>4</w:t>
            </w:r>
          </w:p>
        </w:tc>
      </w:tr>
      <w:tr w:rsidR="00B8619C" w14:paraId="4F5DED5A" w14:textId="77777777" w:rsidTr="00072BF2">
        <w:trPr>
          <w:jc w:val="center"/>
        </w:trPr>
        <w:tc>
          <w:tcPr>
            <w:tcW w:w="3269" w:type="pct"/>
            <w:tcMar>
              <w:top w:w="12" w:type="dxa"/>
              <w:left w:w="30" w:type="dxa"/>
              <w:bottom w:w="12" w:type="dxa"/>
              <w:right w:w="30" w:type="dxa"/>
            </w:tcMar>
            <w:vAlign w:val="center"/>
          </w:tcPr>
          <w:p w14:paraId="46DEFB56" w14:textId="77777777" w:rsidR="00B8619C" w:rsidRDefault="00000000">
            <w:pPr>
              <w:spacing w:after="0" w:line="216" w:lineRule="auto"/>
              <w:ind w:left="397"/>
            </w:pPr>
            <w:r>
              <w:rPr>
                <w:rFonts w:ascii="宋体" w:hAnsi="宋体"/>
                <w:sz w:val="16"/>
              </w:rPr>
              <w:t>1.2 国内外研究现状与本研究差异</w:t>
            </w:r>
          </w:p>
        </w:tc>
        <w:tc>
          <w:tcPr>
            <w:tcW w:w="1731" w:type="pct"/>
            <w:tcMar>
              <w:top w:w="12" w:type="dxa"/>
              <w:left w:w="30" w:type="dxa"/>
              <w:bottom w:w="12" w:type="dxa"/>
              <w:right w:w="30" w:type="dxa"/>
            </w:tcMar>
            <w:vAlign w:val="center"/>
          </w:tcPr>
          <w:p w14:paraId="735CEF86" w14:textId="77777777" w:rsidR="00B8619C" w:rsidRDefault="00000000">
            <w:pPr>
              <w:spacing w:after="0" w:line="216" w:lineRule="auto"/>
              <w:jc w:val="right"/>
            </w:pPr>
            <w:r>
              <w:rPr>
                <w:rFonts w:ascii="宋体" w:hAnsi="宋体"/>
                <w:sz w:val="16"/>
              </w:rPr>
              <w:t>4</w:t>
            </w:r>
          </w:p>
        </w:tc>
      </w:tr>
      <w:tr w:rsidR="00B8619C" w14:paraId="683431D0" w14:textId="77777777" w:rsidTr="00072BF2">
        <w:trPr>
          <w:jc w:val="center"/>
        </w:trPr>
        <w:tc>
          <w:tcPr>
            <w:tcW w:w="3269" w:type="pct"/>
            <w:tcMar>
              <w:top w:w="12" w:type="dxa"/>
              <w:left w:w="30" w:type="dxa"/>
              <w:bottom w:w="12" w:type="dxa"/>
              <w:right w:w="30" w:type="dxa"/>
            </w:tcMar>
            <w:vAlign w:val="center"/>
          </w:tcPr>
          <w:p w14:paraId="61677155" w14:textId="77777777" w:rsidR="00B8619C" w:rsidRDefault="00000000">
            <w:pPr>
              <w:spacing w:after="0" w:line="216" w:lineRule="auto"/>
              <w:ind w:left="397"/>
            </w:pPr>
            <w:r>
              <w:rPr>
                <w:rFonts w:ascii="宋体" w:hAnsi="宋体"/>
                <w:sz w:val="16"/>
              </w:rPr>
              <w:t>1.3 研究范围与定位</w:t>
            </w:r>
          </w:p>
        </w:tc>
        <w:tc>
          <w:tcPr>
            <w:tcW w:w="1731" w:type="pct"/>
            <w:tcMar>
              <w:top w:w="12" w:type="dxa"/>
              <w:left w:w="30" w:type="dxa"/>
              <w:bottom w:w="12" w:type="dxa"/>
              <w:right w:w="30" w:type="dxa"/>
            </w:tcMar>
            <w:vAlign w:val="center"/>
          </w:tcPr>
          <w:p w14:paraId="5873A956" w14:textId="77777777" w:rsidR="00B8619C" w:rsidRDefault="00000000">
            <w:pPr>
              <w:spacing w:after="0" w:line="216" w:lineRule="auto"/>
              <w:jc w:val="right"/>
            </w:pPr>
            <w:r>
              <w:rPr>
                <w:rFonts w:ascii="宋体" w:hAnsi="宋体"/>
                <w:sz w:val="16"/>
              </w:rPr>
              <w:t>5</w:t>
            </w:r>
          </w:p>
        </w:tc>
      </w:tr>
      <w:tr w:rsidR="00B8619C" w14:paraId="61BB1897" w14:textId="77777777" w:rsidTr="00072BF2">
        <w:trPr>
          <w:jc w:val="center"/>
        </w:trPr>
        <w:tc>
          <w:tcPr>
            <w:tcW w:w="3269" w:type="pct"/>
            <w:tcMar>
              <w:top w:w="12" w:type="dxa"/>
              <w:left w:w="30" w:type="dxa"/>
              <w:bottom w:w="12" w:type="dxa"/>
              <w:right w:w="30" w:type="dxa"/>
            </w:tcMar>
            <w:vAlign w:val="center"/>
          </w:tcPr>
          <w:p w14:paraId="3567F625" w14:textId="77777777" w:rsidR="00B8619C" w:rsidRDefault="00000000">
            <w:pPr>
              <w:spacing w:after="0" w:line="216" w:lineRule="auto"/>
              <w:ind w:left="397"/>
            </w:pPr>
            <w:r>
              <w:rPr>
                <w:rFonts w:ascii="宋体" w:hAnsi="宋体"/>
                <w:sz w:val="16"/>
              </w:rPr>
              <w:t>1.4 研究目标</w:t>
            </w:r>
          </w:p>
        </w:tc>
        <w:tc>
          <w:tcPr>
            <w:tcW w:w="1731" w:type="pct"/>
            <w:tcMar>
              <w:top w:w="12" w:type="dxa"/>
              <w:left w:w="30" w:type="dxa"/>
              <w:bottom w:w="12" w:type="dxa"/>
              <w:right w:w="30" w:type="dxa"/>
            </w:tcMar>
            <w:vAlign w:val="center"/>
          </w:tcPr>
          <w:p w14:paraId="705AAD66" w14:textId="77777777" w:rsidR="00B8619C" w:rsidRDefault="00000000">
            <w:pPr>
              <w:spacing w:after="0" w:line="216" w:lineRule="auto"/>
              <w:jc w:val="right"/>
            </w:pPr>
            <w:r>
              <w:rPr>
                <w:rFonts w:ascii="宋体" w:hAnsi="宋体"/>
                <w:sz w:val="16"/>
              </w:rPr>
              <w:t>5</w:t>
            </w:r>
          </w:p>
        </w:tc>
      </w:tr>
      <w:tr w:rsidR="00B8619C" w14:paraId="7916E083" w14:textId="77777777" w:rsidTr="00072BF2">
        <w:trPr>
          <w:jc w:val="center"/>
        </w:trPr>
        <w:tc>
          <w:tcPr>
            <w:tcW w:w="3269" w:type="pct"/>
            <w:tcMar>
              <w:top w:w="12" w:type="dxa"/>
              <w:left w:w="30" w:type="dxa"/>
              <w:bottom w:w="12" w:type="dxa"/>
              <w:right w:w="30" w:type="dxa"/>
            </w:tcMar>
            <w:vAlign w:val="center"/>
          </w:tcPr>
          <w:p w14:paraId="61AB407B" w14:textId="77777777" w:rsidR="00B8619C" w:rsidRDefault="00000000">
            <w:pPr>
              <w:spacing w:after="0" w:line="216" w:lineRule="auto"/>
            </w:pPr>
            <w:r>
              <w:rPr>
                <w:rFonts w:ascii="宋体" w:hAnsi="宋体"/>
                <w:b/>
                <w:sz w:val="18"/>
              </w:rPr>
              <w:t>2 总体技术路线</w:t>
            </w:r>
          </w:p>
        </w:tc>
        <w:tc>
          <w:tcPr>
            <w:tcW w:w="1731" w:type="pct"/>
            <w:tcMar>
              <w:top w:w="12" w:type="dxa"/>
              <w:left w:w="30" w:type="dxa"/>
              <w:bottom w:w="12" w:type="dxa"/>
              <w:right w:w="30" w:type="dxa"/>
            </w:tcMar>
            <w:vAlign w:val="center"/>
          </w:tcPr>
          <w:p w14:paraId="01D5908B" w14:textId="77777777" w:rsidR="00B8619C" w:rsidRDefault="00000000">
            <w:pPr>
              <w:spacing w:after="0" w:line="216" w:lineRule="auto"/>
              <w:jc w:val="right"/>
            </w:pPr>
            <w:r>
              <w:rPr>
                <w:rFonts w:ascii="宋体" w:hAnsi="宋体"/>
                <w:sz w:val="16"/>
              </w:rPr>
              <w:t>6</w:t>
            </w:r>
          </w:p>
        </w:tc>
      </w:tr>
      <w:tr w:rsidR="00B8619C" w14:paraId="36060AD3" w14:textId="77777777" w:rsidTr="00072BF2">
        <w:trPr>
          <w:jc w:val="center"/>
        </w:trPr>
        <w:tc>
          <w:tcPr>
            <w:tcW w:w="3269" w:type="pct"/>
            <w:tcMar>
              <w:top w:w="12" w:type="dxa"/>
              <w:left w:w="30" w:type="dxa"/>
              <w:bottom w:w="12" w:type="dxa"/>
              <w:right w:w="30" w:type="dxa"/>
            </w:tcMar>
            <w:vAlign w:val="center"/>
          </w:tcPr>
          <w:p w14:paraId="7DAFEE62" w14:textId="77777777" w:rsidR="00B8619C" w:rsidRDefault="00000000">
            <w:pPr>
              <w:spacing w:after="0" w:line="216" w:lineRule="auto"/>
              <w:ind w:left="397"/>
            </w:pPr>
            <w:r>
              <w:rPr>
                <w:rFonts w:ascii="宋体" w:hAnsi="宋体"/>
                <w:sz w:val="16"/>
              </w:rPr>
              <w:t>2.1 任务定义</w:t>
            </w:r>
          </w:p>
        </w:tc>
        <w:tc>
          <w:tcPr>
            <w:tcW w:w="1731" w:type="pct"/>
            <w:tcMar>
              <w:top w:w="12" w:type="dxa"/>
              <w:left w:w="30" w:type="dxa"/>
              <w:bottom w:w="12" w:type="dxa"/>
              <w:right w:w="30" w:type="dxa"/>
            </w:tcMar>
            <w:vAlign w:val="center"/>
          </w:tcPr>
          <w:p w14:paraId="615932FD" w14:textId="77777777" w:rsidR="00B8619C" w:rsidRDefault="00000000">
            <w:pPr>
              <w:spacing w:after="0" w:line="216" w:lineRule="auto"/>
              <w:jc w:val="right"/>
            </w:pPr>
            <w:r>
              <w:rPr>
                <w:rFonts w:ascii="宋体" w:hAnsi="宋体"/>
                <w:sz w:val="16"/>
              </w:rPr>
              <w:t>6</w:t>
            </w:r>
          </w:p>
        </w:tc>
      </w:tr>
      <w:tr w:rsidR="00B8619C" w14:paraId="7AF26F05" w14:textId="77777777" w:rsidTr="00072BF2">
        <w:trPr>
          <w:jc w:val="center"/>
        </w:trPr>
        <w:tc>
          <w:tcPr>
            <w:tcW w:w="3269" w:type="pct"/>
            <w:tcMar>
              <w:top w:w="12" w:type="dxa"/>
              <w:left w:w="30" w:type="dxa"/>
              <w:bottom w:w="12" w:type="dxa"/>
              <w:right w:w="30" w:type="dxa"/>
            </w:tcMar>
            <w:vAlign w:val="center"/>
          </w:tcPr>
          <w:p w14:paraId="20D9FE3F" w14:textId="77777777" w:rsidR="00B8619C" w:rsidRDefault="00000000">
            <w:pPr>
              <w:spacing w:after="0" w:line="216" w:lineRule="auto"/>
              <w:ind w:left="397"/>
            </w:pPr>
            <w:r>
              <w:rPr>
                <w:rFonts w:ascii="宋体" w:hAnsi="宋体"/>
                <w:sz w:val="16"/>
              </w:rPr>
              <w:t>2.2 实验模块的输入、输出与目的</w:t>
            </w:r>
          </w:p>
        </w:tc>
        <w:tc>
          <w:tcPr>
            <w:tcW w:w="1731" w:type="pct"/>
            <w:tcMar>
              <w:top w:w="12" w:type="dxa"/>
              <w:left w:w="30" w:type="dxa"/>
              <w:bottom w:w="12" w:type="dxa"/>
              <w:right w:w="30" w:type="dxa"/>
            </w:tcMar>
            <w:vAlign w:val="center"/>
          </w:tcPr>
          <w:p w14:paraId="65FB7633" w14:textId="77777777" w:rsidR="00B8619C" w:rsidRDefault="00000000">
            <w:pPr>
              <w:spacing w:after="0" w:line="216" w:lineRule="auto"/>
              <w:jc w:val="right"/>
            </w:pPr>
            <w:r>
              <w:rPr>
                <w:rFonts w:ascii="宋体" w:hAnsi="宋体"/>
                <w:sz w:val="16"/>
              </w:rPr>
              <w:t>6</w:t>
            </w:r>
          </w:p>
        </w:tc>
      </w:tr>
      <w:tr w:rsidR="00B8619C" w14:paraId="53C95BCB" w14:textId="77777777" w:rsidTr="00072BF2">
        <w:trPr>
          <w:jc w:val="center"/>
        </w:trPr>
        <w:tc>
          <w:tcPr>
            <w:tcW w:w="3269" w:type="pct"/>
            <w:tcMar>
              <w:top w:w="12" w:type="dxa"/>
              <w:left w:w="30" w:type="dxa"/>
              <w:bottom w:w="12" w:type="dxa"/>
              <w:right w:w="30" w:type="dxa"/>
            </w:tcMar>
            <w:vAlign w:val="center"/>
          </w:tcPr>
          <w:p w14:paraId="419A139E" w14:textId="77777777" w:rsidR="00B8619C" w:rsidRDefault="00000000">
            <w:pPr>
              <w:spacing w:after="0" w:line="216" w:lineRule="auto"/>
            </w:pPr>
            <w:r>
              <w:rPr>
                <w:rFonts w:ascii="宋体" w:hAnsi="宋体"/>
                <w:b/>
                <w:sz w:val="18"/>
              </w:rPr>
              <w:t>3 数据集构建与质量控制</w:t>
            </w:r>
          </w:p>
        </w:tc>
        <w:tc>
          <w:tcPr>
            <w:tcW w:w="1731" w:type="pct"/>
            <w:tcMar>
              <w:top w:w="12" w:type="dxa"/>
              <w:left w:w="30" w:type="dxa"/>
              <w:bottom w:w="12" w:type="dxa"/>
              <w:right w:w="30" w:type="dxa"/>
            </w:tcMar>
            <w:vAlign w:val="center"/>
          </w:tcPr>
          <w:p w14:paraId="4EEF7787" w14:textId="77777777" w:rsidR="00B8619C" w:rsidRDefault="00000000">
            <w:pPr>
              <w:spacing w:after="0" w:line="216" w:lineRule="auto"/>
              <w:jc w:val="right"/>
            </w:pPr>
            <w:r>
              <w:rPr>
                <w:rFonts w:ascii="宋体" w:hAnsi="宋体"/>
                <w:sz w:val="16"/>
              </w:rPr>
              <w:t>8</w:t>
            </w:r>
          </w:p>
        </w:tc>
      </w:tr>
      <w:tr w:rsidR="00B8619C" w14:paraId="3B302B41" w14:textId="77777777" w:rsidTr="00072BF2">
        <w:trPr>
          <w:jc w:val="center"/>
        </w:trPr>
        <w:tc>
          <w:tcPr>
            <w:tcW w:w="3269" w:type="pct"/>
            <w:tcMar>
              <w:top w:w="12" w:type="dxa"/>
              <w:left w:w="30" w:type="dxa"/>
              <w:bottom w:w="12" w:type="dxa"/>
              <w:right w:w="30" w:type="dxa"/>
            </w:tcMar>
            <w:vAlign w:val="center"/>
          </w:tcPr>
          <w:p w14:paraId="6ED36E35" w14:textId="77777777" w:rsidR="00B8619C" w:rsidRDefault="00000000">
            <w:pPr>
              <w:spacing w:after="0" w:line="216" w:lineRule="auto"/>
              <w:ind w:left="397"/>
            </w:pPr>
            <w:r>
              <w:rPr>
                <w:rFonts w:ascii="宋体" w:hAnsi="宋体"/>
                <w:sz w:val="16"/>
              </w:rPr>
              <w:t>3.1 数据来源与元数据</w:t>
            </w:r>
          </w:p>
        </w:tc>
        <w:tc>
          <w:tcPr>
            <w:tcW w:w="1731" w:type="pct"/>
            <w:tcMar>
              <w:top w:w="12" w:type="dxa"/>
              <w:left w:w="30" w:type="dxa"/>
              <w:bottom w:w="12" w:type="dxa"/>
              <w:right w:w="30" w:type="dxa"/>
            </w:tcMar>
            <w:vAlign w:val="center"/>
          </w:tcPr>
          <w:p w14:paraId="4037E3EF" w14:textId="77777777" w:rsidR="00B8619C" w:rsidRDefault="00000000">
            <w:pPr>
              <w:spacing w:after="0" w:line="216" w:lineRule="auto"/>
              <w:jc w:val="right"/>
            </w:pPr>
            <w:r>
              <w:rPr>
                <w:rFonts w:ascii="宋体" w:hAnsi="宋体"/>
                <w:sz w:val="16"/>
              </w:rPr>
              <w:t>8</w:t>
            </w:r>
          </w:p>
        </w:tc>
      </w:tr>
      <w:tr w:rsidR="00B8619C" w14:paraId="75B0CDDF" w14:textId="77777777" w:rsidTr="00072BF2">
        <w:trPr>
          <w:jc w:val="center"/>
        </w:trPr>
        <w:tc>
          <w:tcPr>
            <w:tcW w:w="3269" w:type="pct"/>
            <w:tcMar>
              <w:top w:w="12" w:type="dxa"/>
              <w:left w:w="30" w:type="dxa"/>
              <w:bottom w:w="12" w:type="dxa"/>
              <w:right w:w="30" w:type="dxa"/>
            </w:tcMar>
            <w:vAlign w:val="center"/>
          </w:tcPr>
          <w:p w14:paraId="41F837E0" w14:textId="77777777" w:rsidR="00B8619C" w:rsidRDefault="00000000">
            <w:pPr>
              <w:spacing w:after="0" w:line="216" w:lineRule="auto"/>
              <w:ind w:left="397"/>
            </w:pPr>
            <w:r>
              <w:rPr>
                <w:rFonts w:ascii="宋体" w:hAnsi="宋体"/>
                <w:sz w:val="16"/>
              </w:rPr>
              <w:t>3.2 类别体系与样本规模</w:t>
            </w:r>
          </w:p>
        </w:tc>
        <w:tc>
          <w:tcPr>
            <w:tcW w:w="1731" w:type="pct"/>
            <w:tcMar>
              <w:top w:w="12" w:type="dxa"/>
              <w:left w:w="30" w:type="dxa"/>
              <w:bottom w:w="12" w:type="dxa"/>
              <w:right w:w="30" w:type="dxa"/>
            </w:tcMar>
            <w:vAlign w:val="center"/>
          </w:tcPr>
          <w:p w14:paraId="6A846F5A" w14:textId="77777777" w:rsidR="00B8619C" w:rsidRDefault="00000000">
            <w:pPr>
              <w:spacing w:after="0" w:line="216" w:lineRule="auto"/>
              <w:jc w:val="right"/>
            </w:pPr>
            <w:r>
              <w:rPr>
                <w:rFonts w:ascii="宋体" w:hAnsi="宋体"/>
                <w:sz w:val="16"/>
              </w:rPr>
              <w:t>8</w:t>
            </w:r>
          </w:p>
        </w:tc>
      </w:tr>
      <w:tr w:rsidR="00B8619C" w14:paraId="0E95657E" w14:textId="77777777" w:rsidTr="00072BF2">
        <w:trPr>
          <w:jc w:val="center"/>
        </w:trPr>
        <w:tc>
          <w:tcPr>
            <w:tcW w:w="3269" w:type="pct"/>
            <w:tcMar>
              <w:top w:w="12" w:type="dxa"/>
              <w:left w:w="30" w:type="dxa"/>
              <w:bottom w:w="12" w:type="dxa"/>
              <w:right w:w="30" w:type="dxa"/>
            </w:tcMar>
            <w:vAlign w:val="center"/>
          </w:tcPr>
          <w:p w14:paraId="1AD6DFB9" w14:textId="77777777" w:rsidR="00B8619C" w:rsidRDefault="00000000">
            <w:pPr>
              <w:spacing w:after="0" w:line="216" w:lineRule="auto"/>
              <w:ind w:left="397"/>
            </w:pPr>
            <w:r>
              <w:rPr>
                <w:rFonts w:ascii="宋体" w:hAnsi="宋体"/>
                <w:sz w:val="16"/>
              </w:rPr>
              <w:t>3.3 图像筛选与分层复核</w:t>
            </w:r>
          </w:p>
        </w:tc>
        <w:tc>
          <w:tcPr>
            <w:tcW w:w="1731" w:type="pct"/>
            <w:tcMar>
              <w:top w:w="12" w:type="dxa"/>
              <w:left w:w="30" w:type="dxa"/>
              <w:bottom w:w="12" w:type="dxa"/>
              <w:right w:w="30" w:type="dxa"/>
            </w:tcMar>
            <w:vAlign w:val="center"/>
          </w:tcPr>
          <w:p w14:paraId="40516B7D" w14:textId="77777777" w:rsidR="00B8619C" w:rsidRDefault="00000000">
            <w:pPr>
              <w:spacing w:after="0" w:line="216" w:lineRule="auto"/>
              <w:jc w:val="right"/>
            </w:pPr>
            <w:r>
              <w:rPr>
                <w:rFonts w:ascii="宋体" w:hAnsi="宋体"/>
                <w:sz w:val="16"/>
              </w:rPr>
              <w:t>8</w:t>
            </w:r>
          </w:p>
        </w:tc>
      </w:tr>
      <w:tr w:rsidR="00B8619C" w14:paraId="28F0C8E8" w14:textId="77777777" w:rsidTr="00072BF2">
        <w:trPr>
          <w:jc w:val="center"/>
        </w:trPr>
        <w:tc>
          <w:tcPr>
            <w:tcW w:w="3269" w:type="pct"/>
            <w:tcMar>
              <w:top w:w="12" w:type="dxa"/>
              <w:left w:w="30" w:type="dxa"/>
              <w:bottom w:w="12" w:type="dxa"/>
              <w:right w:w="30" w:type="dxa"/>
            </w:tcMar>
            <w:vAlign w:val="center"/>
          </w:tcPr>
          <w:p w14:paraId="14634667" w14:textId="77777777" w:rsidR="00B8619C" w:rsidRDefault="00000000">
            <w:pPr>
              <w:spacing w:after="0" w:line="216" w:lineRule="auto"/>
              <w:ind w:left="397"/>
            </w:pPr>
            <w:r>
              <w:rPr>
                <w:rFonts w:ascii="宋体" w:hAnsi="宋体"/>
                <w:sz w:val="16"/>
              </w:rPr>
              <w:t>3.4 固定划分与泄漏控制</w:t>
            </w:r>
          </w:p>
        </w:tc>
        <w:tc>
          <w:tcPr>
            <w:tcW w:w="1731" w:type="pct"/>
            <w:tcMar>
              <w:top w:w="12" w:type="dxa"/>
              <w:left w:w="30" w:type="dxa"/>
              <w:bottom w:w="12" w:type="dxa"/>
              <w:right w:w="30" w:type="dxa"/>
            </w:tcMar>
            <w:vAlign w:val="center"/>
          </w:tcPr>
          <w:p w14:paraId="3F9096AA" w14:textId="77777777" w:rsidR="00B8619C" w:rsidRDefault="00000000">
            <w:pPr>
              <w:spacing w:after="0" w:line="216" w:lineRule="auto"/>
              <w:jc w:val="right"/>
            </w:pPr>
            <w:r>
              <w:rPr>
                <w:rFonts w:ascii="宋体" w:hAnsi="宋体"/>
                <w:sz w:val="16"/>
              </w:rPr>
              <w:t>8</w:t>
            </w:r>
          </w:p>
        </w:tc>
      </w:tr>
      <w:tr w:rsidR="00B8619C" w14:paraId="35278412" w14:textId="77777777" w:rsidTr="00072BF2">
        <w:trPr>
          <w:jc w:val="center"/>
        </w:trPr>
        <w:tc>
          <w:tcPr>
            <w:tcW w:w="3269" w:type="pct"/>
            <w:tcMar>
              <w:top w:w="12" w:type="dxa"/>
              <w:left w:w="30" w:type="dxa"/>
              <w:bottom w:w="12" w:type="dxa"/>
              <w:right w:w="30" w:type="dxa"/>
            </w:tcMar>
            <w:vAlign w:val="center"/>
          </w:tcPr>
          <w:p w14:paraId="38583B42" w14:textId="77777777" w:rsidR="00B8619C" w:rsidRDefault="00000000">
            <w:pPr>
              <w:spacing w:after="0" w:line="216" w:lineRule="auto"/>
            </w:pPr>
            <w:r>
              <w:rPr>
                <w:rFonts w:ascii="宋体" w:hAnsi="宋体"/>
                <w:b/>
                <w:sz w:val="18"/>
              </w:rPr>
              <w:t>4 模型与实验设计</w:t>
            </w:r>
          </w:p>
        </w:tc>
        <w:tc>
          <w:tcPr>
            <w:tcW w:w="1731" w:type="pct"/>
            <w:tcMar>
              <w:top w:w="12" w:type="dxa"/>
              <w:left w:w="30" w:type="dxa"/>
              <w:bottom w:w="12" w:type="dxa"/>
              <w:right w:w="30" w:type="dxa"/>
            </w:tcMar>
            <w:vAlign w:val="center"/>
          </w:tcPr>
          <w:p w14:paraId="2BE617B0" w14:textId="77777777" w:rsidR="00B8619C" w:rsidRDefault="00000000">
            <w:pPr>
              <w:spacing w:after="0" w:line="216" w:lineRule="auto"/>
              <w:jc w:val="right"/>
            </w:pPr>
            <w:r>
              <w:rPr>
                <w:rFonts w:ascii="宋体" w:hAnsi="宋体"/>
                <w:sz w:val="16"/>
              </w:rPr>
              <w:t>9</w:t>
            </w:r>
          </w:p>
        </w:tc>
      </w:tr>
      <w:tr w:rsidR="00B8619C" w14:paraId="60B9BE45" w14:textId="77777777" w:rsidTr="00072BF2">
        <w:trPr>
          <w:jc w:val="center"/>
        </w:trPr>
        <w:tc>
          <w:tcPr>
            <w:tcW w:w="3269" w:type="pct"/>
            <w:tcMar>
              <w:top w:w="12" w:type="dxa"/>
              <w:left w:w="30" w:type="dxa"/>
              <w:bottom w:w="12" w:type="dxa"/>
              <w:right w:w="30" w:type="dxa"/>
            </w:tcMar>
            <w:vAlign w:val="center"/>
          </w:tcPr>
          <w:p w14:paraId="480264CE" w14:textId="77777777" w:rsidR="00B8619C" w:rsidRDefault="00000000">
            <w:pPr>
              <w:spacing w:after="0" w:line="216" w:lineRule="auto"/>
              <w:ind w:left="397"/>
            </w:pPr>
            <w:r>
              <w:rPr>
                <w:rFonts w:ascii="宋体" w:hAnsi="宋体"/>
                <w:sz w:val="16"/>
              </w:rPr>
              <w:t>4.1 对比模型</w:t>
            </w:r>
          </w:p>
        </w:tc>
        <w:tc>
          <w:tcPr>
            <w:tcW w:w="1731" w:type="pct"/>
            <w:tcMar>
              <w:top w:w="12" w:type="dxa"/>
              <w:left w:w="30" w:type="dxa"/>
              <w:bottom w:w="12" w:type="dxa"/>
              <w:right w:w="30" w:type="dxa"/>
            </w:tcMar>
            <w:vAlign w:val="center"/>
          </w:tcPr>
          <w:p w14:paraId="1EE20A81" w14:textId="77777777" w:rsidR="00B8619C" w:rsidRDefault="00000000">
            <w:pPr>
              <w:spacing w:after="0" w:line="216" w:lineRule="auto"/>
              <w:jc w:val="right"/>
            </w:pPr>
            <w:r>
              <w:rPr>
                <w:rFonts w:ascii="宋体" w:hAnsi="宋体"/>
                <w:sz w:val="16"/>
              </w:rPr>
              <w:t>9</w:t>
            </w:r>
          </w:p>
        </w:tc>
      </w:tr>
      <w:tr w:rsidR="00B8619C" w14:paraId="2DE1DD3D" w14:textId="77777777" w:rsidTr="00072BF2">
        <w:trPr>
          <w:jc w:val="center"/>
        </w:trPr>
        <w:tc>
          <w:tcPr>
            <w:tcW w:w="3269" w:type="pct"/>
            <w:tcMar>
              <w:top w:w="12" w:type="dxa"/>
              <w:left w:w="30" w:type="dxa"/>
              <w:bottom w:w="12" w:type="dxa"/>
              <w:right w:w="30" w:type="dxa"/>
            </w:tcMar>
            <w:vAlign w:val="center"/>
          </w:tcPr>
          <w:p w14:paraId="50C53AE0" w14:textId="77777777" w:rsidR="00B8619C" w:rsidRDefault="00000000">
            <w:pPr>
              <w:spacing w:after="0" w:line="216" w:lineRule="auto"/>
              <w:ind w:left="397"/>
            </w:pPr>
            <w:r>
              <w:rPr>
                <w:rFonts w:ascii="宋体" w:hAnsi="宋体"/>
                <w:sz w:val="16"/>
              </w:rPr>
              <w:t>4.2 训练设置与实验环境记录</w:t>
            </w:r>
          </w:p>
        </w:tc>
        <w:tc>
          <w:tcPr>
            <w:tcW w:w="1731" w:type="pct"/>
            <w:tcMar>
              <w:top w:w="12" w:type="dxa"/>
              <w:left w:w="30" w:type="dxa"/>
              <w:bottom w:w="12" w:type="dxa"/>
              <w:right w:w="30" w:type="dxa"/>
            </w:tcMar>
            <w:vAlign w:val="center"/>
          </w:tcPr>
          <w:p w14:paraId="39708D19" w14:textId="77777777" w:rsidR="00B8619C" w:rsidRDefault="00000000">
            <w:pPr>
              <w:spacing w:after="0" w:line="216" w:lineRule="auto"/>
              <w:jc w:val="right"/>
            </w:pPr>
            <w:r>
              <w:rPr>
                <w:rFonts w:ascii="宋体" w:hAnsi="宋体"/>
                <w:sz w:val="16"/>
              </w:rPr>
              <w:t>9</w:t>
            </w:r>
          </w:p>
        </w:tc>
      </w:tr>
      <w:tr w:rsidR="00B8619C" w14:paraId="2F1E03D4" w14:textId="77777777" w:rsidTr="00072BF2">
        <w:trPr>
          <w:jc w:val="center"/>
        </w:trPr>
        <w:tc>
          <w:tcPr>
            <w:tcW w:w="3269" w:type="pct"/>
            <w:tcMar>
              <w:top w:w="12" w:type="dxa"/>
              <w:left w:w="30" w:type="dxa"/>
              <w:bottom w:w="12" w:type="dxa"/>
              <w:right w:w="30" w:type="dxa"/>
            </w:tcMar>
            <w:vAlign w:val="center"/>
          </w:tcPr>
          <w:p w14:paraId="4CF128E1" w14:textId="77777777" w:rsidR="00B8619C" w:rsidRDefault="00000000">
            <w:pPr>
              <w:spacing w:after="0" w:line="216" w:lineRule="auto"/>
              <w:ind w:left="397"/>
            </w:pPr>
            <w:r>
              <w:rPr>
                <w:rFonts w:ascii="宋体" w:hAnsi="宋体"/>
                <w:sz w:val="16"/>
              </w:rPr>
              <w:t>4.3 Focal Loss 三随机种子消融</w:t>
            </w:r>
          </w:p>
        </w:tc>
        <w:tc>
          <w:tcPr>
            <w:tcW w:w="1731" w:type="pct"/>
            <w:tcMar>
              <w:top w:w="12" w:type="dxa"/>
              <w:left w:w="30" w:type="dxa"/>
              <w:bottom w:w="12" w:type="dxa"/>
              <w:right w:w="30" w:type="dxa"/>
            </w:tcMar>
            <w:vAlign w:val="center"/>
          </w:tcPr>
          <w:p w14:paraId="5ABA10A9" w14:textId="77777777" w:rsidR="00B8619C" w:rsidRDefault="00000000">
            <w:pPr>
              <w:spacing w:after="0" w:line="216" w:lineRule="auto"/>
              <w:jc w:val="right"/>
            </w:pPr>
            <w:r>
              <w:rPr>
                <w:rFonts w:ascii="宋体" w:hAnsi="宋体"/>
                <w:sz w:val="16"/>
              </w:rPr>
              <w:t>10</w:t>
            </w:r>
          </w:p>
        </w:tc>
      </w:tr>
      <w:tr w:rsidR="00B8619C" w14:paraId="5A499F9D" w14:textId="77777777" w:rsidTr="00072BF2">
        <w:trPr>
          <w:jc w:val="center"/>
        </w:trPr>
        <w:tc>
          <w:tcPr>
            <w:tcW w:w="3269" w:type="pct"/>
            <w:tcMar>
              <w:top w:w="12" w:type="dxa"/>
              <w:left w:w="30" w:type="dxa"/>
              <w:bottom w:w="12" w:type="dxa"/>
              <w:right w:w="30" w:type="dxa"/>
            </w:tcMar>
            <w:vAlign w:val="center"/>
          </w:tcPr>
          <w:p w14:paraId="2D85AD17" w14:textId="77777777" w:rsidR="00B8619C" w:rsidRDefault="00000000">
            <w:pPr>
              <w:spacing w:after="0" w:line="216" w:lineRule="auto"/>
              <w:ind w:left="397"/>
            </w:pPr>
            <w:r>
              <w:rPr>
                <w:rFonts w:ascii="宋体" w:hAnsi="宋体"/>
                <w:sz w:val="16"/>
              </w:rPr>
              <w:t>4.4 角色感知困难负样本学习</w:t>
            </w:r>
          </w:p>
        </w:tc>
        <w:tc>
          <w:tcPr>
            <w:tcW w:w="1731" w:type="pct"/>
            <w:tcMar>
              <w:top w:w="12" w:type="dxa"/>
              <w:left w:w="30" w:type="dxa"/>
              <w:bottom w:w="12" w:type="dxa"/>
              <w:right w:w="30" w:type="dxa"/>
            </w:tcMar>
            <w:vAlign w:val="center"/>
          </w:tcPr>
          <w:p w14:paraId="7C4E135C" w14:textId="77777777" w:rsidR="00B8619C" w:rsidRDefault="00000000">
            <w:pPr>
              <w:spacing w:after="0" w:line="216" w:lineRule="auto"/>
              <w:jc w:val="right"/>
            </w:pPr>
            <w:r>
              <w:rPr>
                <w:rFonts w:ascii="宋体" w:hAnsi="宋体"/>
                <w:sz w:val="16"/>
              </w:rPr>
              <w:t>10</w:t>
            </w:r>
          </w:p>
        </w:tc>
      </w:tr>
      <w:tr w:rsidR="00B8619C" w14:paraId="52CF90B2" w14:textId="77777777" w:rsidTr="00072BF2">
        <w:trPr>
          <w:jc w:val="center"/>
        </w:trPr>
        <w:tc>
          <w:tcPr>
            <w:tcW w:w="3269" w:type="pct"/>
            <w:tcMar>
              <w:top w:w="12" w:type="dxa"/>
              <w:left w:w="30" w:type="dxa"/>
              <w:bottom w:w="12" w:type="dxa"/>
              <w:right w:w="30" w:type="dxa"/>
            </w:tcMar>
            <w:vAlign w:val="center"/>
          </w:tcPr>
          <w:p w14:paraId="557D3927" w14:textId="77777777" w:rsidR="00B8619C" w:rsidRDefault="00000000">
            <w:pPr>
              <w:spacing w:after="0" w:line="216" w:lineRule="auto"/>
              <w:ind w:left="397"/>
            </w:pPr>
            <w:r>
              <w:rPr>
                <w:rFonts w:ascii="宋体" w:hAnsi="宋体"/>
                <w:sz w:val="16"/>
              </w:rPr>
              <w:t>4.5 矿物种类—角色分层一致性模型</w:t>
            </w:r>
          </w:p>
        </w:tc>
        <w:tc>
          <w:tcPr>
            <w:tcW w:w="1731" w:type="pct"/>
            <w:tcMar>
              <w:top w:w="12" w:type="dxa"/>
              <w:left w:w="30" w:type="dxa"/>
              <w:bottom w:w="12" w:type="dxa"/>
              <w:right w:w="30" w:type="dxa"/>
            </w:tcMar>
            <w:vAlign w:val="center"/>
          </w:tcPr>
          <w:p w14:paraId="40067552" w14:textId="77777777" w:rsidR="00B8619C" w:rsidRDefault="00000000">
            <w:pPr>
              <w:spacing w:after="0" w:line="216" w:lineRule="auto"/>
              <w:jc w:val="right"/>
            </w:pPr>
            <w:r>
              <w:rPr>
                <w:rFonts w:ascii="宋体" w:hAnsi="宋体"/>
                <w:sz w:val="16"/>
              </w:rPr>
              <w:t>10</w:t>
            </w:r>
          </w:p>
        </w:tc>
      </w:tr>
      <w:tr w:rsidR="00B8619C" w14:paraId="7C40E4E1" w14:textId="77777777" w:rsidTr="00072BF2">
        <w:trPr>
          <w:jc w:val="center"/>
        </w:trPr>
        <w:tc>
          <w:tcPr>
            <w:tcW w:w="3269" w:type="pct"/>
            <w:tcMar>
              <w:top w:w="12" w:type="dxa"/>
              <w:left w:w="30" w:type="dxa"/>
              <w:bottom w:w="12" w:type="dxa"/>
              <w:right w:w="30" w:type="dxa"/>
            </w:tcMar>
            <w:vAlign w:val="center"/>
          </w:tcPr>
          <w:p w14:paraId="7FEEE88F" w14:textId="77777777" w:rsidR="00B8619C" w:rsidRDefault="00000000">
            <w:pPr>
              <w:spacing w:after="0" w:line="216" w:lineRule="auto"/>
              <w:ind w:left="397"/>
            </w:pPr>
            <w:r>
              <w:rPr>
                <w:rFonts w:ascii="宋体" w:hAnsi="宋体"/>
                <w:sz w:val="16"/>
              </w:rPr>
              <w:t>4.6 固定映射下的角色可识别性命题</w:t>
            </w:r>
          </w:p>
        </w:tc>
        <w:tc>
          <w:tcPr>
            <w:tcW w:w="1731" w:type="pct"/>
            <w:tcMar>
              <w:top w:w="12" w:type="dxa"/>
              <w:left w:w="30" w:type="dxa"/>
              <w:bottom w:w="12" w:type="dxa"/>
              <w:right w:w="30" w:type="dxa"/>
            </w:tcMar>
            <w:vAlign w:val="center"/>
          </w:tcPr>
          <w:p w14:paraId="0B5CA55F" w14:textId="77777777" w:rsidR="00B8619C" w:rsidRDefault="00000000">
            <w:pPr>
              <w:spacing w:after="0" w:line="216" w:lineRule="auto"/>
              <w:jc w:val="right"/>
            </w:pPr>
            <w:r>
              <w:rPr>
                <w:rFonts w:ascii="宋体" w:hAnsi="宋体"/>
                <w:sz w:val="16"/>
              </w:rPr>
              <w:t>15</w:t>
            </w:r>
          </w:p>
        </w:tc>
      </w:tr>
      <w:tr w:rsidR="00B8619C" w14:paraId="6B4452D3" w14:textId="77777777" w:rsidTr="00072BF2">
        <w:trPr>
          <w:jc w:val="center"/>
        </w:trPr>
        <w:tc>
          <w:tcPr>
            <w:tcW w:w="3269" w:type="pct"/>
            <w:tcMar>
              <w:top w:w="12" w:type="dxa"/>
              <w:left w:w="30" w:type="dxa"/>
              <w:bottom w:w="12" w:type="dxa"/>
              <w:right w:w="30" w:type="dxa"/>
            </w:tcMar>
            <w:vAlign w:val="center"/>
          </w:tcPr>
          <w:p w14:paraId="609994DB" w14:textId="77777777" w:rsidR="00B8619C" w:rsidRDefault="00000000">
            <w:pPr>
              <w:spacing w:after="0" w:line="216" w:lineRule="auto"/>
              <w:ind w:left="397"/>
            </w:pPr>
            <w:r>
              <w:rPr>
                <w:rFonts w:ascii="宋体" w:hAnsi="宋体"/>
                <w:sz w:val="16"/>
              </w:rPr>
              <w:t>4.7 选择性识别规则</w:t>
            </w:r>
          </w:p>
        </w:tc>
        <w:tc>
          <w:tcPr>
            <w:tcW w:w="1731" w:type="pct"/>
            <w:tcMar>
              <w:top w:w="12" w:type="dxa"/>
              <w:left w:w="30" w:type="dxa"/>
              <w:bottom w:w="12" w:type="dxa"/>
              <w:right w:w="30" w:type="dxa"/>
            </w:tcMar>
            <w:vAlign w:val="center"/>
          </w:tcPr>
          <w:p w14:paraId="7EF07EFB" w14:textId="77777777" w:rsidR="00B8619C" w:rsidRDefault="00000000">
            <w:pPr>
              <w:spacing w:after="0" w:line="216" w:lineRule="auto"/>
              <w:jc w:val="right"/>
            </w:pPr>
            <w:r>
              <w:rPr>
                <w:rFonts w:ascii="宋体" w:hAnsi="宋体"/>
                <w:sz w:val="16"/>
              </w:rPr>
              <w:t>15</w:t>
            </w:r>
          </w:p>
        </w:tc>
      </w:tr>
      <w:tr w:rsidR="00B8619C" w14:paraId="6E6FFB5F" w14:textId="77777777" w:rsidTr="00072BF2">
        <w:trPr>
          <w:jc w:val="center"/>
        </w:trPr>
        <w:tc>
          <w:tcPr>
            <w:tcW w:w="3269" w:type="pct"/>
            <w:tcMar>
              <w:top w:w="12" w:type="dxa"/>
              <w:left w:w="30" w:type="dxa"/>
              <w:bottom w:w="12" w:type="dxa"/>
              <w:right w:w="30" w:type="dxa"/>
            </w:tcMar>
            <w:vAlign w:val="center"/>
          </w:tcPr>
          <w:p w14:paraId="372A5B5E" w14:textId="77777777" w:rsidR="00B8619C" w:rsidRDefault="00000000">
            <w:pPr>
              <w:spacing w:after="0" w:line="216" w:lineRule="auto"/>
            </w:pPr>
            <w:r>
              <w:rPr>
                <w:rFonts w:ascii="宋体" w:hAnsi="宋体"/>
                <w:b/>
                <w:sz w:val="18"/>
              </w:rPr>
              <w:t>5 实验结果与讨论</w:t>
            </w:r>
          </w:p>
        </w:tc>
        <w:tc>
          <w:tcPr>
            <w:tcW w:w="1731" w:type="pct"/>
            <w:tcMar>
              <w:top w:w="12" w:type="dxa"/>
              <w:left w:w="30" w:type="dxa"/>
              <w:bottom w:w="12" w:type="dxa"/>
              <w:right w:w="30" w:type="dxa"/>
            </w:tcMar>
            <w:vAlign w:val="center"/>
          </w:tcPr>
          <w:p w14:paraId="6F000295" w14:textId="77777777" w:rsidR="00B8619C" w:rsidRDefault="00000000">
            <w:pPr>
              <w:spacing w:after="0" w:line="216" w:lineRule="auto"/>
              <w:jc w:val="right"/>
            </w:pPr>
            <w:r>
              <w:rPr>
                <w:rFonts w:ascii="宋体" w:hAnsi="宋体"/>
                <w:sz w:val="16"/>
              </w:rPr>
              <w:t>16</w:t>
            </w:r>
          </w:p>
        </w:tc>
      </w:tr>
      <w:tr w:rsidR="00B8619C" w14:paraId="6FC35B9C" w14:textId="77777777" w:rsidTr="00072BF2">
        <w:trPr>
          <w:jc w:val="center"/>
        </w:trPr>
        <w:tc>
          <w:tcPr>
            <w:tcW w:w="3269" w:type="pct"/>
            <w:tcMar>
              <w:top w:w="12" w:type="dxa"/>
              <w:left w:w="30" w:type="dxa"/>
              <w:bottom w:w="12" w:type="dxa"/>
              <w:right w:w="30" w:type="dxa"/>
            </w:tcMar>
            <w:vAlign w:val="center"/>
          </w:tcPr>
          <w:p w14:paraId="590B656B" w14:textId="77777777" w:rsidR="00B8619C" w:rsidRDefault="00000000">
            <w:pPr>
              <w:spacing w:after="0" w:line="216" w:lineRule="auto"/>
              <w:ind w:left="397"/>
            </w:pPr>
            <w:r>
              <w:rPr>
                <w:rFonts w:ascii="宋体" w:hAnsi="宋体"/>
                <w:sz w:val="16"/>
              </w:rPr>
              <w:t>5.1 总体性能比较</w:t>
            </w:r>
          </w:p>
        </w:tc>
        <w:tc>
          <w:tcPr>
            <w:tcW w:w="1731" w:type="pct"/>
            <w:tcMar>
              <w:top w:w="12" w:type="dxa"/>
              <w:left w:w="30" w:type="dxa"/>
              <w:bottom w:w="12" w:type="dxa"/>
              <w:right w:w="30" w:type="dxa"/>
            </w:tcMar>
            <w:vAlign w:val="center"/>
          </w:tcPr>
          <w:p w14:paraId="253EA818" w14:textId="77777777" w:rsidR="00B8619C" w:rsidRDefault="00000000">
            <w:pPr>
              <w:spacing w:after="0" w:line="216" w:lineRule="auto"/>
              <w:jc w:val="right"/>
            </w:pPr>
            <w:r>
              <w:rPr>
                <w:rFonts w:ascii="宋体" w:hAnsi="宋体"/>
                <w:sz w:val="16"/>
              </w:rPr>
              <w:t>16</w:t>
            </w:r>
          </w:p>
        </w:tc>
      </w:tr>
      <w:tr w:rsidR="00B8619C" w14:paraId="2280D486" w14:textId="77777777" w:rsidTr="00072BF2">
        <w:trPr>
          <w:jc w:val="center"/>
        </w:trPr>
        <w:tc>
          <w:tcPr>
            <w:tcW w:w="3269" w:type="pct"/>
            <w:tcMar>
              <w:top w:w="12" w:type="dxa"/>
              <w:left w:w="30" w:type="dxa"/>
              <w:bottom w:w="12" w:type="dxa"/>
              <w:right w:w="30" w:type="dxa"/>
            </w:tcMar>
            <w:vAlign w:val="center"/>
          </w:tcPr>
          <w:p w14:paraId="349E6709" w14:textId="77777777" w:rsidR="00B8619C" w:rsidRDefault="00000000">
            <w:pPr>
              <w:spacing w:after="0" w:line="216" w:lineRule="auto"/>
              <w:ind w:left="397"/>
            </w:pPr>
            <w:r>
              <w:rPr>
                <w:rFonts w:ascii="宋体" w:hAnsi="宋体"/>
                <w:sz w:val="16"/>
              </w:rPr>
              <w:t>5.2 各类别召回率分析</w:t>
            </w:r>
          </w:p>
        </w:tc>
        <w:tc>
          <w:tcPr>
            <w:tcW w:w="1731" w:type="pct"/>
            <w:tcMar>
              <w:top w:w="12" w:type="dxa"/>
              <w:left w:w="30" w:type="dxa"/>
              <w:bottom w:w="12" w:type="dxa"/>
              <w:right w:w="30" w:type="dxa"/>
            </w:tcMar>
            <w:vAlign w:val="center"/>
          </w:tcPr>
          <w:p w14:paraId="3BE38562" w14:textId="77777777" w:rsidR="00B8619C" w:rsidRDefault="00000000">
            <w:pPr>
              <w:spacing w:after="0" w:line="216" w:lineRule="auto"/>
              <w:jc w:val="right"/>
            </w:pPr>
            <w:r>
              <w:rPr>
                <w:rFonts w:ascii="宋体" w:hAnsi="宋体"/>
                <w:sz w:val="16"/>
              </w:rPr>
              <w:t>17</w:t>
            </w:r>
          </w:p>
        </w:tc>
      </w:tr>
      <w:tr w:rsidR="00B8619C" w14:paraId="7FF007C9" w14:textId="77777777" w:rsidTr="00072BF2">
        <w:trPr>
          <w:jc w:val="center"/>
        </w:trPr>
        <w:tc>
          <w:tcPr>
            <w:tcW w:w="3269" w:type="pct"/>
            <w:tcMar>
              <w:top w:w="12" w:type="dxa"/>
              <w:left w:w="30" w:type="dxa"/>
              <w:bottom w:w="12" w:type="dxa"/>
              <w:right w:w="30" w:type="dxa"/>
            </w:tcMar>
            <w:vAlign w:val="center"/>
          </w:tcPr>
          <w:p w14:paraId="4365DCF1" w14:textId="77777777" w:rsidR="00B8619C" w:rsidRDefault="00000000">
            <w:pPr>
              <w:spacing w:after="0" w:line="216" w:lineRule="auto"/>
              <w:ind w:left="397"/>
            </w:pPr>
            <w:r>
              <w:rPr>
                <w:rFonts w:ascii="宋体" w:hAnsi="宋体"/>
                <w:sz w:val="16"/>
              </w:rPr>
              <w:t>5.3 目标代理风险指标</w:t>
            </w:r>
          </w:p>
        </w:tc>
        <w:tc>
          <w:tcPr>
            <w:tcW w:w="1731" w:type="pct"/>
            <w:tcMar>
              <w:top w:w="12" w:type="dxa"/>
              <w:left w:w="30" w:type="dxa"/>
              <w:bottom w:w="12" w:type="dxa"/>
              <w:right w:w="30" w:type="dxa"/>
            </w:tcMar>
            <w:vAlign w:val="center"/>
          </w:tcPr>
          <w:p w14:paraId="35D9CF3C" w14:textId="77777777" w:rsidR="00B8619C" w:rsidRDefault="00000000">
            <w:pPr>
              <w:spacing w:after="0" w:line="216" w:lineRule="auto"/>
              <w:jc w:val="right"/>
            </w:pPr>
            <w:r>
              <w:rPr>
                <w:rFonts w:ascii="宋体" w:hAnsi="宋体"/>
                <w:sz w:val="16"/>
              </w:rPr>
              <w:t>18</w:t>
            </w:r>
          </w:p>
        </w:tc>
      </w:tr>
      <w:tr w:rsidR="00B8619C" w14:paraId="4931E114" w14:textId="77777777" w:rsidTr="00072BF2">
        <w:trPr>
          <w:jc w:val="center"/>
        </w:trPr>
        <w:tc>
          <w:tcPr>
            <w:tcW w:w="3269" w:type="pct"/>
            <w:tcMar>
              <w:top w:w="12" w:type="dxa"/>
              <w:left w:w="30" w:type="dxa"/>
              <w:bottom w:w="12" w:type="dxa"/>
              <w:right w:w="30" w:type="dxa"/>
            </w:tcMar>
            <w:vAlign w:val="center"/>
          </w:tcPr>
          <w:p w14:paraId="3667A5CD" w14:textId="77777777" w:rsidR="00B8619C" w:rsidRDefault="00000000">
            <w:pPr>
              <w:spacing w:after="0" w:line="216" w:lineRule="auto"/>
              <w:ind w:left="397"/>
            </w:pPr>
            <w:r>
              <w:rPr>
                <w:rFonts w:ascii="宋体" w:hAnsi="宋体"/>
                <w:sz w:val="16"/>
              </w:rPr>
              <w:t>5.4 混淆矩阵与主要错误方向</w:t>
            </w:r>
          </w:p>
        </w:tc>
        <w:tc>
          <w:tcPr>
            <w:tcW w:w="1731" w:type="pct"/>
            <w:tcMar>
              <w:top w:w="12" w:type="dxa"/>
              <w:left w:w="30" w:type="dxa"/>
              <w:bottom w:w="12" w:type="dxa"/>
              <w:right w:w="30" w:type="dxa"/>
            </w:tcMar>
            <w:vAlign w:val="center"/>
          </w:tcPr>
          <w:p w14:paraId="41508602" w14:textId="77777777" w:rsidR="00B8619C" w:rsidRDefault="00000000">
            <w:pPr>
              <w:spacing w:after="0" w:line="216" w:lineRule="auto"/>
              <w:jc w:val="right"/>
            </w:pPr>
            <w:r>
              <w:rPr>
                <w:rFonts w:ascii="宋体" w:hAnsi="宋体"/>
                <w:sz w:val="16"/>
              </w:rPr>
              <w:t>19</w:t>
            </w:r>
          </w:p>
        </w:tc>
      </w:tr>
      <w:tr w:rsidR="00B8619C" w14:paraId="5882FC4B" w14:textId="77777777" w:rsidTr="00072BF2">
        <w:trPr>
          <w:jc w:val="center"/>
        </w:trPr>
        <w:tc>
          <w:tcPr>
            <w:tcW w:w="3269" w:type="pct"/>
            <w:tcMar>
              <w:top w:w="12" w:type="dxa"/>
              <w:left w:w="30" w:type="dxa"/>
              <w:bottom w:w="12" w:type="dxa"/>
              <w:right w:w="30" w:type="dxa"/>
            </w:tcMar>
            <w:vAlign w:val="center"/>
          </w:tcPr>
          <w:p w14:paraId="19949AC1" w14:textId="77777777" w:rsidR="00B8619C" w:rsidRDefault="00000000">
            <w:pPr>
              <w:spacing w:after="0" w:line="216" w:lineRule="auto"/>
              <w:ind w:left="397"/>
            </w:pPr>
            <w:r>
              <w:rPr>
                <w:rFonts w:ascii="宋体" w:hAnsi="宋体"/>
                <w:sz w:val="16"/>
              </w:rPr>
              <w:t>5.5 Focal Loss 三随机种子消融讨论</w:t>
            </w:r>
          </w:p>
        </w:tc>
        <w:tc>
          <w:tcPr>
            <w:tcW w:w="1731" w:type="pct"/>
            <w:tcMar>
              <w:top w:w="12" w:type="dxa"/>
              <w:left w:w="30" w:type="dxa"/>
              <w:bottom w:w="12" w:type="dxa"/>
              <w:right w:w="30" w:type="dxa"/>
            </w:tcMar>
            <w:vAlign w:val="center"/>
          </w:tcPr>
          <w:p w14:paraId="75019376" w14:textId="77777777" w:rsidR="00B8619C" w:rsidRDefault="00000000">
            <w:pPr>
              <w:spacing w:after="0" w:line="216" w:lineRule="auto"/>
              <w:jc w:val="right"/>
            </w:pPr>
            <w:r>
              <w:rPr>
                <w:rFonts w:ascii="宋体" w:hAnsi="宋体"/>
                <w:sz w:val="16"/>
              </w:rPr>
              <w:t>20</w:t>
            </w:r>
          </w:p>
        </w:tc>
      </w:tr>
      <w:tr w:rsidR="00B8619C" w14:paraId="028B5E18" w14:textId="77777777" w:rsidTr="00072BF2">
        <w:trPr>
          <w:jc w:val="center"/>
        </w:trPr>
        <w:tc>
          <w:tcPr>
            <w:tcW w:w="3269" w:type="pct"/>
            <w:tcMar>
              <w:top w:w="12" w:type="dxa"/>
              <w:left w:w="30" w:type="dxa"/>
              <w:bottom w:w="12" w:type="dxa"/>
              <w:right w:w="30" w:type="dxa"/>
            </w:tcMar>
            <w:vAlign w:val="center"/>
          </w:tcPr>
          <w:p w14:paraId="3415AEC6" w14:textId="77777777" w:rsidR="00B8619C" w:rsidRDefault="00000000">
            <w:pPr>
              <w:spacing w:after="0" w:line="216" w:lineRule="auto"/>
              <w:ind w:left="397"/>
            </w:pPr>
            <w:r>
              <w:rPr>
                <w:rFonts w:ascii="宋体" w:hAnsi="宋体"/>
                <w:sz w:val="16"/>
              </w:rPr>
              <w:t>5.6 角色感知困难负样本学习讨论</w:t>
            </w:r>
          </w:p>
        </w:tc>
        <w:tc>
          <w:tcPr>
            <w:tcW w:w="1731" w:type="pct"/>
            <w:tcMar>
              <w:top w:w="12" w:type="dxa"/>
              <w:left w:w="30" w:type="dxa"/>
              <w:bottom w:w="12" w:type="dxa"/>
              <w:right w:w="30" w:type="dxa"/>
            </w:tcMar>
            <w:vAlign w:val="center"/>
          </w:tcPr>
          <w:p w14:paraId="3EDEC07D" w14:textId="77777777" w:rsidR="00B8619C" w:rsidRDefault="00000000">
            <w:pPr>
              <w:spacing w:after="0" w:line="216" w:lineRule="auto"/>
              <w:jc w:val="right"/>
            </w:pPr>
            <w:r>
              <w:rPr>
                <w:rFonts w:ascii="宋体" w:hAnsi="宋体"/>
                <w:sz w:val="16"/>
              </w:rPr>
              <w:t>21</w:t>
            </w:r>
          </w:p>
        </w:tc>
      </w:tr>
      <w:tr w:rsidR="00B8619C" w14:paraId="066CF4C9" w14:textId="77777777" w:rsidTr="00072BF2">
        <w:trPr>
          <w:jc w:val="center"/>
        </w:trPr>
        <w:tc>
          <w:tcPr>
            <w:tcW w:w="3269" w:type="pct"/>
            <w:tcMar>
              <w:top w:w="12" w:type="dxa"/>
              <w:left w:w="30" w:type="dxa"/>
              <w:bottom w:w="12" w:type="dxa"/>
              <w:right w:w="30" w:type="dxa"/>
            </w:tcMar>
            <w:vAlign w:val="center"/>
          </w:tcPr>
          <w:p w14:paraId="37A57AAA" w14:textId="77777777" w:rsidR="00B8619C" w:rsidRDefault="00000000">
            <w:pPr>
              <w:spacing w:after="0" w:line="216" w:lineRule="auto"/>
              <w:ind w:left="397"/>
            </w:pPr>
            <w:r>
              <w:rPr>
                <w:rFonts w:ascii="宋体" w:hAnsi="宋体"/>
                <w:sz w:val="16"/>
              </w:rPr>
              <w:t>5.7 分层一致性模型讨论</w:t>
            </w:r>
          </w:p>
        </w:tc>
        <w:tc>
          <w:tcPr>
            <w:tcW w:w="1731" w:type="pct"/>
            <w:tcMar>
              <w:top w:w="12" w:type="dxa"/>
              <w:left w:w="30" w:type="dxa"/>
              <w:bottom w:w="12" w:type="dxa"/>
              <w:right w:w="30" w:type="dxa"/>
            </w:tcMar>
            <w:vAlign w:val="center"/>
          </w:tcPr>
          <w:p w14:paraId="625F8B39" w14:textId="77777777" w:rsidR="00B8619C" w:rsidRDefault="00000000">
            <w:pPr>
              <w:spacing w:after="0" w:line="216" w:lineRule="auto"/>
              <w:jc w:val="right"/>
            </w:pPr>
            <w:r>
              <w:rPr>
                <w:rFonts w:ascii="宋体" w:hAnsi="宋体"/>
                <w:sz w:val="16"/>
              </w:rPr>
              <w:t>21</w:t>
            </w:r>
          </w:p>
        </w:tc>
      </w:tr>
      <w:tr w:rsidR="00B8619C" w14:paraId="1B071BF9" w14:textId="77777777" w:rsidTr="00072BF2">
        <w:trPr>
          <w:jc w:val="center"/>
        </w:trPr>
        <w:tc>
          <w:tcPr>
            <w:tcW w:w="3269" w:type="pct"/>
            <w:tcMar>
              <w:top w:w="12" w:type="dxa"/>
              <w:left w:w="30" w:type="dxa"/>
              <w:bottom w:w="12" w:type="dxa"/>
              <w:right w:w="30" w:type="dxa"/>
            </w:tcMar>
            <w:vAlign w:val="center"/>
          </w:tcPr>
          <w:p w14:paraId="1CF765CA" w14:textId="77777777" w:rsidR="00B8619C" w:rsidRDefault="00000000">
            <w:pPr>
              <w:spacing w:after="0" w:line="216" w:lineRule="auto"/>
              <w:ind w:left="397"/>
            </w:pPr>
            <w:r>
              <w:rPr>
                <w:rFonts w:ascii="宋体" w:hAnsi="宋体"/>
                <w:sz w:val="16"/>
              </w:rPr>
              <w:t>5.8 分层模型组件消融</w:t>
            </w:r>
          </w:p>
        </w:tc>
        <w:tc>
          <w:tcPr>
            <w:tcW w:w="1731" w:type="pct"/>
            <w:tcMar>
              <w:top w:w="12" w:type="dxa"/>
              <w:left w:w="30" w:type="dxa"/>
              <w:bottom w:w="12" w:type="dxa"/>
              <w:right w:w="30" w:type="dxa"/>
            </w:tcMar>
            <w:vAlign w:val="center"/>
          </w:tcPr>
          <w:p w14:paraId="5A08B4A6" w14:textId="77777777" w:rsidR="00B8619C" w:rsidRDefault="00000000">
            <w:pPr>
              <w:spacing w:after="0" w:line="216" w:lineRule="auto"/>
              <w:jc w:val="right"/>
            </w:pPr>
            <w:r>
              <w:rPr>
                <w:rFonts w:ascii="宋体" w:hAnsi="宋体"/>
                <w:sz w:val="16"/>
              </w:rPr>
              <w:t>22</w:t>
            </w:r>
          </w:p>
        </w:tc>
      </w:tr>
      <w:tr w:rsidR="00B8619C" w14:paraId="21B7A472" w14:textId="77777777" w:rsidTr="00072BF2">
        <w:trPr>
          <w:jc w:val="center"/>
        </w:trPr>
        <w:tc>
          <w:tcPr>
            <w:tcW w:w="3269" w:type="pct"/>
            <w:tcMar>
              <w:top w:w="12" w:type="dxa"/>
              <w:left w:w="30" w:type="dxa"/>
              <w:bottom w:w="12" w:type="dxa"/>
              <w:right w:w="30" w:type="dxa"/>
            </w:tcMar>
            <w:vAlign w:val="center"/>
          </w:tcPr>
          <w:p w14:paraId="7AC8E6DC" w14:textId="77777777" w:rsidR="00B8619C" w:rsidRDefault="00000000">
            <w:pPr>
              <w:spacing w:after="0" w:line="216" w:lineRule="auto"/>
              <w:ind w:left="397"/>
            </w:pPr>
            <w:r>
              <w:rPr>
                <w:rFonts w:ascii="宋体" w:hAnsi="宋体"/>
                <w:sz w:val="16"/>
              </w:rPr>
              <w:t>5.9 固定映射命题的构造性一致性检查</w:t>
            </w:r>
          </w:p>
        </w:tc>
        <w:tc>
          <w:tcPr>
            <w:tcW w:w="1731" w:type="pct"/>
            <w:tcMar>
              <w:top w:w="12" w:type="dxa"/>
              <w:left w:w="30" w:type="dxa"/>
              <w:bottom w:w="12" w:type="dxa"/>
              <w:right w:w="30" w:type="dxa"/>
            </w:tcMar>
            <w:vAlign w:val="center"/>
          </w:tcPr>
          <w:p w14:paraId="084D8A19" w14:textId="77777777" w:rsidR="00B8619C" w:rsidRDefault="00000000">
            <w:pPr>
              <w:spacing w:after="0" w:line="216" w:lineRule="auto"/>
              <w:jc w:val="right"/>
            </w:pPr>
            <w:r>
              <w:rPr>
                <w:rFonts w:ascii="宋体" w:hAnsi="宋体"/>
                <w:sz w:val="16"/>
              </w:rPr>
              <w:t>22</w:t>
            </w:r>
          </w:p>
        </w:tc>
      </w:tr>
      <w:tr w:rsidR="00B8619C" w14:paraId="4BE24561" w14:textId="77777777" w:rsidTr="00072BF2">
        <w:trPr>
          <w:jc w:val="center"/>
        </w:trPr>
        <w:tc>
          <w:tcPr>
            <w:tcW w:w="3269" w:type="pct"/>
            <w:tcMar>
              <w:top w:w="12" w:type="dxa"/>
              <w:left w:w="30" w:type="dxa"/>
              <w:bottom w:w="12" w:type="dxa"/>
              <w:right w:w="30" w:type="dxa"/>
            </w:tcMar>
            <w:vAlign w:val="center"/>
          </w:tcPr>
          <w:p w14:paraId="1D2C6835" w14:textId="77777777" w:rsidR="00B8619C" w:rsidRDefault="00000000">
            <w:pPr>
              <w:spacing w:after="0" w:line="216" w:lineRule="auto"/>
              <w:ind w:left="397"/>
            </w:pPr>
            <w:r>
              <w:rPr>
                <w:rFonts w:ascii="宋体" w:hAnsi="宋体"/>
                <w:sz w:val="16"/>
              </w:rPr>
              <w:t>5.10 固定测试划分上的选择性识别</w:t>
            </w:r>
          </w:p>
        </w:tc>
        <w:tc>
          <w:tcPr>
            <w:tcW w:w="1731" w:type="pct"/>
            <w:tcMar>
              <w:top w:w="12" w:type="dxa"/>
              <w:left w:w="30" w:type="dxa"/>
              <w:bottom w:w="12" w:type="dxa"/>
              <w:right w:w="30" w:type="dxa"/>
            </w:tcMar>
            <w:vAlign w:val="center"/>
          </w:tcPr>
          <w:p w14:paraId="4BA674F9" w14:textId="77777777" w:rsidR="00B8619C" w:rsidRDefault="00000000">
            <w:pPr>
              <w:spacing w:after="0" w:line="216" w:lineRule="auto"/>
              <w:jc w:val="right"/>
            </w:pPr>
            <w:r>
              <w:rPr>
                <w:rFonts w:ascii="宋体" w:hAnsi="宋体"/>
                <w:sz w:val="16"/>
              </w:rPr>
              <w:t>22</w:t>
            </w:r>
          </w:p>
        </w:tc>
      </w:tr>
      <w:tr w:rsidR="00B8619C" w14:paraId="2EEEDAF5" w14:textId="77777777" w:rsidTr="00072BF2">
        <w:trPr>
          <w:jc w:val="center"/>
        </w:trPr>
        <w:tc>
          <w:tcPr>
            <w:tcW w:w="3269" w:type="pct"/>
            <w:tcMar>
              <w:top w:w="12" w:type="dxa"/>
              <w:left w:w="30" w:type="dxa"/>
              <w:bottom w:w="12" w:type="dxa"/>
              <w:right w:w="30" w:type="dxa"/>
            </w:tcMar>
            <w:vAlign w:val="center"/>
          </w:tcPr>
          <w:p w14:paraId="428C7AAC" w14:textId="77777777" w:rsidR="00B8619C" w:rsidRDefault="00000000">
            <w:pPr>
              <w:spacing w:after="0" w:line="216" w:lineRule="auto"/>
              <w:ind w:left="397"/>
            </w:pPr>
            <w:r>
              <w:rPr>
                <w:rFonts w:ascii="宋体" w:hAnsi="宋体"/>
                <w:sz w:val="16"/>
              </w:rPr>
              <w:t>5.11 实验结果的综合判断</w:t>
            </w:r>
          </w:p>
        </w:tc>
        <w:tc>
          <w:tcPr>
            <w:tcW w:w="1731" w:type="pct"/>
            <w:tcMar>
              <w:top w:w="12" w:type="dxa"/>
              <w:left w:w="30" w:type="dxa"/>
              <w:bottom w:w="12" w:type="dxa"/>
              <w:right w:w="30" w:type="dxa"/>
            </w:tcMar>
            <w:vAlign w:val="center"/>
          </w:tcPr>
          <w:p w14:paraId="224AE98F" w14:textId="77777777" w:rsidR="00B8619C" w:rsidRDefault="00000000">
            <w:pPr>
              <w:spacing w:after="0" w:line="216" w:lineRule="auto"/>
              <w:jc w:val="right"/>
            </w:pPr>
            <w:r>
              <w:rPr>
                <w:rFonts w:ascii="宋体" w:hAnsi="宋体"/>
                <w:sz w:val="16"/>
              </w:rPr>
              <w:t>23</w:t>
            </w:r>
          </w:p>
        </w:tc>
      </w:tr>
      <w:tr w:rsidR="00B8619C" w14:paraId="7B611B49" w14:textId="77777777" w:rsidTr="00072BF2">
        <w:trPr>
          <w:jc w:val="center"/>
        </w:trPr>
        <w:tc>
          <w:tcPr>
            <w:tcW w:w="3269" w:type="pct"/>
            <w:tcMar>
              <w:top w:w="12" w:type="dxa"/>
              <w:left w:w="30" w:type="dxa"/>
              <w:bottom w:w="12" w:type="dxa"/>
              <w:right w:w="30" w:type="dxa"/>
            </w:tcMar>
            <w:vAlign w:val="center"/>
          </w:tcPr>
          <w:p w14:paraId="1C52B1D6" w14:textId="77777777" w:rsidR="00B8619C" w:rsidRDefault="00000000">
            <w:pPr>
              <w:spacing w:after="0" w:line="216" w:lineRule="auto"/>
            </w:pPr>
            <w:r>
              <w:rPr>
                <w:rFonts w:ascii="宋体" w:hAnsi="宋体"/>
                <w:b/>
                <w:sz w:val="18"/>
              </w:rPr>
              <w:t>6 阶段性方法贡献与成果</w:t>
            </w:r>
          </w:p>
        </w:tc>
        <w:tc>
          <w:tcPr>
            <w:tcW w:w="1731" w:type="pct"/>
            <w:tcMar>
              <w:top w:w="12" w:type="dxa"/>
              <w:left w:w="30" w:type="dxa"/>
              <w:bottom w:w="12" w:type="dxa"/>
              <w:right w:w="30" w:type="dxa"/>
            </w:tcMar>
            <w:vAlign w:val="center"/>
          </w:tcPr>
          <w:p w14:paraId="2B7D2780" w14:textId="77777777" w:rsidR="00B8619C" w:rsidRDefault="00000000">
            <w:pPr>
              <w:spacing w:after="0" w:line="216" w:lineRule="auto"/>
              <w:jc w:val="right"/>
            </w:pPr>
            <w:r>
              <w:rPr>
                <w:rFonts w:ascii="宋体" w:hAnsi="宋体"/>
                <w:sz w:val="16"/>
              </w:rPr>
              <w:t>24</w:t>
            </w:r>
          </w:p>
        </w:tc>
      </w:tr>
      <w:tr w:rsidR="00B8619C" w14:paraId="71368314" w14:textId="77777777" w:rsidTr="00072BF2">
        <w:trPr>
          <w:jc w:val="center"/>
        </w:trPr>
        <w:tc>
          <w:tcPr>
            <w:tcW w:w="3269" w:type="pct"/>
            <w:tcMar>
              <w:top w:w="12" w:type="dxa"/>
              <w:left w:w="30" w:type="dxa"/>
              <w:bottom w:w="12" w:type="dxa"/>
              <w:right w:w="30" w:type="dxa"/>
            </w:tcMar>
            <w:vAlign w:val="center"/>
          </w:tcPr>
          <w:p w14:paraId="5760ABCA" w14:textId="77777777" w:rsidR="00B8619C" w:rsidRDefault="00000000">
            <w:pPr>
              <w:spacing w:after="0" w:line="216" w:lineRule="auto"/>
              <w:ind w:left="397"/>
            </w:pPr>
            <w:r>
              <w:rPr>
                <w:rFonts w:ascii="宋体" w:hAnsi="宋体"/>
                <w:sz w:val="16"/>
              </w:rPr>
              <w:t>6.1 阶段性方法贡献</w:t>
            </w:r>
          </w:p>
        </w:tc>
        <w:tc>
          <w:tcPr>
            <w:tcW w:w="1731" w:type="pct"/>
            <w:tcMar>
              <w:top w:w="12" w:type="dxa"/>
              <w:left w:w="30" w:type="dxa"/>
              <w:bottom w:w="12" w:type="dxa"/>
              <w:right w:w="30" w:type="dxa"/>
            </w:tcMar>
            <w:vAlign w:val="center"/>
          </w:tcPr>
          <w:p w14:paraId="32AB505B" w14:textId="77777777" w:rsidR="00B8619C" w:rsidRDefault="00000000">
            <w:pPr>
              <w:spacing w:after="0" w:line="216" w:lineRule="auto"/>
              <w:jc w:val="right"/>
            </w:pPr>
            <w:r>
              <w:rPr>
                <w:rFonts w:ascii="宋体" w:hAnsi="宋体"/>
                <w:sz w:val="16"/>
              </w:rPr>
              <w:t>24</w:t>
            </w:r>
          </w:p>
        </w:tc>
      </w:tr>
      <w:tr w:rsidR="00B8619C" w14:paraId="63D98166" w14:textId="77777777" w:rsidTr="00072BF2">
        <w:trPr>
          <w:jc w:val="center"/>
        </w:trPr>
        <w:tc>
          <w:tcPr>
            <w:tcW w:w="3269" w:type="pct"/>
            <w:tcMar>
              <w:top w:w="12" w:type="dxa"/>
              <w:left w:w="30" w:type="dxa"/>
              <w:bottom w:w="12" w:type="dxa"/>
              <w:right w:w="30" w:type="dxa"/>
            </w:tcMar>
            <w:vAlign w:val="center"/>
          </w:tcPr>
          <w:p w14:paraId="534F962B" w14:textId="77777777" w:rsidR="00B8619C" w:rsidRDefault="00000000">
            <w:pPr>
              <w:spacing w:after="0" w:line="216" w:lineRule="auto"/>
              <w:ind w:left="397"/>
            </w:pPr>
            <w:r>
              <w:rPr>
                <w:rFonts w:ascii="宋体" w:hAnsi="宋体"/>
                <w:sz w:val="16"/>
              </w:rPr>
              <w:t>6.2 与已有工作的区别</w:t>
            </w:r>
          </w:p>
        </w:tc>
        <w:tc>
          <w:tcPr>
            <w:tcW w:w="1731" w:type="pct"/>
            <w:tcMar>
              <w:top w:w="12" w:type="dxa"/>
              <w:left w:w="30" w:type="dxa"/>
              <w:bottom w:w="12" w:type="dxa"/>
              <w:right w:w="30" w:type="dxa"/>
            </w:tcMar>
            <w:vAlign w:val="center"/>
          </w:tcPr>
          <w:p w14:paraId="2F40CBDC" w14:textId="77777777" w:rsidR="00B8619C" w:rsidRDefault="00000000">
            <w:pPr>
              <w:spacing w:after="0" w:line="216" w:lineRule="auto"/>
              <w:jc w:val="right"/>
            </w:pPr>
            <w:r>
              <w:rPr>
                <w:rFonts w:ascii="宋体" w:hAnsi="宋体"/>
                <w:sz w:val="16"/>
              </w:rPr>
              <w:t>24</w:t>
            </w:r>
          </w:p>
        </w:tc>
      </w:tr>
      <w:tr w:rsidR="00B8619C" w14:paraId="13222DD8" w14:textId="77777777" w:rsidTr="00072BF2">
        <w:trPr>
          <w:jc w:val="center"/>
        </w:trPr>
        <w:tc>
          <w:tcPr>
            <w:tcW w:w="3269" w:type="pct"/>
            <w:tcMar>
              <w:top w:w="12" w:type="dxa"/>
              <w:left w:w="30" w:type="dxa"/>
              <w:bottom w:w="12" w:type="dxa"/>
              <w:right w:w="30" w:type="dxa"/>
            </w:tcMar>
            <w:vAlign w:val="center"/>
          </w:tcPr>
          <w:p w14:paraId="2A461506" w14:textId="77777777" w:rsidR="00B8619C" w:rsidRDefault="00000000">
            <w:pPr>
              <w:spacing w:after="0" w:line="216" w:lineRule="auto"/>
              <w:ind w:left="397"/>
            </w:pPr>
            <w:r>
              <w:rPr>
                <w:rFonts w:ascii="宋体" w:hAnsi="宋体"/>
                <w:sz w:val="16"/>
              </w:rPr>
              <w:t>6.3 阶段性成果</w:t>
            </w:r>
          </w:p>
        </w:tc>
        <w:tc>
          <w:tcPr>
            <w:tcW w:w="1731" w:type="pct"/>
            <w:tcMar>
              <w:top w:w="12" w:type="dxa"/>
              <w:left w:w="30" w:type="dxa"/>
              <w:bottom w:w="12" w:type="dxa"/>
              <w:right w:w="30" w:type="dxa"/>
            </w:tcMar>
            <w:vAlign w:val="center"/>
          </w:tcPr>
          <w:p w14:paraId="5DA16164" w14:textId="77777777" w:rsidR="00B8619C" w:rsidRDefault="00000000">
            <w:pPr>
              <w:spacing w:after="0" w:line="216" w:lineRule="auto"/>
              <w:jc w:val="right"/>
            </w:pPr>
            <w:r>
              <w:rPr>
                <w:rFonts w:ascii="宋体" w:hAnsi="宋体"/>
                <w:sz w:val="16"/>
              </w:rPr>
              <w:t>24</w:t>
            </w:r>
          </w:p>
        </w:tc>
      </w:tr>
      <w:tr w:rsidR="00B8619C" w14:paraId="3B61BBA0" w14:textId="77777777" w:rsidTr="00072BF2">
        <w:trPr>
          <w:jc w:val="center"/>
        </w:trPr>
        <w:tc>
          <w:tcPr>
            <w:tcW w:w="3269" w:type="pct"/>
            <w:tcMar>
              <w:top w:w="12" w:type="dxa"/>
              <w:left w:w="30" w:type="dxa"/>
              <w:bottom w:w="12" w:type="dxa"/>
              <w:right w:w="30" w:type="dxa"/>
            </w:tcMar>
            <w:vAlign w:val="center"/>
          </w:tcPr>
          <w:p w14:paraId="21457C41" w14:textId="77777777" w:rsidR="00B8619C" w:rsidRDefault="00000000">
            <w:pPr>
              <w:spacing w:after="0" w:line="216" w:lineRule="auto"/>
            </w:pPr>
            <w:r>
              <w:rPr>
                <w:rFonts w:ascii="宋体" w:hAnsi="宋体"/>
                <w:b/>
                <w:sz w:val="18"/>
              </w:rPr>
              <w:t>7 局限性与后续研究</w:t>
            </w:r>
          </w:p>
        </w:tc>
        <w:tc>
          <w:tcPr>
            <w:tcW w:w="1731" w:type="pct"/>
            <w:tcMar>
              <w:top w:w="12" w:type="dxa"/>
              <w:left w:w="30" w:type="dxa"/>
              <w:bottom w:w="12" w:type="dxa"/>
              <w:right w:w="30" w:type="dxa"/>
            </w:tcMar>
            <w:vAlign w:val="center"/>
          </w:tcPr>
          <w:p w14:paraId="01BC99B7" w14:textId="77777777" w:rsidR="00B8619C" w:rsidRDefault="00000000">
            <w:pPr>
              <w:spacing w:after="0" w:line="216" w:lineRule="auto"/>
              <w:jc w:val="right"/>
            </w:pPr>
            <w:r>
              <w:rPr>
                <w:rFonts w:ascii="宋体" w:hAnsi="宋体"/>
                <w:sz w:val="16"/>
              </w:rPr>
              <w:t>25</w:t>
            </w:r>
          </w:p>
        </w:tc>
      </w:tr>
      <w:tr w:rsidR="00B8619C" w14:paraId="1F5E86BB" w14:textId="77777777" w:rsidTr="00072BF2">
        <w:trPr>
          <w:jc w:val="center"/>
        </w:trPr>
        <w:tc>
          <w:tcPr>
            <w:tcW w:w="3269" w:type="pct"/>
            <w:tcMar>
              <w:top w:w="12" w:type="dxa"/>
              <w:left w:w="30" w:type="dxa"/>
              <w:bottom w:w="12" w:type="dxa"/>
              <w:right w:w="30" w:type="dxa"/>
            </w:tcMar>
            <w:vAlign w:val="center"/>
          </w:tcPr>
          <w:p w14:paraId="2F67C12B" w14:textId="77777777" w:rsidR="00B8619C" w:rsidRDefault="00000000">
            <w:pPr>
              <w:spacing w:after="0" w:line="216" w:lineRule="auto"/>
              <w:ind w:left="397"/>
            </w:pPr>
            <w:r>
              <w:rPr>
                <w:rFonts w:ascii="宋体" w:hAnsi="宋体"/>
                <w:sz w:val="16"/>
              </w:rPr>
              <w:t>7.1 当前局限性</w:t>
            </w:r>
          </w:p>
        </w:tc>
        <w:tc>
          <w:tcPr>
            <w:tcW w:w="1731" w:type="pct"/>
            <w:tcMar>
              <w:top w:w="12" w:type="dxa"/>
              <w:left w:w="30" w:type="dxa"/>
              <w:bottom w:w="12" w:type="dxa"/>
              <w:right w:w="30" w:type="dxa"/>
            </w:tcMar>
            <w:vAlign w:val="center"/>
          </w:tcPr>
          <w:p w14:paraId="3A6A6983" w14:textId="77777777" w:rsidR="00B8619C" w:rsidRDefault="00000000">
            <w:pPr>
              <w:spacing w:after="0" w:line="216" w:lineRule="auto"/>
              <w:jc w:val="right"/>
            </w:pPr>
            <w:r>
              <w:rPr>
                <w:rFonts w:ascii="宋体" w:hAnsi="宋体"/>
                <w:sz w:val="16"/>
              </w:rPr>
              <w:t>25</w:t>
            </w:r>
          </w:p>
        </w:tc>
      </w:tr>
      <w:tr w:rsidR="00B8619C" w14:paraId="57C6D833" w14:textId="77777777" w:rsidTr="00072BF2">
        <w:trPr>
          <w:jc w:val="center"/>
        </w:trPr>
        <w:tc>
          <w:tcPr>
            <w:tcW w:w="3269" w:type="pct"/>
            <w:tcMar>
              <w:top w:w="12" w:type="dxa"/>
              <w:left w:w="30" w:type="dxa"/>
              <w:bottom w:w="12" w:type="dxa"/>
              <w:right w:w="30" w:type="dxa"/>
            </w:tcMar>
            <w:vAlign w:val="center"/>
          </w:tcPr>
          <w:p w14:paraId="086379FF" w14:textId="77777777" w:rsidR="00B8619C" w:rsidRDefault="00000000">
            <w:pPr>
              <w:spacing w:after="0" w:line="216" w:lineRule="auto"/>
              <w:ind w:left="397"/>
            </w:pPr>
            <w:r>
              <w:rPr>
                <w:rFonts w:ascii="宋体" w:hAnsi="宋体"/>
                <w:sz w:val="16"/>
              </w:rPr>
              <w:t>7.2 近期优先工作</w:t>
            </w:r>
          </w:p>
        </w:tc>
        <w:tc>
          <w:tcPr>
            <w:tcW w:w="1731" w:type="pct"/>
            <w:tcMar>
              <w:top w:w="12" w:type="dxa"/>
              <w:left w:w="30" w:type="dxa"/>
              <w:bottom w:w="12" w:type="dxa"/>
              <w:right w:w="30" w:type="dxa"/>
            </w:tcMar>
            <w:vAlign w:val="center"/>
          </w:tcPr>
          <w:p w14:paraId="6B4BD8BE" w14:textId="77777777" w:rsidR="00B8619C" w:rsidRDefault="00000000">
            <w:pPr>
              <w:spacing w:after="0" w:line="216" w:lineRule="auto"/>
              <w:jc w:val="right"/>
            </w:pPr>
            <w:r>
              <w:rPr>
                <w:rFonts w:ascii="宋体" w:hAnsi="宋体"/>
                <w:sz w:val="16"/>
              </w:rPr>
              <w:t>25</w:t>
            </w:r>
          </w:p>
        </w:tc>
      </w:tr>
      <w:tr w:rsidR="00B8619C" w14:paraId="250907E7" w14:textId="77777777" w:rsidTr="00072BF2">
        <w:trPr>
          <w:jc w:val="center"/>
        </w:trPr>
        <w:tc>
          <w:tcPr>
            <w:tcW w:w="3269" w:type="pct"/>
            <w:tcMar>
              <w:top w:w="12" w:type="dxa"/>
              <w:left w:w="30" w:type="dxa"/>
              <w:bottom w:w="12" w:type="dxa"/>
              <w:right w:w="30" w:type="dxa"/>
            </w:tcMar>
            <w:vAlign w:val="center"/>
          </w:tcPr>
          <w:p w14:paraId="0260FB04" w14:textId="77777777" w:rsidR="00B8619C" w:rsidRDefault="00000000">
            <w:pPr>
              <w:spacing w:after="0" w:line="216" w:lineRule="auto"/>
              <w:ind w:left="397"/>
            </w:pPr>
            <w:r>
              <w:rPr>
                <w:rFonts w:ascii="宋体" w:hAnsi="宋体"/>
                <w:sz w:val="16"/>
              </w:rPr>
              <w:t>7.3 中期研究方向</w:t>
            </w:r>
          </w:p>
        </w:tc>
        <w:tc>
          <w:tcPr>
            <w:tcW w:w="1731" w:type="pct"/>
            <w:tcMar>
              <w:top w:w="12" w:type="dxa"/>
              <w:left w:w="30" w:type="dxa"/>
              <w:bottom w:w="12" w:type="dxa"/>
              <w:right w:w="30" w:type="dxa"/>
            </w:tcMar>
            <w:vAlign w:val="center"/>
          </w:tcPr>
          <w:p w14:paraId="5D8A7DCD" w14:textId="77777777" w:rsidR="00B8619C" w:rsidRDefault="00000000">
            <w:pPr>
              <w:spacing w:after="0" w:line="216" w:lineRule="auto"/>
              <w:jc w:val="right"/>
            </w:pPr>
            <w:r>
              <w:rPr>
                <w:rFonts w:ascii="宋体" w:hAnsi="宋体"/>
                <w:sz w:val="16"/>
              </w:rPr>
              <w:t>25</w:t>
            </w:r>
          </w:p>
        </w:tc>
      </w:tr>
      <w:tr w:rsidR="00B8619C" w14:paraId="5F2642A9" w14:textId="77777777" w:rsidTr="00072BF2">
        <w:trPr>
          <w:jc w:val="center"/>
        </w:trPr>
        <w:tc>
          <w:tcPr>
            <w:tcW w:w="3269" w:type="pct"/>
            <w:tcMar>
              <w:top w:w="12" w:type="dxa"/>
              <w:left w:w="30" w:type="dxa"/>
              <w:bottom w:w="12" w:type="dxa"/>
              <w:right w:w="30" w:type="dxa"/>
            </w:tcMar>
            <w:vAlign w:val="center"/>
          </w:tcPr>
          <w:p w14:paraId="6680FF02" w14:textId="77777777" w:rsidR="00B8619C" w:rsidRDefault="00000000">
            <w:pPr>
              <w:spacing w:after="0" w:line="216" w:lineRule="auto"/>
            </w:pPr>
            <w:r>
              <w:rPr>
                <w:rFonts w:ascii="宋体" w:hAnsi="宋体"/>
                <w:b/>
                <w:sz w:val="18"/>
              </w:rPr>
              <w:t>8 结论</w:t>
            </w:r>
          </w:p>
        </w:tc>
        <w:tc>
          <w:tcPr>
            <w:tcW w:w="1731" w:type="pct"/>
            <w:tcMar>
              <w:top w:w="12" w:type="dxa"/>
              <w:left w:w="30" w:type="dxa"/>
              <w:bottom w:w="12" w:type="dxa"/>
              <w:right w:w="30" w:type="dxa"/>
            </w:tcMar>
            <w:vAlign w:val="center"/>
          </w:tcPr>
          <w:p w14:paraId="7DC3E49C" w14:textId="77777777" w:rsidR="00B8619C" w:rsidRDefault="00000000">
            <w:pPr>
              <w:spacing w:after="0" w:line="216" w:lineRule="auto"/>
              <w:jc w:val="right"/>
            </w:pPr>
            <w:r>
              <w:rPr>
                <w:rFonts w:ascii="宋体" w:hAnsi="宋体"/>
                <w:sz w:val="16"/>
              </w:rPr>
              <w:t>26</w:t>
            </w:r>
          </w:p>
        </w:tc>
      </w:tr>
      <w:tr w:rsidR="00B8619C" w14:paraId="6CFB532C" w14:textId="77777777" w:rsidTr="00072BF2">
        <w:trPr>
          <w:jc w:val="center"/>
        </w:trPr>
        <w:tc>
          <w:tcPr>
            <w:tcW w:w="3269" w:type="pct"/>
            <w:tcMar>
              <w:top w:w="12" w:type="dxa"/>
              <w:left w:w="30" w:type="dxa"/>
              <w:bottom w:w="12" w:type="dxa"/>
              <w:right w:w="30" w:type="dxa"/>
            </w:tcMar>
            <w:vAlign w:val="center"/>
          </w:tcPr>
          <w:p w14:paraId="59D82F53" w14:textId="77777777" w:rsidR="00B8619C" w:rsidRDefault="00000000">
            <w:pPr>
              <w:spacing w:after="0" w:line="216" w:lineRule="auto"/>
            </w:pPr>
            <w:r>
              <w:rPr>
                <w:rFonts w:ascii="宋体" w:hAnsi="宋体"/>
                <w:b/>
                <w:sz w:val="18"/>
              </w:rPr>
              <w:t>参考文献</w:t>
            </w:r>
          </w:p>
        </w:tc>
        <w:tc>
          <w:tcPr>
            <w:tcW w:w="1731" w:type="pct"/>
            <w:tcMar>
              <w:top w:w="12" w:type="dxa"/>
              <w:left w:w="30" w:type="dxa"/>
              <w:bottom w:w="12" w:type="dxa"/>
              <w:right w:w="30" w:type="dxa"/>
            </w:tcMar>
            <w:vAlign w:val="center"/>
          </w:tcPr>
          <w:p w14:paraId="559C6C80" w14:textId="77777777" w:rsidR="00B8619C" w:rsidRDefault="00000000">
            <w:pPr>
              <w:spacing w:after="0" w:line="216" w:lineRule="auto"/>
              <w:jc w:val="right"/>
            </w:pPr>
            <w:r>
              <w:rPr>
                <w:rFonts w:ascii="宋体" w:hAnsi="宋体"/>
                <w:sz w:val="16"/>
              </w:rPr>
              <w:t>27</w:t>
            </w:r>
          </w:p>
        </w:tc>
      </w:tr>
      <w:tr w:rsidR="00B8619C" w14:paraId="39349173" w14:textId="77777777" w:rsidTr="00072BF2">
        <w:trPr>
          <w:jc w:val="center"/>
        </w:trPr>
        <w:tc>
          <w:tcPr>
            <w:tcW w:w="3269" w:type="pct"/>
            <w:tcMar>
              <w:top w:w="12" w:type="dxa"/>
              <w:left w:w="30" w:type="dxa"/>
              <w:bottom w:w="12" w:type="dxa"/>
              <w:right w:w="30" w:type="dxa"/>
            </w:tcMar>
            <w:vAlign w:val="center"/>
          </w:tcPr>
          <w:p w14:paraId="00B2B5AD" w14:textId="77777777" w:rsidR="00B8619C" w:rsidRDefault="00000000">
            <w:pPr>
              <w:spacing w:after="0" w:line="216" w:lineRule="auto"/>
            </w:pPr>
            <w:r>
              <w:rPr>
                <w:rFonts w:ascii="宋体" w:hAnsi="宋体"/>
                <w:b/>
                <w:sz w:val="18"/>
              </w:rPr>
              <w:t>附录 A 数据字段与复现说明</w:t>
            </w:r>
          </w:p>
        </w:tc>
        <w:tc>
          <w:tcPr>
            <w:tcW w:w="1731" w:type="pct"/>
            <w:tcMar>
              <w:top w:w="12" w:type="dxa"/>
              <w:left w:w="30" w:type="dxa"/>
              <w:bottom w:w="12" w:type="dxa"/>
              <w:right w:w="30" w:type="dxa"/>
            </w:tcMar>
            <w:vAlign w:val="center"/>
          </w:tcPr>
          <w:p w14:paraId="62F05688" w14:textId="77777777" w:rsidR="00B8619C" w:rsidRDefault="00000000">
            <w:pPr>
              <w:spacing w:after="0" w:line="216" w:lineRule="auto"/>
              <w:jc w:val="right"/>
            </w:pPr>
            <w:r>
              <w:rPr>
                <w:rFonts w:ascii="宋体" w:hAnsi="宋体"/>
                <w:sz w:val="16"/>
              </w:rPr>
              <w:t>28</w:t>
            </w:r>
          </w:p>
        </w:tc>
      </w:tr>
      <w:tr w:rsidR="00B8619C" w14:paraId="67384C98" w14:textId="77777777" w:rsidTr="00072BF2">
        <w:trPr>
          <w:jc w:val="center"/>
        </w:trPr>
        <w:tc>
          <w:tcPr>
            <w:tcW w:w="3269" w:type="pct"/>
            <w:tcMar>
              <w:top w:w="12" w:type="dxa"/>
              <w:left w:w="30" w:type="dxa"/>
              <w:bottom w:w="12" w:type="dxa"/>
              <w:right w:w="30" w:type="dxa"/>
            </w:tcMar>
            <w:vAlign w:val="center"/>
          </w:tcPr>
          <w:p w14:paraId="30BCB940" w14:textId="77777777" w:rsidR="00B8619C" w:rsidRDefault="00000000">
            <w:pPr>
              <w:spacing w:after="0" w:line="216" w:lineRule="auto"/>
              <w:ind w:left="397"/>
            </w:pPr>
            <w:r>
              <w:rPr>
                <w:rFonts w:ascii="宋体" w:hAnsi="宋体"/>
                <w:sz w:val="16"/>
              </w:rPr>
              <w:t>A.1 关键数据字段</w:t>
            </w:r>
          </w:p>
        </w:tc>
        <w:tc>
          <w:tcPr>
            <w:tcW w:w="1731" w:type="pct"/>
            <w:tcMar>
              <w:top w:w="12" w:type="dxa"/>
              <w:left w:w="30" w:type="dxa"/>
              <w:bottom w:w="12" w:type="dxa"/>
              <w:right w:w="30" w:type="dxa"/>
            </w:tcMar>
            <w:vAlign w:val="center"/>
          </w:tcPr>
          <w:p w14:paraId="531BA93C" w14:textId="77777777" w:rsidR="00B8619C" w:rsidRDefault="00000000">
            <w:pPr>
              <w:spacing w:after="0" w:line="216" w:lineRule="auto"/>
              <w:jc w:val="right"/>
            </w:pPr>
            <w:r>
              <w:rPr>
                <w:rFonts w:ascii="宋体" w:hAnsi="宋体"/>
                <w:sz w:val="16"/>
              </w:rPr>
              <w:t>28</w:t>
            </w:r>
          </w:p>
        </w:tc>
      </w:tr>
      <w:tr w:rsidR="00B8619C" w14:paraId="267D7E20" w14:textId="77777777" w:rsidTr="00072BF2">
        <w:trPr>
          <w:jc w:val="center"/>
        </w:trPr>
        <w:tc>
          <w:tcPr>
            <w:tcW w:w="3269" w:type="pct"/>
            <w:tcMar>
              <w:top w:w="12" w:type="dxa"/>
              <w:left w:w="30" w:type="dxa"/>
              <w:bottom w:w="12" w:type="dxa"/>
              <w:right w:w="30" w:type="dxa"/>
            </w:tcMar>
            <w:vAlign w:val="center"/>
          </w:tcPr>
          <w:p w14:paraId="75DF4F56" w14:textId="77777777" w:rsidR="00B8619C" w:rsidRDefault="00000000">
            <w:pPr>
              <w:spacing w:after="0" w:line="216" w:lineRule="auto"/>
              <w:ind w:left="397"/>
            </w:pPr>
            <w:r>
              <w:rPr>
                <w:rFonts w:ascii="宋体" w:hAnsi="宋体"/>
                <w:sz w:val="16"/>
              </w:rPr>
              <w:t>A.2 可复现材料</w:t>
            </w:r>
          </w:p>
        </w:tc>
        <w:tc>
          <w:tcPr>
            <w:tcW w:w="1731" w:type="pct"/>
            <w:tcMar>
              <w:top w:w="12" w:type="dxa"/>
              <w:left w:w="30" w:type="dxa"/>
              <w:bottom w:w="12" w:type="dxa"/>
              <w:right w:w="30" w:type="dxa"/>
            </w:tcMar>
            <w:vAlign w:val="center"/>
          </w:tcPr>
          <w:p w14:paraId="12F39A92" w14:textId="77777777" w:rsidR="00B8619C" w:rsidRDefault="00000000">
            <w:pPr>
              <w:spacing w:after="0" w:line="216" w:lineRule="auto"/>
              <w:jc w:val="right"/>
            </w:pPr>
            <w:r>
              <w:rPr>
                <w:rFonts w:ascii="宋体" w:hAnsi="宋体"/>
                <w:sz w:val="16"/>
              </w:rPr>
              <w:t>28</w:t>
            </w:r>
          </w:p>
        </w:tc>
      </w:tr>
      <w:tr w:rsidR="00B8619C" w14:paraId="4520E578" w14:textId="77777777" w:rsidTr="00072BF2">
        <w:trPr>
          <w:jc w:val="center"/>
        </w:trPr>
        <w:tc>
          <w:tcPr>
            <w:tcW w:w="3269" w:type="pct"/>
          </w:tcPr>
          <w:p w14:paraId="375C561C" w14:textId="77777777" w:rsidR="00B8619C" w:rsidRDefault="00000000">
            <w:pPr>
              <w:spacing w:after="0" w:line="216" w:lineRule="auto"/>
              <w:ind w:left="397"/>
            </w:pPr>
            <w:r>
              <w:rPr>
                <w:rFonts w:ascii="宋体" w:hAnsi="宋体"/>
                <w:sz w:val="16"/>
              </w:rPr>
              <w:t>A.3 结题前待补信息</w:t>
            </w:r>
          </w:p>
        </w:tc>
        <w:tc>
          <w:tcPr>
            <w:tcW w:w="1731" w:type="pct"/>
          </w:tcPr>
          <w:p w14:paraId="6C604AC2" w14:textId="77777777" w:rsidR="00B8619C" w:rsidRDefault="00000000">
            <w:pPr>
              <w:spacing w:after="0" w:line="216" w:lineRule="auto"/>
              <w:jc w:val="right"/>
            </w:pPr>
            <w:r>
              <w:rPr>
                <w:rFonts w:ascii="宋体" w:hAnsi="宋体"/>
                <w:sz w:val="16"/>
              </w:rPr>
              <w:t>28</w:t>
            </w:r>
          </w:p>
        </w:tc>
      </w:tr>
    </w:tbl>
    <w:p w14:paraId="1A100323" w14:textId="77777777" w:rsidR="00B8619C" w:rsidRDefault="00000000">
      <w:r>
        <w:br w:type="page"/>
      </w:r>
    </w:p>
    <w:p w14:paraId="735527AF" w14:textId="77777777" w:rsidR="00B8619C" w:rsidRDefault="00000000">
      <w:pPr>
        <w:pStyle w:val="1"/>
        <w:pageBreakBefore/>
      </w:pPr>
      <w:r>
        <w:lastRenderedPageBreak/>
        <w:t xml:space="preserve">1 </w:t>
      </w:r>
      <w:r>
        <w:t>研究背景与目标</w:t>
      </w:r>
    </w:p>
    <w:p w14:paraId="24E059D7" w14:textId="77777777" w:rsidR="00B8619C" w:rsidRDefault="00000000">
      <w:pPr>
        <w:pStyle w:val="21"/>
      </w:pPr>
      <w:r>
        <w:t xml:space="preserve">1.1 </w:t>
      </w:r>
      <w:r>
        <w:t>研究背景</w:t>
      </w:r>
    </w:p>
    <w:p w14:paraId="4DE34AEC" w14:textId="77777777" w:rsidR="00B8619C" w:rsidRDefault="00000000">
      <w:pPr>
        <w:ind w:firstLine="420"/>
        <w:jc w:val="both"/>
      </w:pPr>
      <w:r>
        <w:t>钒、钛、铁等战略金属的高效利用依赖于对矿石组分、伴生矿物和脉石的有效识别。传统矿物鉴定通常需要显微镜、</w:t>
      </w:r>
      <w:r>
        <w:t xml:space="preserve">X </w:t>
      </w:r>
      <w:r>
        <w:t>射线荧光光谱、</w:t>
      </w:r>
      <w:r>
        <w:t xml:space="preserve">X </w:t>
      </w:r>
      <w:r>
        <w:t>射线衍射或化学分析等手段，具有可靠性高但设备依赖强、现场快速初筛成本较高的特点。机器视觉和深度学习可以从颜色、光泽、晶体形态、粒度与基质等可见外观线索中提取特征，为矿物识别和预选提供辅助信息。</w:t>
      </w:r>
    </w:p>
    <w:p w14:paraId="23BE13F5" w14:textId="77777777" w:rsidR="00B8619C" w:rsidRDefault="00000000">
      <w:pPr>
        <w:ind w:firstLine="420"/>
        <w:jc w:val="both"/>
      </w:pPr>
      <w:r>
        <w:t>钛磁铁矿是由主晶矿物与多种客晶矿物组成的复杂复合矿物，不同矿区在化学组成、嵌布粒度、磁性和蚀变程度上存在明显差异</w:t>
      </w:r>
      <w:r>
        <w:t>[11]</w:t>
      </w:r>
      <w:r>
        <w:t>。部分客晶尺度远小于普通宏观</w:t>
      </w:r>
      <w:r>
        <w:t xml:space="preserve"> RGB </w:t>
      </w:r>
      <w:r>
        <w:t>图像的有效分辨能力，因此本研究不将视觉分类结果解释为钒、钛或铁含量、矿相组成及工业品位，而是将其定位为相关矿物可见外观的识别代理。</w:t>
      </w:r>
    </w:p>
    <w:p w14:paraId="4E1057C6" w14:textId="77777777" w:rsidR="00B8619C" w:rsidRDefault="00000000">
      <w:pPr>
        <w:ind w:firstLine="420"/>
        <w:jc w:val="both"/>
      </w:pPr>
      <w:r>
        <w:t>与受控工业相机或皮带场景图像不同，公开矿物标本照片的来源、背景、尺度、拍摄风格和伴生关系更为复杂。利用此类数据建立来源可追溯、划分受控的识别基线，可以为后续真实矿石颗粒图像、光谱信息及工艺变量融合提供研究基础，同时也要求更加谨慎地处理标签歧义、来源泄漏和领域偏移。</w:t>
      </w:r>
    </w:p>
    <w:p w14:paraId="6404227D" w14:textId="77777777" w:rsidR="00B8619C" w:rsidRDefault="00000000">
      <w:pPr>
        <w:pStyle w:val="21"/>
      </w:pPr>
      <w:r>
        <w:t xml:space="preserve">1.2 </w:t>
      </w:r>
      <w:r>
        <w:t>国内外研究现状与本研究差异</w:t>
      </w:r>
    </w:p>
    <w:p w14:paraId="0DAC1444" w14:textId="77777777" w:rsidR="00B8619C" w:rsidRDefault="00000000">
      <w:pPr>
        <w:ind w:firstLine="420"/>
        <w:jc w:val="both"/>
      </w:pPr>
      <w:r>
        <w:t>已有研究已经覆盖矿物图像分类、多标签识别、未知矿物拒识、跨数据集测试和真实矿石视觉分选等方向。宁金以真实钒钛矿石和受控成像装置开展良品</w:t>
      </w:r>
      <w:r>
        <w:t>/</w:t>
      </w:r>
      <w:r>
        <w:t>次品二分类，并比较传统纹理特征、</w:t>
      </w:r>
      <w:r>
        <w:t xml:space="preserve">SVM </w:t>
      </w:r>
      <w:r>
        <w:t>与多种深度网络</w:t>
      </w:r>
      <w:r>
        <w:t>[10]</w:t>
      </w:r>
      <w:r>
        <w:t>；</w:t>
      </w:r>
      <w:r>
        <w:t xml:space="preserve">Wu </w:t>
      </w:r>
      <w:r>
        <w:t>等针对</w:t>
      </w:r>
      <w:r>
        <w:t xml:space="preserve"> Mindat </w:t>
      </w:r>
      <w:r>
        <w:t>图片中伴生矿物共存问题开展多标签矿物识别</w:t>
      </w:r>
      <w:r>
        <w:t>[4]</w:t>
      </w:r>
      <w:r>
        <w:t>；</w:t>
      </w:r>
      <w:r>
        <w:t xml:space="preserve">MineralImage5k </w:t>
      </w:r>
      <w:r>
        <w:t>强调原始矿物图像识别与跨数据集评价</w:t>
      </w:r>
      <w:r>
        <w:t>[3]</w:t>
      </w:r>
      <w:r>
        <w:t>；</w:t>
      </w:r>
      <w:r>
        <w:t xml:space="preserve">Ji </w:t>
      </w:r>
      <w:r>
        <w:t>等进一步研究了未知矿物的分布外检测</w:t>
      </w:r>
      <w:r>
        <w:t>[5]</w:t>
      </w:r>
      <w:r>
        <w:t>。此外，钒钛磁铁矿相关机器学习研究还包括地球物理属性分类</w:t>
      </w:r>
      <w:r>
        <w:t>[1]</w:t>
      </w:r>
      <w:r>
        <w:t>和便携式</w:t>
      </w:r>
      <w:r>
        <w:t xml:space="preserve"> XRF </w:t>
      </w:r>
      <w:r>
        <w:t>光谱分类</w:t>
      </w:r>
      <w:r>
        <w:t>[2]</w:t>
      </w:r>
      <w:r>
        <w:t>，其输入模态与本研究的</w:t>
      </w:r>
      <w:r>
        <w:t xml:space="preserve"> RGB </w:t>
      </w:r>
      <w:r>
        <w:t>标本图像不同。</w:t>
      </w:r>
    </w:p>
    <w:tbl>
      <w:tblPr>
        <w:tblStyle w:val="aff1"/>
        <w:tblW w:w="0" w:type="auto"/>
        <w:jc w:val="center"/>
        <w:tblLayout w:type="fixed"/>
        <w:tblLook w:val="04A0" w:firstRow="1" w:lastRow="0" w:firstColumn="1" w:lastColumn="0" w:noHBand="0" w:noVBand="1"/>
      </w:tblPr>
      <w:tblGrid>
        <w:gridCol w:w="1928"/>
        <w:gridCol w:w="3118"/>
        <w:gridCol w:w="4139"/>
      </w:tblGrid>
      <w:tr w:rsidR="00B8619C" w14:paraId="4954FA3B" w14:textId="77777777">
        <w:trPr>
          <w:cantSplit/>
          <w:tblHeader/>
          <w:jc w:val="center"/>
        </w:trPr>
        <w:tc>
          <w:tcPr>
            <w:tcW w:w="1928" w:type="dxa"/>
            <w:shd w:val="clear" w:color="auto" w:fill="D9EAF7"/>
            <w:tcMar>
              <w:top w:w="80" w:type="dxa"/>
              <w:left w:w="90" w:type="dxa"/>
              <w:bottom w:w="80" w:type="dxa"/>
              <w:right w:w="90" w:type="dxa"/>
            </w:tcMar>
            <w:vAlign w:val="center"/>
          </w:tcPr>
          <w:p w14:paraId="1D923C0A" w14:textId="77777777" w:rsidR="00B8619C" w:rsidRDefault="00000000">
            <w:pPr>
              <w:spacing w:after="0" w:line="264" w:lineRule="auto"/>
              <w:jc w:val="center"/>
            </w:pPr>
            <w:r>
              <w:rPr>
                <w:rFonts w:eastAsia="黑体"/>
                <w:b/>
                <w:sz w:val="16"/>
              </w:rPr>
              <w:t>代表性工作</w:t>
            </w:r>
          </w:p>
        </w:tc>
        <w:tc>
          <w:tcPr>
            <w:tcW w:w="3118" w:type="dxa"/>
            <w:shd w:val="clear" w:color="auto" w:fill="D9EAF7"/>
            <w:tcMar>
              <w:top w:w="80" w:type="dxa"/>
              <w:left w:w="90" w:type="dxa"/>
              <w:bottom w:w="80" w:type="dxa"/>
              <w:right w:w="90" w:type="dxa"/>
            </w:tcMar>
            <w:vAlign w:val="center"/>
          </w:tcPr>
          <w:p w14:paraId="0E15FC1D" w14:textId="77777777" w:rsidR="00B8619C" w:rsidRDefault="00000000">
            <w:pPr>
              <w:spacing w:after="0" w:line="264" w:lineRule="auto"/>
              <w:jc w:val="center"/>
            </w:pPr>
            <w:r>
              <w:rPr>
                <w:rFonts w:eastAsia="黑体"/>
                <w:b/>
                <w:sz w:val="16"/>
              </w:rPr>
              <w:t>输入与任务</w:t>
            </w:r>
          </w:p>
        </w:tc>
        <w:tc>
          <w:tcPr>
            <w:tcW w:w="4139" w:type="dxa"/>
            <w:shd w:val="clear" w:color="auto" w:fill="D9EAF7"/>
            <w:tcMar>
              <w:top w:w="80" w:type="dxa"/>
              <w:left w:w="90" w:type="dxa"/>
              <w:bottom w:w="80" w:type="dxa"/>
              <w:right w:w="90" w:type="dxa"/>
            </w:tcMar>
            <w:vAlign w:val="center"/>
          </w:tcPr>
          <w:p w14:paraId="7C75AC03" w14:textId="77777777" w:rsidR="00B8619C" w:rsidRDefault="00000000">
            <w:pPr>
              <w:spacing w:after="0" w:line="264" w:lineRule="auto"/>
              <w:jc w:val="center"/>
            </w:pPr>
            <w:r>
              <w:rPr>
                <w:rFonts w:eastAsia="黑体"/>
                <w:b/>
                <w:sz w:val="16"/>
              </w:rPr>
              <w:t>与本研究的关系</w:t>
            </w:r>
          </w:p>
        </w:tc>
      </w:tr>
      <w:tr w:rsidR="00B8619C" w14:paraId="0CD9FC03" w14:textId="77777777">
        <w:trPr>
          <w:cantSplit/>
          <w:jc w:val="center"/>
        </w:trPr>
        <w:tc>
          <w:tcPr>
            <w:tcW w:w="1928" w:type="dxa"/>
            <w:tcMar>
              <w:top w:w="80" w:type="dxa"/>
              <w:left w:w="90" w:type="dxa"/>
              <w:bottom w:w="80" w:type="dxa"/>
              <w:right w:w="90" w:type="dxa"/>
            </w:tcMar>
            <w:vAlign w:val="center"/>
          </w:tcPr>
          <w:p w14:paraId="5C108F1C" w14:textId="77777777" w:rsidR="00B8619C" w:rsidRDefault="00000000">
            <w:pPr>
              <w:spacing w:after="0" w:line="264" w:lineRule="auto"/>
            </w:pPr>
            <w:r>
              <w:rPr>
                <w:sz w:val="16"/>
              </w:rPr>
              <w:t>宁金，</w:t>
            </w:r>
            <w:r>
              <w:rPr>
                <w:sz w:val="16"/>
              </w:rPr>
              <w:t>2021[10]</w:t>
            </w:r>
          </w:p>
        </w:tc>
        <w:tc>
          <w:tcPr>
            <w:tcW w:w="3118" w:type="dxa"/>
            <w:tcMar>
              <w:top w:w="80" w:type="dxa"/>
              <w:left w:w="90" w:type="dxa"/>
              <w:bottom w:w="80" w:type="dxa"/>
              <w:right w:w="90" w:type="dxa"/>
            </w:tcMar>
            <w:vAlign w:val="center"/>
          </w:tcPr>
          <w:p w14:paraId="024F11AC" w14:textId="77777777" w:rsidR="00B8619C" w:rsidRDefault="00000000">
            <w:pPr>
              <w:spacing w:after="0" w:line="264" w:lineRule="auto"/>
            </w:pPr>
            <w:r>
              <w:rPr>
                <w:sz w:val="16"/>
              </w:rPr>
              <w:t>真实钒钛矿石、受控成像、良品</w:t>
            </w:r>
            <w:r>
              <w:rPr>
                <w:sz w:val="16"/>
              </w:rPr>
              <w:t>/</w:t>
            </w:r>
            <w:r>
              <w:rPr>
                <w:sz w:val="16"/>
              </w:rPr>
              <w:t>次品二分类</w:t>
            </w:r>
          </w:p>
        </w:tc>
        <w:tc>
          <w:tcPr>
            <w:tcW w:w="4139" w:type="dxa"/>
            <w:tcMar>
              <w:top w:w="80" w:type="dxa"/>
              <w:left w:w="90" w:type="dxa"/>
              <w:bottom w:w="80" w:type="dxa"/>
              <w:right w:w="90" w:type="dxa"/>
            </w:tcMar>
            <w:vAlign w:val="center"/>
          </w:tcPr>
          <w:p w14:paraId="2E65A790" w14:textId="77777777" w:rsidR="00B8619C" w:rsidRDefault="00000000">
            <w:pPr>
              <w:spacing w:after="0" w:line="264" w:lineRule="auto"/>
            </w:pPr>
            <w:r>
              <w:rPr>
                <w:sz w:val="16"/>
              </w:rPr>
              <w:t>证明钒钛矿机器视觉已有先行工作；本研究不能宣称首次使用深度学习分选</w:t>
            </w:r>
          </w:p>
        </w:tc>
      </w:tr>
      <w:tr w:rsidR="00B8619C" w14:paraId="20FE7466" w14:textId="77777777">
        <w:trPr>
          <w:cantSplit/>
          <w:jc w:val="center"/>
        </w:trPr>
        <w:tc>
          <w:tcPr>
            <w:tcW w:w="1928" w:type="dxa"/>
            <w:tcMar>
              <w:top w:w="80" w:type="dxa"/>
              <w:left w:w="90" w:type="dxa"/>
              <w:bottom w:w="80" w:type="dxa"/>
              <w:right w:w="90" w:type="dxa"/>
            </w:tcMar>
            <w:vAlign w:val="center"/>
          </w:tcPr>
          <w:p w14:paraId="21A5A827" w14:textId="77777777" w:rsidR="00B8619C" w:rsidRDefault="00000000">
            <w:pPr>
              <w:spacing w:after="0" w:line="264" w:lineRule="auto"/>
            </w:pPr>
            <w:r>
              <w:rPr>
                <w:sz w:val="16"/>
              </w:rPr>
              <w:t xml:space="preserve">Wu </w:t>
            </w:r>
            <w:r>
              <w:rPr>
                <w:sz w:val="16"/>
              </w:rPr>
              <w:t>等，</w:t>
            </w:r>
            <w:r>
              <w:rPr>
                <w:sz w:val="16"/>
              </w:rPr>
              <w:t>2022[4]</w:t>
            </w:r>
          </w:p>
        </w:tc>
        <w:tc>
          <w:tcPr>
            <w:tcW w:w="3118" w:type="dxa"/>
            <w:tcMar>
              <w:top w:w="80" w:type="dxa"/>
              <w:left w:w="90" w:type="dxa"/>
              <w:bottom w:w="80" w:type="dxa"/>
              <w:right w:w="90" w:type="dxa"/>
            </w:tcMar>
            <w:vAlign w:val="center"/>
          </w:tcPr>
          <w:p w14:paraId="6B30A852" w14:textId="77777777" w:rsidR="00B8619C" w:rsidRDefault="00000000">
            <w:pPr>
              <w:spacing w:after="0" w:line="264" w:lineRule="auto"/>
            </w:pPr>
            <w:r>
              <w:rPr>
                <w:sz w:val="16"/>
              </w:rPr>
              <w:t xml:space="preserve">Mindat </w:t>
            </w:r>
            <w:r>
              <w:rPr>
                <w:sz w:val="16"/>
              </w:rPr>
              <w:t>多标签矿物识别</w:t>
            </w:r>
          </w:p>
        </w:tc>
        <w:tc>
          <w:tcPr>
            <w:tcW w:w="4139" w:type="dxa"/>
            <w:tcMar>
              <w:top w:w="80" w:type="dxa"/>
              <w:left w:w="90" w:type="dxa"/>
              <w:bottom w:w="80" w:type="dxa"/>
              <w:right w:w="90" w:type="dxa"/>
            </w:tcMar>
            <w:vAlign w:val="center"/>
          </w:tcPr>
          <w:p w14:paraId="44B64EEB" w14:textId="77777777" w:rsidR="00B8619C" w:rsidRDefault="00000000">
            <w:pPr>
              <w:spacing w:after="0" w:line="264" w:lineRule="auto"/>
            </w:pPr>
            <w:r>
              <w:rPr>
                <w:sz w:val="16"/>
              </w:rPr>
              <w:t>支持伴生矿物和网页主题标签并非严格单标签的判断</w:t>
            </w:r>
          </w:p>
        </w:tc>
      </w:tr>
      <w:tr w:rsidR="00B8619C" w14:paraId="0BE15CBB" w14:textId="77777777">
        <w:trPr>
          <w:cantSplit/>
          <w:jc w:val="center"/>
        </w:trPr>
        <w:tc>
          <w:tcPr>
            <w:tcW w:w="1928" w:type="dxa"/>
            <w:tcMar>
              <w:top w:w="80" w:type="dxa"/>
              <w:left w:w="90" w:type="dxa"/>
              <w:bottom w:w="80" w:type="dxa"/>
              <w:right w:w="90" w:type="dxa"/>
            </w:tcMar>
            <w:vAlign w:val="center"/>
          </w:tcPr>
          <w:p w14:paraId="5CC43D87" w14:textId="77777777" w:rsidR="00B8619C" w:rsidRDefault="00000000">
            <w:pPr>
              <w:spacing w:after="0" w:line="264" w:lineRule="auto"/>
            </w:pPr>
            <w:r>
              <w:rPr>
                <w:sz w:val="16"/>
              </w:rPr>
              <w:t>MineralImage5k</w:t>
            </w:r>
            <w:r>
              <w:rPr>
                <w:sz w:val="16"/>
              </w:rPr>
              <w:t>，</w:t>
            </w:r>
            <w:r>
              <w:rPr>
                <w:sz w:val="16"/>
              </w:rPr>
              <w:t>2023[3]</w:t>
            </w:r>
          </w:p>
        </w:tc>
        <w:tc>
          <w:tcPr>
            <w:tcW w:w="3118" w:type="dxa"/>
            <w:tcMar>
              <w:top w:w="80" w:type="dxa"/>
              <w:left w:w="90" w:type="dxa"/>
              <w:bottom w:w="80" w:type="dxa"/>
              <w:right w:w="90" w:type="dxa"/>
            </w:tcMar>
            <w:vAlign w:val="center"/>
          </w:tcPr>
          <w:p w14:paraId="6F794107" w14:textId="77777777" w:rsidR="00B8619C" w:rsidRDefault="00000000">
            <w:pPr>
              <w:spacing w:after="0" w:line="264" w:lineRule="auto"/>
            </w:pPr>
            <w:r>
              <w:rPr>
                <w:sz w:val="16"/>
              </w:rPr>
              <w:t>原始矿物视觉基准与跨数据集评价</w:t>
            </w:r>
          </w:p>
        </w:tc>
        <w:tc>
          <w:tcPr>
            <w:tcW w:w="4139" w:type="dxa"/>
            <w:tcMar>
              <w:top w:w="80" w:type="dxa"/>
              <w:left w:w="90" w:type="dxa"/>
              <w:bottom w:w="80" w:type="dxa"/>
              <w:right w:w="90" w:type="dxa"/>
            </w:tcMar>
            <w:vAlign w:val="center"/>
          </w:tcPr>
          <w:p w14:paraId="19C09358" w14:textId="77777777" w:rsidR="00B8619C" w:rsidRDefault="00000000">
            <w:pPr>
              <w:spacing w:after="0" w:line="264" w:lineRule="auto"/>
            </w:pPr>
            <w:r>
              <w:rPr>
                <w:sz w:val="16"/>
              </w:rPr>
              <w:t>提示随机划分不足以代替来源外泛化验证</w:t>
            </w:r>
          </w:p>
        </w:tc>
      </w:tr>
      <w:tr w:rsidR="00B8619C" w14:paraId="00C339CF" w14:textId="77777777">
        <w:trPr>
          <w:cantSplit/>
          <w:jc w:val="center"/>
        </w:trPr>
        <w:tc>
          <w:tcPr>
            <w:tcW w:w="1928" w:type="dxa"/>
            <w:tcMar>
              <w:top w:w="80" w:type="dxa"/>
              <w:left w:w="90" w:type="dxa"/>
              <w:bottom w:w="80" w:type="dxa"/>
              <w:right w:w="90" w:type="dxa"/>
            </w:tcMar>
            <w:vAlign w:val="center"/>
          </w:tcPr>
          <w:p w14:paraId="5FAF2987" w14:textId="77777777" w:rsidR="00B8619C" w:rsidRDefault="00000000">
            <w:pPr>
              <w:spacing w:after="0" w:line="264" w:lineRule="auto"/>
            </w:pPr>
            <w:r>
              <w:rPr>
                <w:sz w:val="16"/>
              </w:rPr>
              <w:t xml:space="preserve">Ji </w:t>
            </w:r>
            <w:r>
              <w:rPr>
                <w:sz w:val="16"/>
              </w:rPr>
              <w:t>等，</w:t>
            </w:r>
            <w:r>
              <w:rPr>
                <w:sz w:val="16"/>
              </w:rPr>
              <w:t>2024[5]</w:t>
            </w:r>
          </w:p>
        </w:tc>
        <w:tc>
          <w:tcPr>
            <w:tcW w:w="3118" w:type="dxa"/>
            <w:tcMar>
              <w:top w:w="80" w:type="dxa"/>
              <w:left w:w="90" w:type="dxa"/>
              <w:bottom w:w="80" w:type="dxa"/>
              <w:right w:w="90" w:type="dxa"/>
            </w:tcMar>
            <w:vAlign w:val="center"/>
          </w:tcPr>
          <w:p w14:paraId="5DD917B4" w14:textId="77777777" w:rsidR="00B8619C" w:rsidRDefault="00000000">
            <w:pPr>
              <w:spacing w:after="0" w:line="264" w:lineRule="auto"/>
            </w:pPr>
            <w:r>
              <w:rPr>
                <w:sz w:val="16"/>
              </w:rPr>
              <w:t>未知矿物</w:t>
            </w:r>
            <w:r>
              <w:rPr>
                <w:sz w:val="16"/>
              </w:rPr>
              <w:t xml:space="preserve"> OOD </w:t>
            </w:r>
            <w:r>
              <w:rPr>
                <w:sz w:val="16"/>
              </w:rPr>
              <w:t>检测</w:t>
            </w:r>
          </w:p>
        </w:tc>
        <w:tc>
          <w:tcPr>
            <w:tcW w:w="4139" w:type="dxa"/>
            <w:tcMar>
              <w:top w:w="80" w:type="dxa"/>
              <w:left w:w="90" w:type="dxa"/>
              <w:bottom w:w="80" w:type="dxa"/>
              <w:right w:w="90" w:type="dxa"/>
            </w:tcMar>
            <w:vAlign w:val="center"/>
          </w:tcPr>
          <w:p w14:paraId="6C6F314D" w14:textId="77777777" w:rsidR="00B8619C" w:rsidRDefault="00000000">
            <w:pPr>
              <w:spacing w:after="0" w:line="264" w:lineRule="auto"/>
            </w:pPr>
            <w:r>
              <w:rPr>
                <w:sz w:val="16"/>
              </w:rPr>
              <w:t>说明闭集四分类之外还需独立未知矿物评价</w:t>
            </w:r>
          </w:p>
        </w:tc>
      </w:tr>
      <w:tr w:rsidR="00B8619C" w14:paraId="6ABBE934" w14:textId="77777777">
        <w:trPr>
          <w:cantSplit/>
          <w:jc w:val="center"/>
        </w:trPr>
        <w:tc>
          <w:tcPr>
            <w:tcW w:w="1928" w:type="dxa"/>
            <w:tcMar>
              <w:top w:w="80" w:type="dxa"/>
              <w:left w:w="90" w:type="dxa"/>
              <w:bottom w:w="80" w:type="dxa"/>
              <w:right w:w="90" w:type="dxa"/>
            </w:tcMar>
            <w:vAlign w:val="center"/>
          </w:tcPr>
          <w:p w14:paraId="5C8D5DCA" w14:textId="77777777" w:rsidR="00B8619C" w:rsidRDefault="00000000">
            <w:pPr>
              <w:spacing w:after="0" w:line="264" w:lineRule="auto"/>
            </w:pPr>
            <w:r>
              <w:rPr>
                <w:sz w:val="16"/>
              </w:rPr>
              <w:t xml:space="preserve">Zhang </w:t>
            </w:r>
            <w:r>
              <w:rPr>
                <w:sz w:val="16"/>
              </w:rPr>
              <w:t>等，</w:t>
            </w:r>
            <w:r>
              <w:rPr>
                <w:sz w:val="16"/>
              </w:rPr>
              <w:t>2025[9]</w:t>
            </w:r>
          </w:p>
        </w:tc>
        <w:tc>
          <w:tcPr>
            <w:tcW w:w="3118" w:type="dxa"/>
            <w:tcMar>
              <w:top w:w="80" w:type="dxa"/>
              <w:left w:w="90" w:type="dxa"/>
              <w:bottom w:w="80" w:type="dxa"/>
              <w:right w:w="90" w:type="dxa"/>
            </w:tcMar>
            <w:vAlign w:val="center"/>
          </w:tcPr>
          <w:p w14:paraId="3653F2F0" w14:textId="77777777" w:rsidR="00B8619C" w:rsidRDefault="00000000">
            <w:pPr>
              <w:spacing w:after="0" w:line="264" w:lineRule="auto"/>
            </w:pPr>
            <w:r>
              <w:rPr>
                <w:sz w:val="16"/>
              </w:rPr>
              <w:t>铁矿石多视图特征融合与现场样本</w:t>
            </w:r>
          </w:p>
        </w:tc>
        <w:tc>
          <w:tcPr>
            <w:tcW w:w="4139" w:type="dxa"/>
            <w:tcMar>
              <w:top w:w="80" w:type="dxa"/>
              <w:left w:w="90" w:type="dxa"/>
              <w:bottom w:w="80" w:type="dxa"/>
              <w:right w:w="90" w:type="dxa"/>
            </w:tcMar>
            <w:vAlign w:val="center"/>
          </w:tcPr>
          <w:p w14:paraId="4D9BBD59" w14:textId="77777777" w:rsidR="00B8619C" w:rsidRDefault="00000000">
            <w:pPr>
              <w:spacing w:after="0" w:line="264" w:lineRule="auto"/>
            </w:pPr>
            <w:r>
              <w:rPr>
                <w:sz w:val="16"/>
              </w:rPr>
              <w:t>与本研究类别部分重合，但其重点是多模型融合和真实矿区数据</w:t>
            </w:r>
          </w:p>
        </w:tc>
      </w:tr>
    </w:tbl>
    <w:p w14:paraId="45EE62FB" w14:textId="77777777" w:rsidR="00B8619C" w:rsidRDefault="00000000">
      <w:pPr>
        <w:pStyle w:val="af7"/>
        <w:keepNext/>
        <w:spacing w:after="100"/>
        <w:jc w:val="center"/>
      </w:pPr>
      <w:r>
        <w:lastRenderedPageBreak/>
        <w:t>表</w:t>
      </w:r>
      <w:r>
        <w:t xml:space="preserve"> 1 </w:t>
      </w:r>
      <w:r>
        <w:t>代表性相关工作及与本研究的差异</w:t>
      </w:r>
    </w:p>
    <w:p w14:paraId="65581105" w14:textId="77777777" w:rsidR="00B8619C" w:rsidRDefault="00000000">
      <w:pPr>
        <w:ind w:firstLine="420"/>
        <w:jc w:val="both"/>
      </w:pPr>
      <w:r>
        <w:t>因此，本报告不把使用</w:t>
      </w:r>
      <w:r>
        <w:t xml:space="preserve"> ResNet</w:t>
      </w:r>
      <w:r>
        <w:t>、</w:t>
      </w:r>
      <w:r>
        <w:t>EfficientNet</w:t>
      </w:r>
      <w:r>
        <w:t>、</w:t>
      </w:r>
      <w:r>
        <w:t>Focal Loss</w:t>
      </w:r>
      <w:r>
        <w:t>、注意力机制、普通多任务学习或选择性阈值本身表述为新的理论贡献。现阶段较合理的研究定位是：在可追溯的公开标本图像数据上，分析矿物种类与选矿角色之间的固定粗化关系，以及困难干扰误入目标和目标漏选之间的风险取舍。</w:t>
      </w:r>
    </w:p>
    <w:p w14:paraId="7E91E4D9" w14:textId="77777777" w:rsidR="00B8619C" w:rsidRDefault="00000000">
      <w:pPr>
        <w:pStyle w:val="21"/>
      </w:pPr>
      <w:r>
        <w:t xml:space="preserve">1.3 </w:t>
      </w:r>
      <w:r>
        <w:t>研究范围与定位</w:t>
      </w:r>
    </w:p>
    <w:tbl>
      <w:tblPr>
        <w:tblW w:w="0" w:type="auto"/>
        <w:jc w:val="center"/>
        <w:tblLook w:val="04A0" w:firstRow="1" w:lastRow="0" w:firstColumn="1" w:lastColumn="0" w:noHBand="0" w:noVBand="1"/>
      </w:tblPr>
      <w:tblGrid>
        <w:gridCol w:w="9185"/>
      </w:tblGrid>
      <w:tr w:rsidR="00B8619C" w14:paraId="6E2440CA" w14:textId="77777777">
        <w:trPr>
          <w:cantSplit/>
          <w:jc w:val="center"/>
        </w:trPr>
        <w:tc>
          <w:tcPr>
            <w:tcW w:w="9185" w:type="dxa"/>
            <w:shd w:val="clear" w:color="auto" w:fill="EAF2F8"/>
            <w:tcMar>
              <w:top w:w="130" w:type="dxa"/>
              <w:left w:w="150" w:type="dxa"/>
              <w:bottom w:w="130" w:type="dxa"/>
              <w:right w:w="150" w:type="dxa"/>
            </w:tcMar>
          </w:tcPr>
          <w:p w14:paraId="3E055896" w14:textId="77777777" w:rsidR="00B8619C" w:rsidRDefault="00000000">
            <w:pPr>
              <w:spacing w:after="0"/>
            </w:pPr>
            <w:r>
              <w:rPr>
                <w:rFonts w:eastAsia="黑体"/>
                <w:b/>
                <w:color w:val="1F4E79"/>
              </w:rPr>
              <w:t>研究定位：</w:t>
            </w:r>
            <w:r>
              <w:t>本报告研究的是公开矿物标本图像条件下的钒钛矿相关组分矿物视觉识别方法验证。模型输出仅反映可见外观类别，不用于直接预测钒、钛、铁品位、回收率、矿相组成或工业生产线分选效率。</w:t>
            </w:r>
          </w:p>
        </w:tc>
      </w:tr>
    </w:tbl>
    <w:p w14:paraId="7FD67E77" w14:textId="77777777" w:rsidR="00B8619C" w:rsidRDefault="00000000">
      <w:pPr>
        <w:pStyle w:val="21"/>
      </w:pPr>
      <w:r>
        <w:t xml:space="preserve">1.4 </w:t>
      </w:r>
      <w:r>
        <w:t>研究目标</w:t>
      </w:r>
    </w:p>
    <w:tbl>
      <w:tblPr>
        <w:tblStyle w:val="aff1"/>
        <w:tblW w:w="0" w:type="auto"/>
        <w:jc w:val="center"/>
        <w:tblLayout w:type="fixed"/>
        <w:tblLook w:val="04A0" w:firstRow="1" w:lastRow="0" w:firstColumn="1" w:lastColumn="0" w:noHBand="0" w:noVBand="1"/>
      </w:tblPr>
      <w:tblGrid>
        <w:gridCol w:w="680"/>
        <w:gridCol w:w="3402"/>
        <w:gridCol w:w="4649"/>
      </w:tblGrid>
      <w:tr w:rsidR="00B8619C" w14:paraId="548D35FE" w14:textId="77777777">
        <w:trPr>
          <w:cantSplit/>
          <w:tblHeader/>
          <w:jc w:val="center"/>
        </w:trPr>
        <w:tc>
          <w:tcPr>
            <w:tcW w:w="680" w:type="dxa"/>
            <w:shd w:val="clear" w:color="auto" w:fill="D9EAF7"/>
            <w:tcMar>
              <w:top w:w="80" w:type="dxa"/>
              <w:left w:w="90" w:type="dxa"/>
              <w:bottom w:w="80" w:type="dxa"/>
              <w:right w:w="90" w:type="dxa"/>
            </w:tcMar>
            <w:vAlign w:val="center"/>
          </w:tcPr>
          <w:p w14:paraId="62BE8973" w14:textId="77777777" w:rsidR="00B8619C" w:rsidRDefault="00000000">
            <w:pPr>
              <w:spacing w:after="0" w:line="264" w:lineRule="auto"/>
              <w:jc w:val="center"/>
            </w:pPr>
            <w:r>
              <w:rPr>
                <w:rFonts w:eastAsia="黑体"/>
                <w:b/>
                <w:sz w:val="17"/>
              </w:rPr>
              <w:t>序号</w:t>
            </w:r>
          </w:p>
        </w:tc>
        <w:tc>
          <w:tcPr>
            <w:tcW w:w="3402" w:type="dxa"/>
            <w:shd w:val="clear" w:color="auto" w:fill="D9EAF7"/>
            <w:tcMar>
              <w:top w:w="80" w:type="dxa"/>
              <w:left w:w="90" w:type="dxa"/>
              <w:bottom w:w="80" w:type="dxa"/>
              <w:right w:w="90" w:type="dxa"/>
            </w:tcMar>
            <w:vAlign w:val="center"/>
          </w:tcPr>
          <w:p w14:paraId="42ABE21C" w14:textId="77777777" w:rsidR="00B8619C" w:rsidRDefault="00000000">
            <w:pPr>
              <w:spacing w:after="0" w:line="264" w:lineRule="auto"/>
              <w:jc w:val="center"/>
            </w:pPr>
            <w:r>
              <w:rPr>
                <w:rFonts w:eastAsia="黑体"/>
                <w:b/>
                <w:sz w:val="17"/>
              </w:rPr>
              <w:t>研究目标</w:t>
            </w:r>
          </w:p>
        </w:tc>
        <w:tc>
          <w:tcPr>
            <w:tcW w:w="4649" w:type="dxa"/>
            <w:shd w:val="clear" w:color="auto" w:fill="D9EAF7"/>
            <w:tcMar>
              <w:top w:w="80" w:type="dxa"/>
              <w:left w:w="90" w:type="dxa"/>
              <w:bottom w:w="80" w:type="dxa"/>
              <w:right w:w="90" w:type="dxa"/>
            </w:tcMar>
            <w:vAlign w:val="center"/>
          </w:tcPr>
          <w:p w14:paraId="570E2423" w14:textId="77777777" w:rsidR="00B8619C" w:rsidRDefault="00000000">
            <w:pPr>
              <w:spacing w:after="0" w:line="264" w:lineRule="auto"/>
              <w:jc w:val="center"/>
            </w:pPr>
            <w:r>
              <w:rPr>
                <w:rFonts w:eastAsia="黑体"/>
                <w:b/>
                <w:sz w:val="17"/>
              </w:rPr>
              <w:t>完成方式</w:t>
            </w:r>
          </w:p>
        </w:tc>
      </w:tr>
      <w:tr w:rsidR="00B8619C" w14:paraId="606CD11F" w14:textId="77777777">
        <w:trPr>
          <w:cantSplit/>
          <w:jc w:val="center"/>
        </w:trPr>
        <w:tc>
          <w:tcPr>
            <w:tcW w:w="680" w:type="dxa"/>
            <w:tcMar>
              <w:top w:w="80" w:type="dxa"/>
              <w:left w:w="90" w:type="dxa"/>
              <w:bottom w:w="80" w:type="dxa"/>
              <w:right w:w="90" w:type="dxa"/>
            </w:tcMar>
            <w:vAlign w:val="center"/>
          </w:tcPr>
          <w:p w14:paraId="485D44F6" w14:textId="77777777" w:rsidR="00B8619C" w:rsidRDefault="00000000">
            <w:pPr>
              <w:spacing w:after="0" w:line="264" w:lineRule="auto"/>
            </w:pPr>
            <w:r>
              <w:rPr>
                <w:sz w:val="17"/>
              </w:rPr>
              <w:t>1</w:t>
            </w:r>
          </w:p>
        </w:tc>
        <w:tc>
          <w:tcPr>
            <w:tcW w:w="3402" w:type="dxa"/>
            <w:tcMar>
              <w:top w:w="80" w:type="dxa"/>
              <w:left w:w="90" w:type="dxa"/>
              <w:bottom w:w="80" w:type="dxa"/>
              <w:right w:w="90" w:type="dxa"/>
            </w:tcMar>
            <w:vAlign w:val="center"/>
          </w:tcPr>
          <w:p w14:paraId="3D2B7C97" w14:textId="77777777" w:rsidR="00B8619C" w:rsidRDefault="00000000">
            <w:pPr>
              <w:spacing w:after="0" w:line="264" w:lineRule="auto"/>
            </w:pPr>
            <w:r>
              <w:rPr>
                <w:sz w:val="17"/>
              </w:rPr>
              <w:t>建立可追溯的钒钛矿相关矿物图像数据资源</w:t>
            </w:r>
          </w:p>
        </w:tc>
        <w:tc>
          <w:tcPr>
            <w:tcW w:w="4649" w:type="dxa"/>
            <w:tcMar>
              <w:top w:w="80" w:type="dxa"/>
              <w:left w:w="90" w:type="dxa"/>
              <w:bottom w:w="80" w:type="dxa"/>
              <w:right w:w="90" w:type="dxa"/>
            </w:tcMar>
            <w:vAlign w:val="center"/>
          </w:tcPr>
          <w:p w14:paraId="485783EC" w14:textId="77777777" w:rsidR="00B8619C" w:rsidRDefault="00000000">
            <w:pPr>
              <w:spacing w:after="0" w:line="264" w:lineRule="auto"/>
            </w:pPr>
            <w:r>
              <w:rPr>
                <w:sz w:val="17"/>
              </w:rPr>
              <w:t>保留来源页面、矿物标签、图片编号、筛选决策与固定清单</w:t>
            </w:r>
          </w:p>
        </w:tc>
      </w:tr>
      <w:tr w:rsidR="00B8619C" w14:paraId="6582B441" w14:textId="77777777">
        <w:trPr>
          <w:cantSplit/>
          <w:jc w:val="center"/>
        </w:trPr>
        <w:tc>
          <w:tcPr>
            <w:tcW w:w="680" w:type="dxa"/>
            <w:tcMar>
              <w:top w:w="80" w:type="dxa"/>
              <w:left w:w="90" w:type="dxa"/>
              <w:bottom w:w="80" w:type="dxa"/>
              <w:right w:w="90" w:type="dxa"/>
            </w:tcMar>
            <w:vAlign w:val="center"/>
          </w:tcPr>
          <w:p w14:paraId="499F6AAD" w14:textId="77777777" w:rsidR="00B8619C" w:rsidRDefault="00000000">
            <w:pPr>
              <w:spacing w:after="0" w:line="264" w:lineRule="auto"/>
            </w:pPr>
            <w:r>
              <w:rPr>
                <w:sz w:val="17"/>
              </w:rPr>
              <w:t>2</w:t>
            </w:r>
          </w:p>
        </w:tc>
        <w:tc>
          <w:tcPr>
            <w:tcW w:w="3402" w:type="dxa"/>
            <w:tcMar>
              <w:top w:w="80" w:type="dxa"/>
              <w:left w:w="90" w:type="dxa"/>
              <w:bottom w:w="80" w:type="dxa"/>
              <w:right w:w="90" w:type="dxa"/>
            </w:tcMar>
            <w:vAlign w:val="center"/>
          </w:tcPr>
          <w:p w14:paraId="03CC5594" w14:textId="77777777" w:rsidR="00B8619C" w:rsidRDefault="00000000">
            <w:pPr>
              <w:spacing w:after="0" w:line="264" w:lineRule="auto"/>
            </w:pPr>
            <w:r>
              <w:rPr>
                <w:sz w:val="17"/>
              </w:rPr>
              <w:t>构建面向困难干扰分析的四分类任务</w:t>
            </w:r>
          </w:p>
        </w:tc>
        <w:tc>
          <w:tcPr>
            <w:tcW w:w="4649" w:type="dxa"/>
            <w:tcMar>
              <w:top w:w="80" w:type="dxa"/>
              <w:left w:w="90" w:type="dxa"/>
              <w:bottom w:w="80" w:type="dxa"/>
              <w:right w:w="90" w:type="dxa"/>
            </w:tcMar>
            <w:vAlign w:val="center"/>
          </w:tcPr>
          <w:p w14:paraId="50FBC35D" w14:textId="77777777" w:rsidR="00B8619C" w:rsidRDefault="00000000">
            <w:pPr>
              <w:spacing w:after="0" w:line="264" w:lineRule="auto"/>
            </w:pPr>
            <w:r>
              <w:rPr>
                <w:sz w:val="17"/>
              </w:rPr>
              <w:t>将非目标样本细分为含钛干扰、脉石</w:t>
            </w:r>
            <w:r>
              <w:rPr>
                <w:sz w:val="17"/>
              </w:rPr>
              <w:t>/</w:t>
            </w:r>
            <w:r>
              <w:rPr>
                <w:sz w:val="17"/>
              </w:rPr>
              <w:t>废石和金属光泽困难干扰</w:t>
            </w:r>
          </w:p>
        </w:tc>
      </w:tr>
      <w:tr w:rsidR="00B8619C" w14:paraId="3B363C00" w14:textId="77777777">
        <w:trPr>
          <w:cantSplit/>
          <w:jc w:val="center"/>
        </w:trPr>
        <w:tc>
          <w:tcPr>
            <w:tcW w:w="680" w:type="dxa"/>
            <w:tcMar>
              <w:top w:w="80" w:type="dxa"/>
              <w:left w:w="90" w:type="dxa"/>
              <w:bottom w:w="80" w:type="dxa"/>
              <w:right w:w="90" w:type="dxa"/>
            </w:tcMar>
            <w:vAlign w:val="center"/>
          </w:tcPr>
          <w:p w14:paraId="624A09E9" w14:textId="77777777" w:rsidR="00B8619C" w:rsidRDefault="00000000">
            <w:pPr>
              <w:spacing w:after="0" w:line="264" w:lineRule="auto"/>
            </w:pPr>
            <w:r>
              <w:rPr>
                <w:sz w:val="17"/>
              </w:rPr>
              <w:t>3</w:t>
            </w:r>
          </w:p>
        </w:tc>
        <w:tc>
          <w:tcPr>
            <w:tcW w:w="3402" w:type="dxa"/>
            <w:tcMar>
              <w:top w:w="80" w:type="dxa"/>
              <w:left w:w="90" w:type="dxa"/>
              <w:bottom w:w="80" w:type="dxa"/>
              <w:right w:w="90" w:type="dxa"/>
            </w:tcMar>
            <w:vAlign w:val="center"/>
          </w:tcPr>
          <w:p w14:paraId="4D6B29DA" w14:textId="77777777" w:rsidR="00B8619C" w:rsidRDefault="00000000">
            <w:pPr>
              <w:spacing w:after="0" w:line="264" w:lineRule="auto"/>
            </w:pPr>
            <w:r>
              <w:rPr>
                <w:sz w:val="17"/>
              </w:rPr>
              <w:t>建立深度学习识别基线并评价稳定性</w:t>
            </w:r>
          </w:p>
        </w:tc>
        <w:tc>
          <w:tcPr>
            <w:tcW w:w="4649" w:type="dxa"/>
            <w:tcMar>
              <w:top w:w="80" w:type="dxa"/>
              <w:left w:w="90" w:type="dxa"/>
              <w:bottom w:w="80" w:type="dxa"/>
              <w:right w:w="90" w:type="dxa"/>
            </w:tcMar>
            <w:vAlign w:val="center"/>
          </w:tcPr>
          <w:p w14:paraId="233173DA" w14:textId="77777777" w:rsidR="00B8619C" w:rsidRDefault="00000000">
            <w:pPr>
              <w:spacing w:after="0" w:line="264" w:lineRule="auto"/>
            </w:pPr>
            <w:r>
              <w:rPr>
                <w:sz w:val="17"/>
              </w:rPr>
              <w:t>采用</w:t>
            </w:r>
            <w:r>
              <w:rPr>
                <w:sz w:val="17"/>
              </w:rPr>
              <w:t xml:space="preserve"> ResNet50</w:t>
            </w:r>
            <w:r>
              <w:rPr>
                <w:sz w:val="17"/>
              </w:rPr>
              <w:t>、</w:t>
            </w:r>
            <w:r>
              <w:rPr>
                <w:sz w:val="17"/>
              </w:rPr>
              <w:t>EfficientNet-B0</w:t>
            </w:r>
            <w:r>
              <w:rPr>
                <w:sz w:val="17"/>
              </w:rPr>
              <w:t>，实施固定测试集和三随机种子评价</w:t>
            </w:r>
          </w:p>
        </w:tc>
      </w:tr>
      <w:tr w:rsidR="00B8619C" w14:paraId="236BF815" w14:textId="77777777">
        <w:trPr>
          <w:cantSplit/>
          <w:jc w:val="center"/>
        </w:trPr>
        <w:tc>
          <w:tcPr>
            <w:tcW w:w="680" w:type="dxa"/>
            <w:tcMar>
              <w:top w:w="80" w:type="dxa"/>
              <w:left w:w="90" w:type="dxa"/>
              <w:bottom w:w="80" w:type="dxa"/>
              <w:right w:w="90" w:type="dxa"/>
            </w:tcMar>
            <w:vAlign w:val="center"/>
          </w:tcPr>
          <w:p w14:paraId="2AA8A29E" w14:textId="77777777" w:rsidR="00B8619C" w:rsidRDefault="00000000">
            <w:pPr>
              <w:spacing w:after="0" w:line="264" w:lineRule="auto"/>
            </w:pPr>
            <w:r>
              <w:rPr>
                <w:sz w:val="17"/>
              </w:rPr>
              <w:t>4</w:t>
            </w:r>
          </w:p>
        </w:tc>
        <w:tc>
          <w:tcPr>
            <w:tcW w:w="3402" w:type="dxa"/>
            <w:tcMar>
              <w:top w:w="80" w:type="dxa"/>
              <w:left w:w="90" w:type="dxa"/>
              <w:bottom w:w="80" w:type="dxa"/>
              <w:right w:w="90" w:type="dxa"/>
            </w:tcMar>
            <w:vAlign w:val="center"/>
          </w:tcPr>
          <w:p w14:paraId="22736057" w14:textId="77777777" w:rsidR="00B8619C" w:rsidRDefault="00000000">
            <w:pPr>
              <w:spacing w:after="0" w:line="264" w:lineRule="auto"/>
            </w:pPr>
            <w:r>
              <w:rPr>
                <w:sz w:val="17"/>
              </w:rPr>
              <w:t>分析类别关系与风险取舍</w:t>
            </w:r>
          </w:p>
        </w:tc>
        <w:tc>
          <w:tcPr>
            <w:tcW w:w="4649" w:type="dxa"/>
            <w:tcMar>
              <w:top w:w="80" w:type="dxa"/>
              <w:left w:w="90" w:type="dxa"/>
              <w:bottom w:w="80" w:type="dxa"/>
              <w:right w:w="90" w:type="dxa"/>
            </w:tcMar>
            <w:vAlign w:val="center"/>
          </w:tcPr>
          <w:p w14:paraId="3F43B462" w14:textId="77777777" w:rsidR="00B8619C" w:rsidRDefault="00000000">
            <w:pPr>
              <w:spacing w:after="0" w:line="264" w:lineRule="auto"/>
            </w:pPr>
            <w:r>
              <w:rPr>
                <w:sz w:val="17"/>
              </w:rPr>
              <w:t>开展</w:t>
            </w:r>
            <w:r>
              <w:rPr>
                <w:sz w:val="17"/>
              </w:rPr>
              <w:t xml:space="preserve"> Focal Loss</w:t>
            </w:r>
            <w:r>
              <w:rPr>
                <w:sz w:val="17"/>
              </w:rPr>
              <w:t>、角色感知学习、分层一致性与组件消融</w:t>
            </w:r>
          </w:p>
        </w:tc>
      </w:tr>
      <w:tr w:rsidR="00B8619C" w14:paraId="23D122FD" w14:textId="77777777">
        <w:trPr>
          <w:cantSplit/>
          <w:jc w:val="center"/>
        </w:trPr>
        <w:tc>
          <w:tcPr>
            <w:tcW w:w="680" w:type="dxa"/>
            <w:tcMar>
              <w:top w:w="80" w:type="dxa"/>
              <w:left w:w="90" w:type="dxa"/>
              <w:bottom w:w="80" w:type="dxa"/>
              <w:right w:w="90" w:type="dxa"/>
            </w:tcMar>
            <w:vAlign w:val="center"/>
          </w:tcPr>
          <w:p w14:paraId="0019075D" w14:textId="77777777" w:rsidR="00B8619C" w:rsidRDefault="00000000">
            <w:pPr>
              <w:spacing w:after="0" w:line="264" w:lineRule="auto"/>
            </w:pPr>
            <w:r>
              <w:rPr>
                <w:sz w:val="17"/>
              </w:rPr>
              <w:t>5</w:t>
            </w:r>
          </w:p>
        </w:tc>
        <w:tc>
          <w:tcPr>
            <w:tcW w:w="3402" w:type="dxa"/>
            <w:tcMar>
              <w:top w:w="80" w:type="dxa"/>
              <w:left w:w="90" w:type="dxa"/>
              <w:bottom w:w="80" w:type="dxa"/>
              <w:right w:w="90" w:type="dxa"/>
            </w:tcMar>
            <w:vAlign w:val="center"/>
          </w:tcPr>
          <w:p w14:paraId="5B3C2412" w14:textId="77777777" w:rsidR="00B8619C" w:rsidRDefault="00000000">
            <w:pPr>
              <w:spacing w:after="0" w:line="264" w:lineRule="auto"/>
            </w:pPr>
            <w:r>
              <w:rPr>
                <w:sz w:val="17"/>
              </w:rPr>
              <w:t>建立谨慎的理论和证据边界</w:t>
            </w:r>
          </w:p>
        </w:tc>
        <w:tc>
          <w:tcPr>
            <w:tcW w:w="4649" w:type="dxa"/>
            <w:tcMar>
              <w:top w:w="80" w:type="dxa"/>
              <w:left w:w="90" w:type="dxa"/>
              <w:bottom w:w="80" w:type="dxa"/>
              <w:right w:w="90" w:type="dxa"/>
            </w:tcMar>
            <w:vAlign w:val="center"/>
          </w:tcPr>
          <w:p w14:paraId="2D40A39A" w14:textId="77777777" w:rsidR="00B8619C" w:rsidRDefault="00000000">
            <w:pPr>
              <w:spacing w:after="0" w:line="264" w:lineRule="auto"/>
            </w:pPr>
            <w:r>
              <w:rPr>
                <w:sz w:val="17"/>
              </w:rPr>
              <w:t>将固定映射命题、选择性识别和工业应用边界分别说明</w:t>
            </w:r>
          </w:p>
        </w:tc>
      </w:tr>
    </w:tbl>
    <w:p w14:paraId="293807CC" w14:textId="77777777" w:rsidR="00B8619C" w:rsidRDefault="00000000">
      <w:pPr>
        <w:pStyle w:val="af7"/>
        <w:keepNext/>
        <w:spacing w:after="100"/>
        <w:jc w:val="center"/>
      </w:pPr>
      <w:r>
        <w:t>表</w:t>
      </w:r>
      <w:r>
        <w:t xml:space="preserve"> 2 </w:t>
      </w:r>
      <w:r>
        <w:t>研究目标与完成方式</w:t>
      </w:r>
    </w:p>
    <w:p w14:paraId="658FE650" w14:textId="77777777" w:rsidR="00B8619C" w:rsidRDefault="00000000">
      <w:pPr>
        <w:pStyle w:val="1"/>
        <w:pageBreakBefore/>
      </w:pPr>
      <w:r>
        <w:lastRenderedPageBreak/>
        <w:t xml:space="preserve">2 </w:t>
      </w:r>
      <w:r>
        <w:t>总体技术路线</w:t>
      </w:r>
    </w:p>
    <w:p w14:paraId="5C8376A8" w14:textId="77777777" w:rsidR="00B8619C" w:rsidRDefault="00000000">
      <w:pPr>
        <w:ind w:firstLine="420"/>
        <w:jc w:val="both"/>
      </w:pPr>
      <w:r>
        <w:t>本研究按照</w:t>
      </w:r>
      <w:r>
        <w:t>“</w:t>
      </w:r>
      <w:r>
        <w:t>公开图像采集</w:t>
      </w:r>
      <w:r>
        <w:t>—</w:t>
      </w:r>
      <w:r>
        <w:t>质量筛选与标注</w:t>
      </w:r>
      <w:r>
        <w:t>—</w:t>
      </w:r>
      <w:r>
        <w:t>固定划分</w:t>
      </w:r>
      <w:r>
        <w:t>—</w:t>
      </w:r>
      <w:r>
        <w:t>深度模型训练</w:t>
      </w:r>
      <w:r>
        <w:t>—</w:t>
      </w:r>
      <w:r>
        <w:t>多维评价</w:t>
      </w:r>
      <w:r>
        <w:t>—</w:t>
      </w:r>
      <w:r>
        <w:t>错误诊断</w:t>
      </w:r>
      <w:r>
        <w:t>”</w:t>
      </w:r>
      <w:r>
        <w:t>的主流程开展。图</w:t>
      </w:r>
      <w:r>
        <w:t xml:space="preserve"> 1 </w:t>
      </w:r>
      <w:r>
        <w:t>用于概括研究阶段之间的关系；为避免技术路线只停留在流程名称层面，第</w:t>
      </w:r>
      <w:r>
        <w:t xml:space="preserve"> 2.2 </w:t>
      </w:r>
      <w:r>
        <w:t>节进一步逐项列出各实验的输入数据、处理方法、输出结果与实验目的。数据层面强调来源、筛选与重复组记录，训练层面强调固定划分和多随机种子重复，分析层面强调困难类别、具体错分方向和风险</w:t>
      </w:r>
      <w:r>
        <w:t>—</w:t>
      </w:r>
      <w:r>
        <w:t>覆盖率取舍，而非仅报告总体准确率。</w:t>
      </w:r>
    </w:p>
    <w:p w14:paraId="3A6C04F1" w14:textId="77777777" w:rsidR="00B8619C" w:rsidRDefault="00000000">
      <w:pPr>
        <w:keepNext/>
        <w:jc w:val="center"/>
      </w:pPr>
      <w:r>
        <w:rPr>
          <w:noProof/>
        </w:rPr>
        <w:drawing>
          <wp:inline distT="0" distB="0" distL="0" distR="0" wp14:anchorId="17D2862A" wp14:editId="0271B009">
            <wp:extent cx="5760000" cy="2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760000" cy="2240000"/>
                    </a:xfrm>
                    <a:prstGeom prst="rect">
                      <a:avLst/>
                    </a:prstGeom>
                  </pic:spPr>
                </pic:pic>
              </a:graphicData>
            </a:graphic>
          </wp:inline>
        </w:drawing>
      </w:r>
    </w:p>
    <w:p w14:paraId="5D065955" w14:textId="77777777" w:rsidR="00B8619C" w:rsidRDefault="00000000">
      <w:pPr>
        <w:pStyle w:val="af7"/>
        <w:keepNext/>
        <w:spacing w:after="100"/>
        <w:jc w:val="center"/>
      </w:pPr>
      <w:r>
        <w:t>图</w:t>
      </w:r>
      <w:r>
        <w:t xml:space="preserve"> 1 </w:t>
      </w:r>
      <w:r>
        <w:t>本研究总体技术路线</w:t>
      </w:r>
    </w:p>
    <w:p w14:paraId="579DEC2B" w14:textId="77777777" w:rsidR="00B8619C" w:rsidRDefault="00000000">
      <w:pPr>
        <w:pStyle w:val="21"/>
      </w:pPr>
      <w:r>
        <w:t xml:space="preserve">2.1 </w:t>
      </w:r>
      <w:r>
        <w:t>任务定义</w:t>
      </w:r>
    </w:p>
    <w:p w14:paraId="607A02BD" w14:textId="77777777" w:rsidR="00B8619C" w:rsidRDefault="00000000">
      <w:pPr>
        <w:ind w:firstLine="420"/>
        <w:jc w:val="both"/>
      </w:pPr>
      <w:r>
        <w:t>为避免将所有非目标矿物简单合并为同一类别，本研究设定四分类任务：目标矿物、含钛干扰矿物、脉石</w:t>
      </w:r>
      <w:r>
        <w:t>/</w:t>
      </w:r>
      <w:r>
        <w:t>废石和金属光泽困难干扰矿物。目标矿物中的</w:t>
      </w:r>
      <w:r>
        <w:t xml:space="preserve"> magnetite </w:t>
      </w:r>
      <w:r>
        <w:t>主要作为钛磁铁矿相关暗色铁矿物的视觉代理，不能等同于真实钛磁铁矿；</w:t>
      </w:r>
      <w:r>
        <w:t xml:space="preserve">ilmenite </w:t>
      </w:r>
      <w:r>
        <w:t>与</w:t>
      </w:r>
      <w:r>
        <w:t xml:space="preserve"> titanomagnetite </w:t>
      </w:r>
      <w:r>
        <w:t>也应在后续数据扩充中分别评价。</w:t>
      </w:r>
    </w:p>
    <w:p w14:paraId="43C7F3B0" w14:textId="77777777" w:rsidR="00B8619C" w:rsidRDefault="00000000">
      <w:pPr>
        <w:ind w:firstLine="420"/>
        <w:jc w:val="both"/>
      </w:pPr>
      <w:r>
        <w:t>四类任务用于研究</w:t>
      </w:r>
      <w:r>
        <w:t>“</w:t>
      </w:r>
      <w:r>
        <w:t>目标</w:t>
      </w:r>
      <w:r>
        <w:t>—</w:t>
      </w:r>
      <w:r>
        <w:t>非目标</w:t>
      </w:r>
      <w:r>
        <w:t>”</w:t>
      </w:r>
      <w:r>
        <w:t>和不同困难干扰之间的视觉边界。这里的</w:t>
      </w:r>
      <w:r>
        <w:t>“</w:t>
      </w:r>
      <w:r>
        <w:t>目标代理</w:t>
      </w:r>
      <w:r>
        <w:t>”</w:t>
      </w:r>
      <w:r>
        <w:t>仅表示当前数据标注体系中的目标类别，不代表特定选矿阶段的真实产品流向。阶段条件化选矿决策需要专家确认的矿物</w:t>
      </w:r>
      <w:r>
        <w:t>—</w:t>
      </w:r>
      <w:r>
        <w:t>流程阶段</w:t>
      </w:r>
      <w:r>
        <w:t>—</w:t>
      </w:r>
      <w:r>
        <w:t>动作映射以及真实品位、回收率和处置成本，当前不纳入方法效果结论。</w:t>
      </w:r>
    </w:p>
    <w:p w14:paraId="68DC7769" w14:textId="77777777" w:rsidR="00B8619C" w:rsidRDefault="00000000">
      <w:pPr>
        <w:pStyle w:val="21"/>
      </w:pPr>
      <w:r>
        <w:t xml:space="preserve">2.2 </w:t>
      </w:r>
      <w:r>
        <w:t>实验模块的输入、输出与目的</w:t>
      </w:r>
    </w:p>
    <w:p w14:paraId="6CDDD421" w14:textId="77777777" w:rsidR="00B8619C" w:rsidRDefault="00000000">
      <w:r>
        <w:t>本项目的实验不是单一网络的一次训练，而是由数据构建、基础对照、损失函数消融、风险定向学习、分层一致性学习、组件消融、错误诊断和选择性识别组成的证据链。下表给出各实验模块实际使用的输入、处理过程、主要输出及其判定目的；其中结果均来自固定测试划分和已归档的三个随机种子实验。</w:t>
      </w:r>
    </w:p>
    <w:p w14:paraId="151FDFCA" w14:textId="77777777" w:rsidR="00B8619C" w:rsidRDefault="00000000">
      <w:pPr>
        <w:pStyle w:val="af7"/>
        <w:jc w:val="center"/>
      </w:pPr>
      <w:r>
        <w:t>表</w:t>
      </w:r>
      <w:r>
        <w:t xml:space="preserve"> 3 </w:t>
      </w:r>
      <w:r>
        <w:t>各实验模块的输入、处理、输出和实验目的</w:t>
      </w:r>
    </w:p>
    <w:tbl>
      <w:tblPr>
        <w:tblStyle w:val="aff1"/>
        <w:tblW w:w="0" w:type="auto"/>
        <w:jc w:val="center"/>
        <w:tblLayout w:type="fixed"/>
        <w:tblLook w:val="04A0" w:firstRow="1" w:lastRow="0" w:firstColumn="1" w:lastColumn="0" w:noHBand="0" w:noVBand="1"/>
      </w:tblPr>
      <w:tblGrid>
        <w:gridCol w:w="1247"/>
        <w:gridCol w:w="1757"/>
        <w:gridCol w:w="2098"/>
        <w:gridCol w:w="2268"/>
        <w:gridCol w:w="1757"/>
      </w:tblGrid>
      <w:tr w:rsidR="00B8619C" w14:paraId="24A3716F" w14:textId="77777777">
        <w:trPr>
          <w:tblHeader/>
          <w:jc w:val="center"/>
        </w:trPr>
        <w:tc>
          <w:tcPr>
            <w:tcW w:w="1247" w:type="dxa"/>
            <w:shd w:val="clear" w:color="auto" w:fill="D9EAF7"/>
            <w:vAlign w:val="center"/>
          </w:tcPr>
          <w:p w14:paraId="02D90E25" w14:textId="77777777" w:rsidR="00B8619C" w:rsidRDefault="00000000">
            <w:pPr>
              <w:spacing w:after="0" w:line="240" w:lineRule="auto"/>
              <w:jc w:val="center"/>
            </w:pPr>
            <w:r>
              <w:rPr>
                <w:rFonts w:ascii="宋体" w:hAnsi="宋体"/>
                <w:b/>
                <w:sz w:val="16"/>
              </w:rPr>
              <w:lastRenderedPageBreak/>
              <w:t>实验模块</w:t>
            </w:r>
          </w:p>
        </w:tc>
        <w:tc>
          <w:tcPr>
            <w:tcW w:w="1757" w:type="dxa"/>
            <w:shd w:val="clear" w:color="auto" w:fill="D9EAF7"/>
            <w:vAlign w:val="center"/>
          </w:tcPr>
          <w:p w14:paraId="5C005909" w14:textId="77777777" w:rsidR="00B8619C" w:rsidRDefault="00000000">
            <w:pPr>
              <w:spacing w:after="0" w:line="240" w:lineRule="auto"/>
              <w:jc w:val="center"/>
            </w:pPr>
            <w:r>
              <w:rPr>
                <w:rFonts w:ascii="宋体" w:hAnsi="宋体"/>
                <w:b/>
                <w:sz w:val="16"/>
              </w:rPr>
              <w:t>输入</w:t>
            </w:r>
          </w:p>
        </w:tc>
        <w:tc>
          <w:tcPr>
            <w:tcW w:w="2098" w:type="dxa"/>
            <w:shd w:val="clear" w:color="auto" w:fill="D9EAF7"/>
            <w:vAlign w:val="center"/>
          </w:tcPr>
          <w:p w14:paraId="1464A5EF" w14:textId="77777777" w:rsidR="00B8619C" w:rsidRDefault="00000000">
            <w:pPr>
              <w:spacing w:after="0" w:line="240" w:lineRule="auto"/>
              <w:jc w:val="center"/>
            </w:pPr>
            <w:r>
              <w:rPr>
                <w:rFonts w:ascii="宋体" w:hAnsi="宋体"/>
                <w:b/>
                <w:sz w:val="16"/>
              </w:rPr>
              <w:t>主要处理/模型</w:t>
            </w:r>
          </w:p>
        </w:tc>
        <w:tc>
          <w:tcPr>
            <w:tcW w:w="2268" w:type="dxa"/>
            <w:shd w:val="clear" w:color="auto" w:fill="D9EAF7"/>
            <w:vAlign w:val="center"/>
          </w:tcPr>
          <w:p w14:paraId="743E8F5F" w14:textId="77777777" w:rsidR="00B8619C" w:rsidRDefault="00000000">
            <w:pPr>
              <w:spacing w:after="0" w:line="240" w:lineRule="auto"/>
              <w:jc w:val="center"/>
            </w:pPr>
            <w:r>
              <w:rPr>
                <w:rFonts w:ascii="宋体" w:hAnsi="宋体"/>
                <w:b/>
                <w:sz w:val="16"/>
              </w:rPr>
              <w:t>输出及已取得结果</w:t>
            </w:r>
          </w:p>
        </w:tc>
        <w:tc>
          <w:tcPr>
            <w:tcW w:w="1757" w:type="dxa"/>
            <w:shd w:val="clear" w:color="auto" w:fill="D9EAF7"/>
            <w:vAlign w:val="center"/>
          </w:tcPr>
          <w:p w14:paraId="1F0F2FA4" w14:textId="77777777" w:rsidR="00B8619C" w:rsidRDefault="00000000">
            <w:pPr>
              <w:spacing w:after="0" w:line="240" w:lineRule="auto"/>
              <w:jc w:val="center"/>
            </w:pPr>
            <w:r>
              <w:rPr>
                <w:rFonts w:ascii="宋体" w:hAnsi="宋体"/>
                <w:b/>
                <w:sz w:val="16"/>
              </w:rPr>
              <w:t>实验目的</w:t>
            </w:r>
          </w:p>
        </w:tc>
      </w:tr>
      <w:tr w:rsidR="00B8619C" w14:paraId="6B8263F3" w14:textId="77777777">
        <w:trPr>
          <w:cantSplit/>
          <w:jc w:val="center"/>
        </w:trPr>
        <w:tc>
          <w:tcPr>
            <w:tcW w:w="1247" w:type="dxa"/>
            <w:vAlign w:val="center"/>
          </w:tcPr>
          <w:p w14:paraId="2D437469" w14:textId="77777777" w:rsidR="00B8619C" w:rsidRDefault="00000000">
            <w:pPr>
              <w:spacing w:after="0" w:line="240" w:lineRule="auto"/>
            </w:pPr>
            <w:r>
              <w:rPr>
                <w:rFonts w:ascii="宋体" w:hAnsi="宋体"/>
                <w:sz w:val="15"/>
              </w:rPr>
              <w:t>数据构建与质量控制</w:t>
            </w:r>
          </w:p>
        </w:tc>
        <w:tc>
          <w:tcPr>
            <w:tcW w:w="1757" w:type="dxa"/>
            <w:vAlign w:val="center"/>
          </w:tcPr>
          <w:p w14:paraId="0FD5A5C2" w14:textId="77777777" w:rsidR="00B8619C" w:rsidRDefault="00000000">
            <w:pPr>
              <w:spacing w:after="0" w:line="240" w:lineRule="auto"/>
            </w:pPr>
            <w:r>
              <w:rPr>
                <w:rFonts w:ascii="宋体" w:hAnsi="宋体"/>
                <w:sz w:val="15"/>
              </w:rPr>
              <w:t>公开矿物标本图像、页面标题、Mindat 图片编号、矿物标签及来源元数据</w:t>
            </w:r>
          </w:p>
        </w:tc>
        <w:tc>
          <w:tcPr>
            <w:tcW w:w="2098" w:type="dxa"/>
            <w:vAlign w:val="center"/>
          </w:tcPr>
          <w:p w14:paraId="1244AD24" w14:textId="77777777" w:rsidR="00B8619C" w:rsidRDefault="00000000">
            <w:pPr>
              <w:spacing w:after="0" w:line="240" w:lineRule="auto"/>
            </w:pPr>
            <w:r>
              <w:rPr>
                <w:rFonts w:ascii="宋体" w:hAnsi="宋体"/>
                <w:sz w:val="15"/>
              </w:rPr>
              <w:t>主体筛选、混合样本隔离、完全/近重复检查、分层复核、固定分组划分</w:t>
            </w:r>
          </w:p>
        </w:tc>
        <w:tc>
          <w:tcPr>
            <w:tcW w:w="2268" w:type="dxa"/>
            <w:vAlign w:val="center"/>
          </w:tcPr>
          <w:p w14:paraId="6FB2F140" w14:textId="77777777" w:rsidR="00B8619C" w:rsidRDefault="00000000">
            <w:pPr>
              <w:spacing w:after="0" w:line="240" w:lineRule="auto"/>
            </w:pPr>
            <w:r>
              <w:rPr>
                <w:rFonts w:ascii="宋体" w:hAnsi="宋体"/>
                <w:sz w:val="15"/>
              </w:rPr>
              <w:t>8,529 张图像；训练 5,961、验证 1,284、测试 1,284</w:t>
            </w:r>
          </w:p>
        </w:tc>
        <w:tc>
          <w:tcPr>
            <w:tcW w:w="1757" w:type="dxa"/>
            <w:vAlign w:val="center"/>
          </w:tcPr>
          <w:p w14:paraId="3EDE26C7" w14:textId="77777777" w:rsidR="00B8619C" w:rsidRDefault="00000000">
            <w:pPr>
              <w:spacing w:after="0" w:line="240" w:lineRule="auto"/>
            </w:pPr>
            <w:r>
              <w:rPr>
                <w:rFonts w:ascii="宋体" w:hAnsi="宋体"/>
                <w:sz w:val="15"/>
              </w:rPr>
              <w:t>建立可追溯、可复现并尽量降低同图/近同图泄漏的数据基础</w:t>
            </w:r>
          </w:p>
        </w:tc>
      </w:tr>
      <w:tr w:rsidR="00B8619C" w14:paraId="77BA1695" w14:textId="77777777">
        <w:trPr>
          <w:cantSplit/>
          <w:jc w:val="center"/>
        </w:trPr>
        <w:tc>
          <w:tcPr>
            <w:tcW w:w="1247" w:type="dxa"/>
            <w:vAlign w:val="center"/>
          </w:tcPr>
          <w:p w14:paraId="0441624F" w14:textId="77777777" w:rsidR="00B8619C" w:rsidRDefault="00000000">
            <w:pPr>
              <w:spacing w:after="0" w:line="240" w:lineRule="auto"/>
            </w:pPr>
            <w:r>
              <w:rPr>
                <w:rFonts w:ascii="宋体" w:hAnsi="宋体"/>
                <w:sz w:val="15"/>
              </w:rPr>
              <w:t>基础模型对照</w:t>
            </w:r>
          </w:p>
        </w:tc>
        <w:tc>
          <w:tcPr>
            <w:tcW w:w="1757" w:type="dxa"/>
            <w:vAlign w:val="center"/>
          </w:tcPr>
          <w:p w14:paraId="5B651C15" w14:textId="77777777" w:rsidR="00B8619C" w:rsidRDefault="00000000">
            <w:pPr>
              <w:spacing w:after="0" w:line="240" w:lineRule="auto"/>
            </w:pPr>
            <w:r>
              <w:rPr>
                <w:rFonts w:ascii="宋体" w:hAnsi="宋体"/>
                <w:sz w:val="15"/>
              </w:rPr>
              <w:t>224×224 RGB 图像和四类角色标签</w:t>
            </w:r>
          </w:p>
        </w:tc>
        <w:tc>
          <w:tcPr>
            <w:tcW w:w="2098" w:type="dxa"/>
            <w:vAlign w:val="center"/>
          </w:tcPr>
          <w:p w14:paraId="50F331FC" w14:textId="77777777" w:rsidR="00B8619C" w:rsidRDefault="00000000">
            <w:pPr>
              <w:spacing w:after="0" w:line="240" w:lineRule="auto"/>
            </w:pPr>
            <w:r>
              <w:rPr>
                <w:rFonts w:ascii="宋体" w:hAnsi="宋体"/>
                <w:sz w:val="15"/>
              </w:rPr>
              <w:t>ImageNet 预训练 ResNet50、EfficientNet-B0；加权交叉熵；3 个随机种子</w:t>
            </w:r>
          </w:p>
        </w:tc>
        <w:tc>
          <w:tcPr>
            <w:tcW w:w="2268" w:type="dxa"/>
            <w:vAlign w:val="center"/>
          </w:tcPr>
          <w:p w14:paraId="1CD18104" w14:textId="77777777" w:rsidR="00B8619C" w:rsidRDefault="00000000">
            <w:pPr>
              <w:spacing w:after="0" w:line="240" w:lineRule="auto"/>
            </w:pPr>
            <w:r>
              <w:rPr>
                <w:rFonts w:ascii="宋体" w:hAnsi="宋体"/>
                <w:sz w:val="15"/>
              </w:rPr>
              <w:t>ResNet50 Macro F1 72.06%±0.92%；EfficientNet-B0 72.87%±1.21%</w:t>
            </w:r>
          </w:p>
        </w:tc>
        <w:tc>
          <w:tcPr>
            <w:tcW w:w="1757" w:type="dxa"/>
            <w:vAlign w:val="center"/>
          </w:tcPr>
          <w:p w14:paraId="2C4F4295" w14:textId="77777777" w:rsidR="00B8619C" w:rsidRDefault="00000000">
            <w:pPr>
              <w:spacing w:after="0" w:line="240" w:lineRule="auto"/>
            </w:pPr>
            <w:r>
              <w:rPr>
                <w:rFonts w:ascii="宋体" w:hAnsi="宋体"/>
                <w:sz w:val="15"/>
              </w:rPr>
              <w:t>建立性能参照，并确定后续改进统一采用 EfficientNet-B0 共享主干</w:t>
            </w:r>
          </w:p>
        </w:tc>
      </w:tr>
      <w:tr w:rsidR="00B8619C" w14:paraId="057F367C" w14:textId="77777777">
        <w:trPr>
          <w:cantSplit/>
          <w:jc w:val="center"/>
        </w:trPr>
        <w:tc>
          <w:tcPr>
            <w:tcW w:w="1247" w:type="dxa"/>
            <w:vAlign w:val="center"/>
          </w:tcPr>
          <w:p w14:paraId="390144C5" w14:textId="77777777" w:rsidR="00B8619C" w:rsidRDefault="00000000">
            <w:pPr>
              <w:spacing w:after="0" w:line="240" w:lineRule="auto"/>
            </w:pPr>
            <w:r>
              <w:rPr>
                <w:rFonts w:ascii="宋体" w:hAnsi="宋体"/>
                <w:sz w:val="15"/>
              </w:rPr>
              <w:t>Focal Loss 消融</w:t>
            </w:r>
          </w:p>
        </w:tc>
        <w:tc>
          <w:tcPr>
            <w:tcW w:w="1757" w:type="dxa"/>
            <w:vAlign w:val="center"/>
          </w:tcPr>
          <w:p w14:paraId="00B8101D" w14:textId="77777777" w:rsidR="00B8619C" w:rsidRDefault="00000000">
            <w:pPr>
              <w:spacing w:after="0" w:line="240" w:lineRule="auto"/>
            </w:pPr>
            <w:r>
              <w:rPr>
                <w:rFonts w:ascii="宋体" w:hAnsi="宋体"/>
                <w:sz w:val="15"/>
              </w:rPr>
              <w:t>与基础 EfficientNet-B0 相同的数据、划分和增强</w:t>
            </w:r>
          </w:p>
        </w:tc>
        <w:tc>
          <w:tcPr>
            <w:tcW w:w="2098" w:type="dxa"/>
            <w:vAlign w:val="center"/>
          </w:tcPr>
          <w:p w14:paraId="304ED425" w14:textId="77777777" w:rsidR="00B8619C" w:rsidRDefault="00000000">
            <w:pPr>
              <w:spacing w:after="0" w:line="240" w:lineRule="auto"/>
            </w:pPr>
            <w:r>
              <w:rPr>
                <w:rFonts w:ascii="宋体" w:hAnsi="宋体"/>
                <w:sz w:val="15"/>
              </w:rPr>
              <w:t>仅将加权交叉熵替换为加权 Focal Loss（γ=2.0）</w:t>
            </w:r>
          </w:p>
        </w:tc>
        <w:tc>
          <w:tcPr>
            <w:tcW w:w="2268" w:type="dxa"/>
            <w:vAlign w:val="center"/>
          </w:tcPr>
          <w:p w14:paraId="5B2D5E57" w14:textId="77777777" w:rsidR="00B8619C" w:rsidRDefault="00000000">
            <w:pPr>
              <w:spacing w:after="0" w:line="240" w:lineRule="auto"/>
            </w:pPr>
            <w:r>
              <w:rPr>
                <w:rFonts w:ascii="宋体" w:hAnsi="宋体"/>
                <w:sz w:val="15"/>
              </w:rPr>
              <w:t>Macro F1 73.22%±0.83%；含钛召回提高，金属光泽干扰召回下降</w:t>
            </w:r>
          </w:p>
        </w:tc>
        <w:tc>
          <w:tcPr>
            <w:tcW w:w="1757" w:type="dxa"/>
            <w:vAlign w:val="center"/>
          </w:tcPr>
          <w:p w14:paraId="76891F35" w14:textId="77777777" w:rsidR="00B8619C" w:rsidRDefault="00000000">
            <w:pPr>
              <w:spacing w:after="0" w:line="240" w:lineRule="auto"/>
            </w:pPr>
            <w:r>
              <w:rPr>
                <w:rFonts w:ascii="宋体" w:hAnsi="宋体"/>
                <w:sz w:val="15"/>
              </w:rPr>
              <w:t>检验统一强调难例能否同时改善总体分类与关键风险方向</w:t>
            </w:r>
          </w:p>
        </w:tc>
      </w:tr>
      <w:tr w:rsidR="00B8619C" w14:paraId="1F3CA210" w14:textId="77777777">
        <w:trPr>
          <w:cantSplit/>
          <w:jc w:val="center"/>
        </w:trPr>
        <w:tc>
          <w:tcPr>
            <w:tcW w:w="1247" w:type="dxa"/>
            <w:vAlign w:val="center"/>
          </w:tcPr>
          <w:p w14:paraId="7C59DAD5" w14:textId="77777777" w:rsidR="00B8619C" w:rsidRDefault="00000000">
            <w:pPr>
              <w:spacing w:after="0" w:line="240" w:lineRule="auto"/>
            </w:pPr>
            <w:r>
              <w:rPr>
                <w:rFonts w:ascii="宋体" w:hAnsi="宋体"/>
                <w:sz w:val="15"/>
              </w:rPr>
              <w:t>角色感知困难负样本学习</w:t>
            </w:r>
          </w:p>
        </w:tc>
        <w:tc>
          <w:tcPr>
            <w:tcW w:w="1757" w:type="dxa"/>
            <w:vAlign w:val="center"/>
          </w:tcPr>
          <w:p w14:paraId="1E2D0887" w14:textId="77777777" w:rsidR="00B8619C" w:rsidRDefault="00000000">
            <w:pPr>
              <w:spacing w:after="0" w:line="240" w:lineRule="auto"/>
            </w:pPr>
            <w:r>
              <w:rPr>
                <w:rFonts w:ascii="宋体" w:hAnsi="宋体"/>
                <w:sz w:val="15"/>
              </w:rPr>
              <w:t>图像、四类标签及两组预定义高风险关系</w:t>
            </w:r>
          </w:p>
        </w:tc>
        <w:tc>
          <w:tcPr>
            <w:tcW w:w="2098" w:type="dxa"/>
            <w:vAlign w:val="center"/>
          </w:tcPr>
          <w:p w14:paraId="40ACF34B" w14:textId="77777777" w:rsidR="00B8619C" w:rsidRDefault="00000000">
            <w:pPr>
              <w:spacing w:after="0" w:line="240" w:lineRule="auto"/>
            </w:pPr>
            <w:r>
              <w:rPr>
                <w:rFonts w:ascii="宋体" w:hAnsi="宋体"/>
                <w:sz w:val="15"/>
              </w:rPr>
              <w:t>四分类头 + 目标代理二分类头 + 投影头；对目标—含钛、目标—金属光泽关系施加对比约束</w:t>
            </w:r>
          </w:p>
        </w:tc>
        <w:tc>
          <w:tcPr>
            <w:tcW w:w="2268" w:type="dxa"/>
            <w:vAlign w:val="center"/>
          </w:tcPr>
          <w:p w14:paraId="45FE4C54" w14:textId="77777777" w:rsidR="00B8619C" w:rsidRDefault="00000000">
            <w:pPr>
              <w:spacing w:after="0" w:line="240" w:lineRule="auto"/>
            </w:pPr>
            <w:r>
              <w:rPr>
                <w:rFonts w:ascii="宋体" w:hAnsi="宋体"/>
                <w:sz w:val="15"/>
              </w:rPr>
              <w:t>Macro F1 73.02%±1.09%；两类干扰误入目标下降，但目标漏选增加</w:t>
            </w:r>
          </w:p>
        </w:tc>
        <w:tc>
          <w:tcPr>
            <w:tcW w:w="1757" w:type="dxa"/>
            <w:vAlign w:val="center"/>
          </w:tcPr>
          <w:p w14:paraId="47C30250" w14:textId="77777777" w:rsidR="00B8619C" w:rsidRDefault="00000000">
            <w:pPr>
              <w:spacing w:after="0" w:line="240" w:lineRule="auto"/>
            </w:pPr>
            <w:r>
              <w:rPr>
                <w:rFonts w:ascii="宋体" w:hAnsi="宋体"/>
                <w:sz w:val="15"/>
              </w:rPr>
              <w:t>验证风险定向表示约束能否减少高风险误入，并刻画召回—风险取舍</w:t>
            </w:r>
          </w:p>
        </w:tc>
      </w:tr>
      <w:tr w:rsidR="00B8619C" w14:paraId="6AAA2252" w14:textId="77777777">
        <w:trPr>
          <w:cantSplit/>
          <w:jc w:val="center"/>
        </w:trPr>
        <w:tc>
          <w:tcPr>
            <w:tcW w:w="1247" w:type="dxa"/>
            <w:vAlign w:val="center"/>
          </w:tcPr>
          <w:p w14:paraId="742201F9" w14:textId="77777777" w:rsidR="00B8619C" w:rsidRDefault="00000000">
            <w:pPr>
              <w:spacing w:after="0" w:line="240" w:lineRule="auto"/>
            </w:pPr>
            <w:r>
              <w:rPr>
                <w:rFonts w:ascii="宋体" w:hAnsi="宋体"/>
                <w:sz w:val="15"/>
              </w:rPr>
              <w:t>种类—角色分层一致性学习</w:t>
            </w:r>
          </w:p>
        </w:tc>
        <w:tc>
          <w:tcPr>
            <w:tcW w:w="1757" w:type="dxa"/>
            <w:vAlign w:val="center"/>
          </w:tcPr>
          <w:p w14:paraId="57B29635" w14:textId="77777777" w:rsidR="00B8619C" w:rsidRDefault="00000000">
            <w:pPr>
              <w:spacing w:after="0" w:line="240" w:lineRule="auto"/>
            </w:pPr>
            <w:r>
              <w:rPr>
                <w:rFonts w:ascii="宋体" w:hAnsi="宋体"/>
                <w:sz w:val="15"/>
              </w:rPr>
              <w:t>图像、四类角色标签和 17 类 mineral_label</w:t>
            </w:r>
          </w:p>
        </w:tc>
        <w:tc>
          <w:tcPr>
            <w:tcW w:w="2098" w:type="dxa"/>
            <w:vAlign w:val="center"/>
          </w:tcPr>
          <w:p w14:paraId="793946B1" w14:textId="77777777" w:rsidR="00B8619C" w:rsidRDefault="00000000">
            <w:pPr>
              <w:spacing w:after="0" w:line="240" w:lineRule="auto"/>
            </w:pPr>
            <w:r>
              <w:rPr>
                <w:rFonts w:ascii="宋体" w:hAnsi="宋体"/>
                <w:sz w:val="15"/>
              </w:rPr>
              <w:t>共享 EfficientNet-B0；角色头、种类头、目标代理头、投影头并列；种类概率聚合到角色概率</w:t>
            </w:r>
          </w:p>
        </w:tc>
        <w:tc>
          <w:tcPr>
            <w:tcW w:w="2268" w:type="dxa"/>
            <w:vAlign w:val="center"/>
          </w:tcPr>
          <w:p w14:paraId="2559F388" w14:textId="77777777" w:rsidR="00B8619C" w:rsidRDefault="00000000">
            <w:pPr>
              <w:spacing w:after="0" w:line="240" w:lineRule="auto"/>
            </w:pPr>
            <w:r>
              <w:rPr>
                <w:rFonts w:ascii="宋体" w:hAnsi="宋体"/>
                <w:sz w:val="15"/>
              </w:rPr>
              <w:t>角色 Macro F1 73.41%±2.40%；种类 Accuracy 56.80%±2.23%；目标召回 77.56%±2.19%</w:t>
            </w:r>
          </w:p>
        </w:tc>
        <w:tc>
          <w:tcPr>
            <w:tcW w:w="1757" w:type="dxa"/>
            <w:vAlign w:val="center"/>
          </w:tcPr>
          <w:p w14:paraId="06E06C5F" w14:textId="77777777" w:rsidR="00B8619C" w:rsidRDefault="00000000">
            <w:pPr>
              <w:spacing w:after="0" w:line="240" w:lineRule="auto"/>
            </w:pPr>
            <w:r>
              <w:rPr>
                <w:rFonts w:ascii="宋体" w:hAnsi="宋体"/>
                <w:sz w:val="15"/>
              </w:rPr>
              <w:t>检验细粒度种类监督及固定种类—角色关系能否辅助角色分类</w:t>
            </w:r>
          </w:p>
        </w:tc>
      </w:tr>
      <w:tr w:rsidR="00B8619C" w14:paraId="4B2B1007" w14:textId="77777777">
        <w:trPr>
          <w:cantSplit/>
          <w:jc w:val="center"/>
        </w:trPr>
        <w:tc>
          <w:tcPr>
            <w:tcW w:w="1247" w:type="dxa"/>
            <w:vAlign w:val="center"/>
          </w:tcPr>
          <w:p w14:paraId="1BF38B44" w14:textId="77777777" w:rsidR="00B8619C" w:rsidRDefault="00000000">
            <w:pPr>
              <w:spacing w:after="0" w:line="240" w:lineRule="auto"/>
            </w:pPr>
            <w:r>
              <w:rPr>
                <w:rFonts w:ascii="宋体" w:hAnsi="宋体"/>
                <w:sz w:val="15"/>
              </w:rPr>
              <w:t>分层模型组件消融</w:t>
            </w:r>
          </w:p>
        </w:tc>
        <w:tc>
          <w:tcPr>
            <w:tcW w:w="1757" w:type="dxa"/>
            <w:vAlign w:val="center"/>
          </w:tcPr>
          <w:p w14:paraId="6932839F" w14:textId="77777777" w:rsidR="00B8619C" w:rsidRDefault="00000000">
            <w:pPr>
              <w:spacing w:after="0" w:line="240" w:lineRule="auto"/>
            </w:pPr>
            <w:r>
              <w:rPr>
                <w:rFonts w:ascii="宋体" w:hAnsi="宋体"/>
                <w:sz w:val="15"/>
              </w:rPr>
              <w:t>完整分层模型、固定划分和相同三个随机种子</w:t>
            </w:r>
          </w:p>
        </w:tc>
        <w:tc>
          <w:tcPr>
            <w:tcW w:w="2098" w:type="dxa"/>
            <w:vAlign w:val="center"/>
          </w:tcPr>
          <w:p w14:paraId="51F05562" w14:textId="77777777" w:rsidR="00B8619C" w:rsidRDefault="00000000">
            <w:pPr>
              <w:spacing w:after="0" w:line="240" w:lineRule="auto"/>
            </w:pPr>
            <w:r>
              <w:rPr>
                <w:rFonts w:ascii="宋体" w:hAnsi="宋体"/>
                <w:sz w:val="15"/>
              </w:rPr>
              <w:t>分别去除困难负样本约束、去除层级一致性约束</w:t>
            </w:r>
          </w:p>
        </w:tc>
        <w:tc>
          <w:tcPr>
            <w:tcW w:w="2268" w:type="dxa"/>
            <w:vAlign w:val="center"/>
          </w:tcPr>
          <w:p w14:paraId="0C087CA7" w14:textId="77777777" w:rsidR="00B8619C" w:rsidRDefault="00000000">
            <w:pPr>
              <w:spacing w:after="0" w:line="240" w:lineRule="auto"/>
            </w:pPr>
            <w:r>
              <w:rPr>
                <w:rFonts w:ascii="宋体" w:hAnsi="宋体"/>
                <w:sz w:val="15"/>
              </w:rPr>
              <w:t>总体 Macro F1 差异很小；完整模型的目标代理 F1 与两类干扰风险呈较优方向</w:t>
            </w:r>
          </w:p>
        </w:tc>
        <w:tc>
          <w:tcPr>
            <w:tcW w:w="1757" w:type="dxa"/>
            <w:vAlign w:val="center"/>
          </w:tcPr>
          <w:p w14:paraId="3CA2C34C" w14:textId="77777777" w:rsidR="00B8619C" w:rsidRDefault="00000000">
            <w:pPr>
              <w:spacing w:after="0" w:line="240" w:lineRule="auto"/>
            </w:pPr>
            <w:r>
              <w:rPr>
                <w:rFonts w:ascii="宋体" w:hAnsi="宋体"/>
                <w:sz w:val="15"/>
              </w:rPr>
              <w:t>区分不同损失项作用，避免把均值轻微变化误判为稳定提升</w:t>
            </w:r>
          </w:p>
        </w:tc>
      </w:tr>
      <w:tr w:rsidR="00B8619C" w14:paraId="699C2E5C" w14:textId="77777777">
        <w:trPr>
          <w:cantSplit/>
          <w:jc w:val="center"/>
        </w:trPr>
        <w:tc>
          <w:tcPr>
            <w:tcW w:w="1247" w:type="dxa"/>
            <w:vAlign w:val="center"/>
          </w:tcPr>
          <w:p w14:paraId="4E12B914" w14:textId="77777777" w:rsidR="00B8619C" w:rsidRDefault="00000000">
            <w:pPr>
              <w:spacing w:after="0" w:line="240" w:lineRule="auto"/>
            </w:pPr>
            <w:r>
              <w:rPr>
                <w:rFonts w:ascii="宋体" w:hAnsi="宋体"/>
                <w:sz w:val="15"/>
              </w:rPr>
              <w:t>混淆矩阵与逐图错误分析</w:t>
            </w:r>
          </w:p>
        </w:tc>
        <w:tc>
          <w:tcPr>
            <w:tcW w:w="1757" w:type="dxa"/>
            <w:vAlign w:val="center"/>
          </w:tcPr>
          <w:p w14:paraId="3F531A9E" w14:textId="77777777" w:rsidR="00B8619C" w:rsidRDefault="00000000">
            <w:pPr>
              <w:spacing w:after="0" w:line="240" w:lineRule="auto"/>
            </w:pPr>
            <w:r>
              <w:rPr>
                <w:rFonts w:ascii="宋体" w:hAnsi="宋体"/>
                <w:sz w:val="15"/>
              </w:rPr>
              <w:t>固定测试集逐图预测、真实标签、预测标签和置信度</w:t>
            </w:r>
          </w:p>
        </w:tc>
        <w:tc>
          <w:tcPr>
            <w:tcW w:w="2098" w:type="dxa"/>
            <w:vAlign w:val="center"/>
          </w:tcPr>
          <w:p w14:paraId="7230FDE1" w14:textId="77777777" w:rsidR="00B8619C" w:rsidRDefault="00000000">
            <w:pPr>
              <w:spacing w:after="0" w:line="240" w:lineRule="auto"/>
            </w:pPr>
            <w:r>
              <w:rPr>
                <w:rFonts w:ascii="宋体" w:hAnsi="宋体"/>
                <w:sz w:val="15"/>
              </w:rPr>
              <w:t>统计混淆矩阵、主要错误对和类别召回率</w:t>
            </w:r>
          </w:p>
        </w:tc>
        <w:tc>
          <w:tcPr>
            <w:tcW w:w="2268" w:type="dxa"/>
            <w:vAlign w:val="center"/>
          </w:tcPr>
          <w:p w14:paraId="5C88A2D0" w14:textId="77777777" w:rsidR="00B8619C" w:rsidRDefault="00000000">
            <w:pPr>
              <w:spacing w:after="0" w:line="240" w:lineRule="auto"/>
            </w:pPr>
            <w:r>
              <w:rPr>
                <w:rFonts w:ascii="宋体" w:hAnsi="宋体"/>
                <w:sz w:val="15"/>
              </w:rPr>
              <w:t>种子 20260728 共错误 316 张；主要为含钛↔脉石及含钛↔目标混淆</w:t>
            </w:r>
          </w:p>
        </w:tc>
        <w:tc>
          <w:tcPr>
            <w:tcW w:w="1757" w:type="dxa"/>
            <w:vAlign w:val="center"/>
          </w:tcPr>
          <w:p w14:paraId="00DAEBFE" w14:textId="77777777" w:rsidR="00B8619C" w:rsidRDefault="00000000">
            <w:pPr>
              <w:spacing w:after="0" w:line="240" w:lineRule="auto"/>
            </w:pPr>
            <w:r>
              <w:rPr>
                <w:rFonts w:ascii="宋体" w:hAnsi="宋体"/>
                <w:sz w:val="15"/>
              </w:rPr>
              <w:t>定位结构性失效模式，为困难关系、数据复核和后续采样提供依据</w:t>
            </w:r>
          </w:p>
        </w:tc>
      </w:tr>
      <w:tr w:rsidR="00B8619C" w14:paraId="61BF7C64" w14:textId="77777777">
        <w:trPr>
          <w:cantSplit/>
          <w:jc w:val="center"/>
        </w:trPr>
        <w:tc>
          <w:tcPr>
            <w:tcW w:w="1247" w:type="dxa"/>
            <w:vAlign w:val="center"/>
          </w:tcPr>
          <w:p w14:paraId="27AB7D61" w14:textId="77777777" w:rsidR="00B8619C" w:rsidRDefault="00000000">
            <w:pPr>
              <w:spacing w:after="0" w:line="240" w:lineRule="auto"/>
            </w:pPr>
            <w:r>
              <w:rPr>
                <w:rFonts w:ascii="宋体" w:hAnsi="宋体"/>
                <w:sz w:val="15"/>
              </w:rPr>
              <w:t>固定映射命题的一致性检查</w:t>
            </w:r>
          </w:p>
        </w:tc>
        <w:tc>
          <w:tcPr>
            <w:tcW w:w="1757" w:type="dxa"/>
            <w:vAlign w:val="center"/>
          </w:tcPr>
          <w:p w14:paraId="78F5BE23" w14:textId="77777777" w:rsidR="00B8619C" w:rsidRDefault="00000000">
            <w:pPr>
              <w:spacing w:after="0" w:line="240" w:lineRule="auto"/>
            </w:pPr>
            <w:r>
              <w:rPr>
                <w:rFonts w:ascii="宋体" w:hAnsi="宋体"/>
                <w:sz w:val="15"/>
              </w:rPr>
              <w:t>17 类矿物到四类角色的固定映射及构造候选集合</w:t>
            </w:r>
          </w:p>
        </w:tc>
        <w:tc>
          <w:tcPr>
            <w:tcW w:w="2098" w:type="dxa"/>
            <w:vAlign w:val="center"/>
          </w:tcPr>
          <w:p w14:paraId="068C44FF" w14:textId="77777777" w:rsidR="00B8619C" w:rsidRDefault="00000000">
            <w:pPr>
              <w:spacing w:after="0" w:line="240" w:lineRule="auto"/>
            </w:pPr>
            <w:r>
              <w:rPr>
                <w:rFonts w:ascii="宋体" w:hAnsi="宋体"/>
                <w:sz w:val="15"/>
              </w:rPr>
              <w:t>按候选规模 2、3、4 构造角色一致/冲突集合并检查映射唯一性</w:t>
            </w:r>
          </w:p>
        </w:tc>
        <w:tc>
          <w:tcPr>
            <w:tcW w:w="2268" w:type="dxa"/>
            <w:vAlign w:val="center"/>
          </w:tcPr>
          <w:p w14:paraId="4E3F9CEA" w14:textId="77777777" w:rsidR="00B8619C" w:rsidRDefault="00000000">
            <w:pPr>
              <w:spacing w:after="0" w:line="240" w:lineRule="auto"/>
            </w:pPr>
            <w:r>
              <w:rPr>
                <w:rFonts w:ascii="宋体" w:hAnsi="宋体"/>
                <w:sz w:val="15"/>
              </w:rPr>
              <w:t>48 个角色一致集合为 100% 唯一；51 个角色冲突集合为 0% 唯一</w:t>
            </w:r>
          </w:p>
        </w:tc>
        <w:tc>
          <w:tcPr>
            <w:tcW w:w="1757" w:type="dxa"/>
            <w:vAlign w:val="center"/>
          </w:tcPr>
          <w:p w14:paraId="79739246" w14:textId="77777777" w:rsidR="00B8619C" w:rsidRDefault="00000000">
            <w:pPr>
              <w:spacing w:after="0" w:line="240" w:lineRule="auto"/>
            </w:pPr>
            <w:r>
              <w:rPr>
                <w:rFonts w:ascii="宋体" w:hAnsi="宋体"/>
                <w:sz w:val="15"/>
              </w:rPr>
              <w:t>检查命题与程序实现一致性；不作为图像性能或真实弱标签证据</w:t>
            </w:r>
          </w:p>
        </w:tc>
      </w:tr>
      <w:tr w:rsidR="00B8619C" w14:paraId="0F2292CF" w14:textId="77777777">
        <w:trPr>
          <w:cantSplit/>
          <w:jc w:val="center"/>
        </w:trPr>
        <w:tc>
          <w:tcPr>
            <w:tcW w:w="1247" w:type="dxa"/>
            <w:vAlign w:val="center"/>
          </w:tcPr>
          <w:p w14:paraId="0A13F700" w14:textId="77777777" w:rsidR="00B8619C" w:rsidRDefault="00000000">
            <w:pPr>
              <w:spacing w:after="0" w:line="240" w:lineRule="auto"/>
            </w:pPr>
            <w:r>
              <w:rPr>
                <w:rFonts w:ascii="宋体" w:hAnsi="宋体"/>
                <w:sz w:val="15"/>
              </w:rPr>
              <w:t>选择性识别分析</w:t>
            </w:r>
          </w:p>
        </w:tc>
        <w:tc>
          <w:tcPr>
            <w:tcW w:w="1757" w:type="dxa"/>
            <w:vAlign w:val="center"/>
          </w:tcPr>
          <w:p w14:paraId="3AF77957" w14:textId="77777777" w:rsidR="00B8619C" w:rsidRDefault="00000000">
            <w:pPr>
              <w:spacing w:after="0" w:line="240" w:lineRule="auto"/>
            </w:pPr>
            <w:r>
              <w:rPr>
                <w:rFonts w:ascii="宋体" w:hAnsi="宋体"/>
                <w:sz w:val="15"/>
              </w:rPr>
              <w:t>三个完整分层模型的测试预测与最大 Softmax 置信度</w:t>
            </w:r>
          </w:p>
        </w:tc>
        <w:tc>
          <w:tcPr>
            <w:tcW w:w="2098" w:type="dxa"/>
            <w:vAlign w:val="center"/>
          </w:tcPr>
          <w:p w14:paraId="42F6DD3D" w14:textId="77777777" w:rsidR="00B8619C" w:rsidRDefault="00000000">
            <w:pPr>
              <w:spacing w:after="0" w:line="240" w:lineRule="auto"/>
            </w:pPr>
            <w:r>
              <w:rPr>
                <w:rFonts w:ascii="宋体" w:hAnsi="宋体"/>
                <w:sz w:val="15"/>
              </w:rPr>
              <w:t>阈值 0.00—0.95 扫描，统计覆盖率、保留风险和关键误入/漏选率</w:t>
            </w:r>
          </w:p>
        </w:tc>
        <w:tc>
          <w:tcPr>
            <w:tcW w:w="2268" w:type="dxa"/>
            <w:vAlign w:val="center"/>
          </w:tcPr>
          <w:p w14:paraId="139256D0" w14:textId="77777777" w:rsidR="00B8619C" w:rsidRDefault="00000000">
            <w:pPr>
              <w:spacing w:after="0" w:line="240" w:lineRule="auto"/>
            </w:pPr>
            <w:r>
              <w:rPr>
                <w:rFonts w:ascii="宋体" w:hAnsi="宋体"/>
                <w:sz w:val="15"/>
              </w:rPr>
              <w:t>阈值 0.90 时覆盖率 60.88%±11.22%，保留风险 11.71%±1.99%</w:t>
            </w:r>
          </w:p>
        </w:tc>
        <w:tc>
          <w:tcPr>
            <w:tcW w:w="1757" w:type="dxa"/>
            <w:vAlign w:val="center"/>
          </w:tcPr>
          <w:p w14:paraId="70192162" w14:textId="77777777" w:rsidR="00B8619C" w:rsidRDefault="00000000">
            <w:pPr>
              <w:spacing w:after="0" w:line="240" w:lineRule="auto"/>
            </w:pPr>
            <w:r>
              <w:rPr>
                <w:rFonts w:ascii="宋体" w:hAnsi="宋体"/>
                <w:sz w:val="15"/>
              </w:rPr>
              <w:t>描述固定测试集的风险—覆盖率关系；不解释为成本最优运行点</w:t>
            </w:r>
          </w:p>
        </w:tc>
      </w:tr>
    </w:tbl>
    <w:p w14:paraId="3C66B962" w14:textId="77777777" w:rsidR="00B8619C" w:rsidRDefault="00000000">
      <w:pPr>
        <w:pStyle w:val="1"/>
        <w:pageBreakBefore/>
      </w:pPr>
      <w:r>
        <w:lastRenderedPageBreak/>
        <w:t xml:space="preserve">3 </w:t>
      </w:r>
      <w:r>
        <w:t>数据集构建与质量控制</w:t>
      </w:r>
    </w:p>
    <w:p w14:paraId="4BE2C88E" w14:textId="77777777" w:rsidR="00B8619C" w:rsidRDefault="00000000">
      <w:pPr>
        <w:pStyle w:val="21"/>
      </w:pPr>
      <w:r>
        <w:t xml:space="preserve">3.1 </w:t>
      </w:r>
      <w:r>
        <w:t>数据来源与元数据</w:t>
      </w:r>
    </w:p>
    <w:p w14:paraId="5634D543" w14:textId="77777777" w:rsidR="00B8619C" w:rsidRDefault="00000000">
      <w:pPr>
        <w:ind w:firstLine="420"/>
        <w:jc w:val="both"/>
      </w:pPr>
      <w:r>
        <w:t>图像主要来自</w:t>
      </w:r>
      <w:r>
        <w:t xml:space="preserve"> Mindat </w:t>
      </w:r>
      <w:r>
        <w:t>等公开矿物信息页面。每张纳入管理的图像记录原始文件名、矿物标签、</w:t>
      </w:r>
      <w:r>
        <w:t xml:space="preserve">Mindat </w:t>
      </w:r>
      <w:r>
        <w:t>图片编号、详情页链接、页面标题和初步筛选结论等字段。该方式保证后续可回溯图像来源与标签依据，同时避免将未经核验的网页抓取结果直接作为训练样本。</w:t>
      </w:r>
    </w:p>
    <w:p w14:paraId="43E657D6" w14:textId="77777777" w:rsidR="00B8619C" w:rsidRDefault="00000000">
      <w:pPr>
        <w:pStyle w:val="21"/>
      </w:pPr>
      <w:r>
        <w:t xml:space="preserve">3.2 </w:t>
      </w:r>
      <w:r>
        <w:t>类别体系与样本规模</w:t>
      </w:r>
    </w:p>
    <w:tbl>
      <w:tblPr>
        <w:tblStyle w:val="aff1"/>
        <w:tblW w:w="0" w:type="auto"/>
        <w:jc w:val="center"/>
        <w:tblLayout w:type="fixed"/>
        <w:tblLook w:val="04A0" w:firstRow="1" w:lastRow="0" w:firstColumn="1" w:lastColumn="0" w:noHBand="0" w:noVBand="1"/>
      </w:tblPr>
      <w:tblGrid>
        <w:gridCol w:w="1701"/>
        <w:gridCol w:w="1134"/>
        <w:gridCol w:w="3515"/>
        <w:gridCol w:w="2835"/>
      </w:tblGrid>
      <w:tr w:rsidR="00B8619C" w14:paraId="4FA29005" w14:textId="77777777">
        <w:trPr>
          <w:cantSplit/>
          <w:tblHeader/>
          <w:jc w:val="center"/>
        </w:trPr>
        <w:tc>
          <w:tcPr>
            <w:tcW w:w="1701" w:type="dxa"/>
            <w:shd w:val="clear" w:color="auto" w:fill="D9EAF7"/>
            <w:tcMar>
              <w:top w:w="80" w:type="dxa"/>
              <w:left w:w="90" w:type="dxa"/>
              <w:bottom w:w="80" w:type="dxa"/>
              <w:right w:w="90" w:type="dxa"/>
            </w:tcMar>
            <w:vAlign w:val="center"/>
          </w:tcPr>
          <w:p w14:paraId="76C4872D" w14:textId="77777777" w:rsidR="00B8619C" w:rsidRDefault="00000000">
            <w:pPr>
              <w:spacing w:after="0" w:line="264" w:lineRule="auto"/>
              <w:jc w:val="center"/>
            </w:pPr>
            <w:r>
              <w:rPr>
                <w:rFonts w:eastAsia="黑体"/>
                <w:b/>
                <w:sz w:val="16"/>
              </w:rPr>
              <w:t>任务标签</w:t>
            </w:r>
          </w:p>
        </w:tc>
        <w:tc>
          <w:tcPr>
            <w:tcW w:w="1134" w:type="dxa"/>
            <w:shd w:val="clear" w:color="auto" w:fill="D9EAF7"/>
            <w:tcMar>
              <w:top w:w="80" w:type="dxa"/>
              <w:left w:w="90" w:type="dxa"/>
              <w:bottom w:w="80" w:type="dxa"/>
              <w:right w:w="90" w:type="dxa"/>
            </w:tcMar>
            <w:vAlign w:val="center"/>
          </w:tcPr>
          <w:p w14:paraId="6C82D2C4" w14:textId="77777777" w:rsidR="00B8619C" w:rsidRDefault="00000000">
            <w:pPr>
              <w:spacing w:after="0" w:line="264" w:lineRule="auto"/>
              <w:jc w:val="center"/>
            </w:pPr>
            <w:r>
              <w:rPr>
                <w:rFonts w:eastAsia="黑体"/>
                <w:b/>
                <w:sz w:val="16"/>
              </w:rPr>
              <w:t>样本数</w:t>
            </w:r>
          </w:p>
        </w:tc>
        <w:tc>
          <w:tcPr>
            <w:tcW w:w="3515" w:type="dxa"/>
            <w:shd w:val="clear" w:color="auto" w:fill="D9EAF7"/>
            <w:tcMar>
              <w:top w:w="80" w:type="dxa"/>
              <w:left w:w="90" w:type="dxa"/>
              <w:bottom w:w="80" w:type="dxa"/>
              <w:right w:w="90" w:type="dxa"/>
            </w:tcMar>
            <w:vAlign w:val="center"/>
          </w:tcPr>
          <w:p w14:paraId="71DC8822" w14:textId="77777777" w:rsidR="00B8619C" w:rsidRDefault="00000000">
            <w:pPr>
              <w:spacing w:after="0" w:line="264" w:lineRule="auto"/>
              <w:jc w:val="center"/>
            </w:pPr>
            <w:r>
              <w:rPr>
                <w:rFonts w:eastAsia="黑体"/>
                <w:b/>
                <w:sz w:val="16"/>
              </w:rPr>
              <w:t>主要子类</w:t>
            </w:r>
          </w:p>
        </w:tc>
        <w:tc>
          <w:tcPr>
            <w:tcW w:w="2835" w:type="dxa"/>
            <w:shd w:val="clear" w:color="auto" w:fill="D9EAF7"/>
            <w:tcMar>
              <w:top w:w="80" w:type="dxa"/>
              <w:left w:w="90" w:type="dxa"/>
              <w:bottom w:w="80" w:type="dxa"/>
              <w:right w:w="90" w:type="dxa"/>
            </w:tcMar>
            <w:vAlign w:val="center"/>
          </w:tcPr>
          <w:p w14:paraId="345F85F3" w14:textId="77777777" w:rsidR="00B8619C" w:rsidRDefault="00000000">
            <w:pPr>
              <w:spacing w:after="0" w:line="264" w:lineRule="auto"/>
              <w:jc w:val="center"/>
            </w:pPr>
            <w:r>
              <w:rPr>
                <w:rFonts w:eastAsia="黑体"/>
                <w:b/>
                <w:sz w:val="16"/>
              </w:rPr>
              <w:t>设置目的</w:t>
            </w:r>
          </w:p>
        </w:tc>
      </w:tr>
      <w:tr w:rsidR="00B8619C" w14:paraId="399C4424" w14:textId="77777777">
        <w:trPr>
          <w:cantSplit/>
          <w:jc w:val="center"/>
        </w:trPr>
        <w:tc>
          <w:tcPr>
            <w:tcW w:w="1701" w:type="dxa"/>
            <w:tcMar>
              <w:top w:w="80" w:type="dxa"/>
              <w:left w:w="90" w:type="dxa"/>
              <w:bottom w:w="80" w:type="dxa"/>
              <w:right w:w="90" w:type="dxa"/>
            </w:tcMar>
            <w:vAlign w:val="center"/>
          </w:tcPr>
          <w:p w14:paraId="2A7BFA5E" w14:textId="77777777" w:rsidR="00B8619C" w:rsidRDefault="00000000">
            <w:pPr>
              <w:spacing w:after="0" w:line="264" w:lineRule="auto"/>
            </w:pPr>
            <w:r>
              <w:rPr>
                <w:sz w:val="16"/>
              </w:rPr>
              <w:t>目标矿物</w:t>
            </w:r>
          </w:p>
        </w:tc>
        <w:tc>
          <w:tcPr>
            <w:tcW w:w="1134" w:type="dxa"/>
            <w:tcMar>
              <w:top w:w="80" w:type="dxa"/>
              <w:left w:w="90" w:type="dxa"/>
              <w:bottom w:w="80" w:type="dxa"/>
              <w:right w:w="90" w:type="dxa"/>
            </w:tcMar>
            <w:vAlign w:val="center"/>
          </w:tcPr>
          <w:p w14:paraId="7140A6DC" w14:textId="77777777" w:rsidR="00B8619C" w:rsidRDefault="00000000">
            <w:pPr>
              <w:spacing w:after="0" w:line="264" w:lineRule="auto"/>
            </w:pPr>
            <w:r>
              <w:rPr>
                <w:sz w:val="16"/>
              </w:rPr>
              <w:t>1,661</w:t>
            </w:r>
          </w:p>
        </w:tc>
        <w:tc>
          <w:tcPr>
            <w:tcW w:w="3515" w:type="dxa"/>
            <w:tcMar>
              <w:top w:w="80" w:type="dxa"/>
              <w:left w:w="90" w:type="dxa"/>
              <w:bottom w:w="80" w:type="dxa"/>
              <w:right w:w="90" w:type="dxa"/>
            </w:tcMar>
            <w:vAlign w:val="center"/>
          </w:tcPr>
          <w:p w14:paraId="584E4766" w14:textId="77777777" w:rsidR="00B8619C" w:rsidRDefault="00000000">
            <w:pPr>
              <w:spacing w:after="0" w:line="264" w:lineRule="auto"/>
            </w:pPr>
            <w:r>
              <w:rPr>
                <w:sz w:val="16"/>
              </w:rPr>
              <w:t>magnetite 1,316</w:t>
            </w:r>
            <w:r>
              <w:rPr>
                <w:sz w:val="16"/>
              </w:rPr>
              <w:t>；</w:t>
            </w:r>
            <w:r>
              <w:rPr>
                <w:sz w:val="16"/>
              </w:rPr>
              <w:t>ilmenite 322</w:t>
            </w:r>
            <w:r>
              <w:rPr>
                <w:sz w:val="16"/>
              </w:rPr>
              <w:t>；</w:t>
            </w:r>
            <w:r>
              <w:rPr>
                <w:sz w:val="16"/>
              </w:rPr>
              <w:t>titanomagnetite 23</w:t>
            </w:r>
          </w:p>
        </w:tc>
        <w:tc>
          <w:tcPr>
            <w:tcW w:w="2835" w:type="dxa"/>
            <w:tcMar>
              <w:top w:w="80" w:type="dxa"/>
              <w:left w:w="90" w:type="dxa"/>
              <w:bottom w:w="80" w:type="dxa"/>
              <w:right w:w="90" w:type="dxa"/>
            </w:tcMar>
            <w:vAlign w:val="center"/>
          </w:tcPr>
          <w:p w14:paraId="4E15E919" w14:textId="77777777" w:rsidR="00B8619C" w:rsidRDefault="00000000">
            <w:pPr>
              <w:spacing w:after="0" w:line="264" w:lineRule="auto"/>
            </w:pPr>
            <w:r>
              <w:rPr>
                <w:sz w:val="16"/>
              </w:rPr>
              <w:t>钒钛矿相关有用组分的视觉代理</w:t>
            </w:r>
          </w:p>
        </w:tc>
      </w:tr>
      <w:tr w:rsidR="00B8619C" w14:paraId="6C0D2998" w14:textId="77777777">
        <w:trPr>
          <w:cantSplit/>
          <w:jc w:val="center"/>
        </w:trPr>
        <w:tc>
          <w:tcPr>
            <w:tcW w:w="1701" w:type="dxa"/>
            <w:tcMar>
              <w:top w:w="80" w:type="dxa"/>
              <w:left w:w="90" w:type="dxa"/>
              <w:bottom w:w="80" w:type="dxa"/>
              <w:right w:w="90" w:type="dxa"/>
            </w:tcMar>
            <w:vAlign w:val="center"/>
          </w:tcPr>
          <w:p w14:paraId="3AEEEDAC" w14:textId="77777777" w:rsidR="00B8619C" w:rsidRDefault="00000000">
            <w:pPr>
              <w:spacing w:after="0" w:line="264" w:lineRule="auto"/>
            </w:pPr>
            <w:r>
              <w:rPr>
                <w:sz w:val="16"/>
              </w:rPr>
              <w:t>含钛干扰矿物</w:t>
            </w:r>
          </w:p>
        </w:tc>
        <w:tc>
          <w:tcPr>
            <w:tcW w:w="1134" w:type="dxa"/>
            <w:tcMar>
              <w:top w:w="80" w:type="dxa"/>
              <w:left w:w="90" w:type="dxa"/>
              <w:bottom w:w="80" w:type="dxa"/>
              <w:right w:w="90" w:type="dxa"/>
            </w:tcMar>
            <w:vAlign w:val="center"/>
          </w:tcPr>
          <w:p w14:paraId="7B20BC18" w14:textId="77777777" w:rsidR="00B8619C" w:rsidRDefault="00000000">
            <w:pPr>
              <w:spacing w:after="0" w:line="264" w:lineRule="auto"/>
            </w:pPr>
            <w:r>
              <w:rPr>
                <w:sz w:val="16"/>
              </w:rPr>
              <w:t>3,268</w:t>
            </w:r>
          </w:p>
        </w:tc>
        <w:tc>
          <w:tcPr>
            <w:tcW w:w="3515" w:type="dxa"/>
            <w:tcMar>
              <w:top w:w="80" w:type="dxa"/>
              <w:left w:w="90" w:type="dxa"/>
              <w:bottom w:w="80" w:type="dxa"/>
              <w:right w:w="90" w:type="dxa"/>
            </w:tcMar>
            <w:vAlign w:val="center"/>
          </w:tcPr>
          <w:p w14:paraId="31DCD20A" w14:textId="77777777" w:rsidR="00B8619C" w:rsidRDefault="00000000">
            <w:pPr>
              <w:spacing w:after="0" w:line="264" w:lineRule="auto"/>
            </w:pPr>
            <w:r>
              <w:rPr>
                <w:sz w:val="16"/>
              </w:rPr>
              <w:t>rutile</w:t>
            </w:r>
            <w:r>
              <w:rPr>
                <w:sz w:val="16"/>
              </w:rPr>
              <w:t>、</w:t>
            </w:r>
            <w:r>
              <w:rPr>
                <w:sz w:val="16"/>
              </w:rPr>
              <w:t>anatase</w:t>
            </w:r>
            <w:r>
              <w:rPr>
                <w:sz w:val="16"/>
              </w:rPr>
              <w:t>、</w:t>
            </w:r>
            <w:r>
              <w:rPr>
                <w:sz w:val="16"/>
              </w:rPr>
              <w:t>perovskite</w:t>
            </w:r>
            <w:r>
              <w:rPr>
                <w:sz w:val="16"/>
              </w:rPr>
              <w:t>、</w:t>
            </w:r>
            <w:r>
              <w:rPr>
                <w:sz w:val="16"/>
              </w:rPr>
              <w:t xml:space="preserve">titanite </w:t>
            </w:r>
            <w:r>
              <w:rPr>
                <w:sz w:val="16"/>
              </w:rPr>
              <w:t>等</w:t>
            </w:r>
          </w:p>
        </w:tc>
        <w:tc>
          <w:tcPr>
            <w:tcW w:w="2835" w:type="dxa"/>
            <w:tcMar>
              <w:top w:w="80" w:type="dxa"/>
              <w:left w:w="90" w:type="dxa"/>
              <w:bottom w:w="80" w:type="dxa"/>
              <w:right w:w="90" w:type="dxa"/>
            </w:tcMar>
            <w:vAlign w:val="center"/>
          </w:tcPr>
          <w:p w14:paraId="7F72A411" w14:textId="77777777" w:rsidR="00B8619C" w:rsidRDefault="00000000">
            <w:pPr>
              <w:spacing w:after="0" w:line="264" w:lineRule="auto"/>
            </w:pPr>
            <w:r>
              <w:rPr>
                <w:sz w:val="16"/>
              </w:rPr>
              <w:t>避免将所有含钛矿物误判为目标</w:t>
            </w:r>
          </w:p>
        </w:tc>
      </w:tr>
      <w:tr w:rsidR="00B8619C" w14:paraId="05E84F3E" w14:textId="77777777">
        <w:trPr>
          <w:cantSplit/>
          <w:jc w:val="center"/>
        </w:trPr>
        <w:tc>
          <w:tcPr>
            <w:tcW w:w="1701" w:type="dxa"/>
            <w:tcMar>
              <w:top w:w="80" w:type="dxa"/>
              <w:left w:w="90" w:type="dxa"/>
              <w:bottom w:w="80" w:type="dxa"/>
              <w:right w:w="90" w:type="dxa"/>
            </w:tcMar>
            <w:vAlign w:val="center"/>
          </w:tcPr>
          <w:p w14:paraId="50018B27" w14:textId="77777777" w:rsidR="00B8619C" w:rsidRDefault="00000000">
            <w:pPr>
              <w:spacing w:after="0" w:line="264" w:lineRule="auto"/>
            </w:pPr>
            <w:r>
              <w:rPr>
                <w:sz w:val="16"/>
              </w:rPr>
              <w:t>脉石</w:t>
            </w:r>
            <w:r>
              <w:rPr>
                <w:sz w:val="16"/>
              </w:rPr>
              <w:t>/</w:t>
            </w:r>
            <w:r>
              <w:rPr>
                <w:sz w:val="16"/>
              </w:rPr>
              <w:t>废石</w:t>
            </w:r>
          </w:p>
        </w:tc>
        <w:tc>
          <w:tcPr>
            <w:tcW w:w="1134" w:type="dxa"/>
            <w:tcMar>
              <w:top w:w="80" w:type="dxa"/>
              <w:left w:w="90" w:type="dxa"/>
              <w:bottom w:w="80" w:type="dxa"/>
              <w:right w:w="90" w:type="dxa"/>
            </w:tcMar>
            <w:vAlign w:val="center"/>
          </w:tcPr>
          <w:p w14:paraId="66443666" w14:textId="77777777" w:rsidR="00B8619C" w:rsidRDefault="00000000">
            <w:pPr>
              <w:spacing w:after="0" w:line="264" w:lineRule="auto"/>
            </w:pPr>
            <w:r>
              <w:rPr>
                <w:sz w:val="16"/>
              </w:rPr>
              <w:t>2,427</w:t>
            </w:r>
          </w:p>
        </w:tc>
        <w:tc>
          <w:tcPr>
            <w:tcW w:w="3515" w:type="dxa"/>
            <w:tcMar>
              <w:top w:w="80" w:type="dxa"/>
              <w:left w:w="90" w:type="dxa"/>
              <w:bottom w:w="80" w:type="dxa"/>
              <w:right w:w="90" w:type="dxa"/>
            </w:tcMar>
            <w:vAlign w:val="center"/>
          </w:tcPr>
          <w:p w14:paraId="61E7E216" w14:textId="77777777" w:rsidR="00B8619C" w:rsidRDefault="00000000">
            <w:pPr>
              <w:spacing w:after="0" w:line="264" w:lineRule="auto"/>
            </w:pPr>
            <w:r>
              <w:rPr>
                <w:sz w:val="16"/>
              </w:rPr>
              <w:t>fluorapatite</w:t>
            </w:r>
            <w:r>
              <w:rPr>
                <w:sz w:val="16"/>
              </w:rPr>
              <w:t>、</w:t>
            </w:r>
            <w:r>
              <w:rPr>
                <w:sz w:val="16"/>
              </w:rPr>
              <w:t>vesuvianite</w:t>
            </w:r>
            <w:r>
              <w:rPr>
                <w:sz w:val="16"/>
              </w:rPr>
              <w:t>、</w:t>
            </w:r>
            <w:r>
              <w:rPr>
                <w:sz w:val="16"/>
              </w:rPr>
              <w:t>quartz</w:t>
            </w:r>
            <w:r>
              <w:rPr>
                <w:sz w:val="16"/>
              </w:rPr>
              <w:t>、</w:t>
            </w:r>
            <w:r>
              <w:rPr>
                <w:sz w:val="16"/>
              </w:rPr>
              <w:t>feldspar</w:t>
            </w:r>
            <w:r>
              <w:rPr>
                <w:sz w:val="16"/>
              </w:rPr>
              <w:t>、</w:t>
            </w:r>
            <w:r>
              <w:rPr>
                <w:sz w:val="16"/>
              </w:rPr>
              <w:t>calcite</w:t>
            </w:r>
            <w:r>
              <w:rPr>
                <w:sz w:val="16"/>
              </w:rPr>
              <w:t>、</w:t>
            </w:r>
            <w:r>
              <w:rPr>
                <w:sz w:val="16"/>
              </w:rPr>
              <w:t xml:space="preserve">pyroxene </w:t>
            </w:r>
            <w:r>
              <w:rPr>
                <w:sz w:val="16"/>
              </w:rPr>
              <w:t>等</w:t>
            </w:r>
          </w:p>
        </w:tc>
        <w:tc>
          <w:tcPr>
            <w:tcW w:w="2835" w:type="dxa"/>
            <w:tcMar>
              <w:top w:w="80" w:type="dxa"/>
              <w:left w:w="90" w:type="dxa"/>
              <w:bottom w:w="80" w:type="dxa"/>
              <w:right w:w="90" w:type="dxa"/>
            </w:tcMar>
            <w:vAlign w:val="center"/>
          </w:tcPr>
          <w:p w14:paraId="17D94993" w14:textId="77777777" w:rsidR="00B8619C" w:rsidRDefault="00000000">
            <w:pPr>
              <w:spacing w:after="0" w:line="264" w:lineRule="auto"/>
            </w:pPr>
            <w:r>
              <w:rPr>
                <w:sz w:val="16"/>
              </w:rPr>
              <w:t>模拟脉石和废石视觉干扰</w:t>
            </w:r>
          </w:p>
        </w:tc>
      </w:tr>
      <w:tr w:rsidR="00B8619C" w14:paraId="6A19E820" w14:textId="77777777">
        <w:trPr>
          <w:cantSplit/>
          <w:jc w:val="center"/>
        </w:trPr>
        <w:tc>
          <w:tcPr>
            <w:tcW w:w="1701" w:type="dxa"/>
            <w:tcMar>
              <w:top w:w="80" w:type="dxa"/>
              <w:left w:w="90" w:type="dxa"/>
              <w:bottom w:w="80" w:type="dxa"/>
              <w:right w:w="90" w:type="dxa"/>
            </w:tcMar>
            <w:vAlign w:val="center"/>
          </w:tcPr>
          <w:p w14:paraId="3C34B1E6" w14:textId="77777777" w:rsidR="00B8619C" w:rsidRDefault="00000000">
            <w:pPr>
              <w:spacing w:after="0" w:line="264" w:lineRule="auto"/>
            </w:pPr>
            <w:r>
              <w:rPr>
                <w:sz w:val="16"/>
              </w:rPr>
              <w:t>金属光泽干扰</w:t>
            </w:r>
          </w:p>
        </w:tc>
        <w:tc>
          <w:tcPr>
            <w:tcW w:w="1134" w:type="dxa"/>
            <w:tcMar>
              <w:top w:w="80" w:type="dxa"/>
              <w:left w:w="90" w:type="dxa"/>
              <w:bottom w:w="80" w:type="dxa"/>
              <w:right w:w="90" w:type="dxa"/>
            </w:tcMar>
            <w:vAlign w:val="center"/>
          </w:tcPr>
          <w:p w14:paraId="4C999D1F" w14:textId="77777777" w:rsidR="00B8619C" w:rsidRDefault="00000000">
            <w:pPr>
              <w:spacing w:after="0" w:line="264" w:lineRule="auto"/>
            </w:pPr>
            <w:r>
              <w:rPr>
                <w:sz w:val="16"/>
              </w:rPr>
              <w:t>1,173</w:t>
            </w:r>
          </w:p>
        </w:tc>
        <w:tc>
          <w:tcPr>
            <w:tcW w:w="3515" w:type="dxa"/>
            <w:tcMar>
              <w:top w:w="80" w:type="dxa"/>
              <w:left w:w="90" w:type="dxa"/>
              <w:bottom w:w="80" w:type="dxa"/>
              <w:right w:w="90" w:type="dxa"/>
            </w:tcMar>
            <w:vAlign w:val="center"/>
          </w:tcPr>
          <w:p w14:paraId="3C2D7C90" w14:textId="77777777" w:rsidR="00B8619C" w:rsidRDefault="00000000">
            <w:pPr>
              <w:spacing w:after="0" w:line="264" w:lineRule="auto"/>
            </w:pPr>
            <w:r>
              <w:rPr>
                <w:sz w:val="16"/>
              </w:rPr>
              <w:t>pyrite</w:t>
            </w:r>
            <w:r>
              <w:rPr>
                <w:sz w:val="16"/>
              </w:rPr>
              <w:t>、</w:t>
            </w:r>
            <w:r>
              <w:rPr>
                <w:sz w:val="16"/>
              </w:rPr>
              <w:t>hematite</w:t>
            </w:r>
            <w:r>
              <w:rPr>
                <w:sz w:val="16"/>
              </w:rPr>
              <w:t>、</w:t>
            </w:r>
            <w:r>
              <w:rPr>
                <w:sz w:val="16"/>
              </w:rPr>
              <w:t>goethite</w:t>
            </w:r>
            <w:r>
              <w:rPr>
                <w:sz w:val="16"/>
              </w:rPr>
              <w:t>、</w:t>
            </w:r>
            <w:r>
              <w:rPr>
                <w:sz w:val="16"/>
              </w:rPr>
              <w:t xml:space="preserve">chalcopyrite </w:t>
            </w:r>
            <w:r>
              <w:rPr>
                <w:sz w:val="16"/>
              </w:rPr>
              <w:t>等</w:t>
            </w:r>
          </w:p>
        </w:tc>
        <w:tc>
          <w:tcPr>
            <w:tcW w:w="2835" w:type="dxa"/>
            <w:tcMar>
              <w:top w:w="80" w:type="dxa"/>
              <w:left w:w="90" w:type="dxa"/>
              <w:bottom w:w="80" w:type="dxa"/>
              <w:right w:w="90" w:type="dxa"/>
            </w:tcMar>
            <w:vAlign w:val="center"/>
          </w:tcPr>
          <w:p w14:paraId="38107309" w14:textId="77777777" w:rsidR="00B8619C" w:rsidRDefault="00000000">
            <w:pPr>
              <w:spacing w:after="0" w:line="264" w:lineRule="auto"/>
            </w:pPr>
            <w:r>
              <w:rPr>
                <w:sz w:val="16"/>
              </w:rPr>
              <w:t>检验模型是否过度依赖暗色或反光特征</w:t>
            </w:r>
          </w:p>
        </w:tc>
      </w:tr>
      <w:tr w:rsidR="00B8619C" w14:paraId="5484C145" w14:textId="77777777">
        <w:trPr>
          <w:cantSplit/>
          <w:jc w:val="center"/>
        </w:trPr>
        <w:tc>
          <w:tcPr>
            <w:tcW w:w="1701" w:type="dxa"/>
            <w:tcMar>
              <w:top w:w="80" w:type="dxa"/>
              <w:left w:w="90" w:type="dxa"/>
              <w:bottom w:w="80" w:type="dxa"/>
              <w:right w:w="90" w:type="dxa"/>
            </w:tcMar>
            <w:vAlign w:val="center"/>
          </w:tcPr>
          <w:p w14:paraId="7EEAF4E1" w14:textId="77777777" w:rsidR="00B8619C" w:rsidRDefault="00000000">
            <w:pPr>
              <w:spacing w:after="0" w:line="264" w:lineRule="auto"/>
            </w:pPr>
            <w:r>
              <w:rPr>
                <w:sz w:val="16"/>
              </w:rPr>
              <w:t>合计</w:t>
            </w:r>
          </w:p>
        </w:tc>
        <w:tc>
          <w:tcPr>
            <w:tcW w:w="1134" w:type="dxa"/>
            <w:tcMar>
              <w:top w:w="80" w:type="dxa"/>
              <w:left w:w="90" w:type="dxa"/>
              <w:bottom w:w="80" w:type="dxa"/>
              <w:right w:w="90" w:type="dxa"/>
            </w:tcMar>
            <w:vAlign w:val="center"/>
          </w:tcPr>
          <w:p w14:paraId="16C1531A" w14:textId="77777777" w:rsidR="00B8619C" w:rsidRDefault="00000000">
            <w:pPr>
              <w:spacing w:after="0" w:line="264" w:lineRule="auto"/>
            </w:pPr>
            <w:r>
              <w:rPr>
                <w:sz w:val="16"/>
              </w:rPr>
              <w:t>8,529</w:t>
            </w:r>
          </w:p>
        </w:tc>
        <w:tc>
          <w:tcPr>
            <w:tcW w:w="3515" w:type="dxa"/>
            <w:tcMar>
              <w:top w:w="80" w:type="dxa"/>
              <w:left w:w="90" w:type="dxa"/>
              <w:bottom w:w="80" w:type="dxa"/>
              <w:right w:w="90" w:type="dxa"/>
            </w:tcMar>
            <w:vAlign w:val="center"/>
          </w:tcPr>
          <w:p w14:paraId="119DCD90" w14:textId="77777777" w:rsidR="00B8619C" w:rsidRDefault="00000000">
            <w:pPr>
              <w:spacing w:after="0" w:line="264" w:lineRule="auto"/>
            </w:pPr>
            <w:r>
              <w:rPr>
                <w:sz w:val="16"/>
              </w:rPr>
              <w:t>—</w:t>
            </w:r>
          </w:p>
        </w:tc>
        <w:tc>
          <w:tcPr>
            <w:tcW w:w="2835" w:type="dxa"/>
            <w:tcMar>
              <w:top w:w="80" w:type="dxa"/>
              <w:left w:w="90" w:type="dxa"/>
              <w:bottom w:w="80" w:type="dxa"/>
              <w:right w:w="90" w:type="dxa"/>
            </w:tcMar>
            <w:vAlign w:val="center"/>
          </w:tcPr>
          <w:p w14:paraId="6DE3BADE" w14:textId="77777777" w:rsidR="00B8619C" w:rsidRDefault="00000000">
            <w:pPr>
              <w:spacing w:after="0" w:line="264" w:lineRule="auto"/>
            </w:pPr>
            <w:r>
              <w:rPr>
                <w:sz w:val="16"/>
              </w:rPr>
              <w:t>固定版本</w:t>
            </w:r>
            <w:r>
              <w:rPr>
                <w:sz w:val="16"/>
              </w:rPr>
              <w:t xml:space="preserve"> dataset_final_v1</w:t>
            </w:r>
          </w:p>
        </w:tc>
      </w:tr>
    </w:tbl>
    <w:p w14:paraId="03F76031" w14:textId="77777777" w:rsidR="00B8619C" w:rsidRDefault="00000000">
      <w:pPr>
        <w:pStyle w:val="af7"/>
        <w:keepNext/>
        <w:spacing w:after="100"/>
        <w:jc w:val="center"/>
      </w:pPr>
      <w:r>
        <w:t>表</w:t>
      </w:r>
      <w:r>
        <w:t xml:space="preserve"> 4 </w:t>
      </w:r>
      <w:r>
        <w:t>四分类数据集规模与主要子类</w:t>
      </w:r>
    </w:p>
    <w:p w14:paraId="4431EF66" w14:textId="77777777" w:rsidR="00B8619C" w:rsidRDefault="00000000">
      <w:pPr>
        <w:pStyle w:val="21"/>
      </w:pPr>
      <w:r>
        <w:t xml:space="preserve">3.3 </w:t>
      </w:r>
      <w:r>
        <w:t>图像筛选与分层复核</w:t>
      </w:r>
    </w:p>
    <w:p w14:paraId="4AB9ED5A" w14:textId="77777777" w:rsidR="00B8619C" w:rsidRDefault="00000000">
      <w:pPr>
        <w:ind w:firstLine="420"/>
        <w:jc w:val="both"/>
      </w:pPr>
      <w:r>
        <w:t>预筛阶段保留矿物主体占画面比例较高、颜色</w:t>
      </w:r>
      <w:r>
        <w:t>/</w:t>
      </w:r>
      <w:r>
        <w:t>光泽</w:t>
      </w:r>
      <w:r>
        <w:t>/</w:t>
      </w:r>
      <w:r>
        <w:t>块状或晶体形态可辨、分辨率满足识别需要且页面标签较清晰的图片；剔除主体不明、严重模糊、过暗</w:t>
      </w:r>
      <w:r>
        <w:t>/</w:t>
      </w:r>
      <w:r>
        <w:t>过曝、纯显微照片以及标尺、硬币或人手占比过大的图片。标题出现多个矿物且主体不清晰的样本进入</w:t>
      </w:r>
      <w:r>
        <w:t xml:space="preserve"> mixed_uncertain </w:t>
      </w:r>
      <w:r>
        <w:t>队列，不直接作为单标签训练样本。</w:t>
      </w:r>
    </w:p>
    <w:p w14:paraId="59D3729B" w14:textId="77777777" w:rsidR="00B8619C" w:rsidRDefault="00000000">
      <w:pPr>
        <w:ind w:firstLine="420"/>
        <w:jc w:val="both"/>
      </w:pPr>
      <w:r>
        <w:t>项目建立了</w:t>
      </w:r>
      <w:r>
        <w:t xml:space="preserve"> 823 </w:t>
      </w:r>
      <w:r>
        <w:t>张分层复核队列，其中当前记录为</w:t>
      </w:r>
      <w:r>
        <w:t xml:space="preserve"> 789 </w:t>
      </w:r>
      <w:r>
        <w:t>张保留、</w:t>
      </w:r>
      <w:r>
        <w:t xml:space="preserve">32 </w:t>
      </w:r>
      <w:r>
        <w:t>张排除、</w:t>
      </w:r>
      <w:r>
        <w:t xml:space="preserve">2 </w:t>
      </w:r>
      <w:r>
        <w:t>张</w:t>
      </w:r>
      <w:r>
        <w:t xml:space="preserve"> needs_expert </w:t>
      </w:r>
      <w:r>
        <w:t>且未进入最终训练清单。需要强调的是，复核责任字段尚未完全闭环：复核人、复核日期及</w:t>
      </w:r>
      <w:r>
        <w:t xml:space="preserve"> 3 </w:t>
      </w:r>
      <w:r>
        <w:t>条缺失排除原因仍需由实际复核人员补录。正式结题前，应优先核验测试集并保留可审计的视觉复核证据。</w:t>
      </w:r>
    </w:p>
    <w:p w14:paraId="1FE08724" w14:textId="77777777" w:rsidR="00B8619C" w:rsidRDefault="00000000">
      <w:pPr>
        <w:pStyle w:val="21"/>
      </w:pPr>
      <w:r>
        <w:t xml:space="preserve">3.4 </w:t>
      </w:r>
      <w:r>
        <w:t>固定划分与泄漏控制</w:t>
      </w:r>
    </w:p>
    <w:tbl>
      <w:tblPr>
        <w:tblStyle w:val="aff1"/>
        <w:tblW w:w="0" w:type="auto"/>
        <w:jc w:val="center"/>
        <w:tblLayout w:type="fixed"/>
        <w:tblLook w:val="04A0" w:firstRow="1" w:lastRow="0" w:firstColumn="1" w:lastColumn="0" w:noHBand="0" w:noVBand="1"/>
      </w:tblPr>
      <w:tblGrid>
        <w:gridCol w:w="1417"/>
        <w:gridCol w:w="1417"/>
        <w:gridCol w:w="1417"/>
        <w:gridCol w:w="4819"/>
      </w:tblGrid>
      <w:tr w:rsidR="00B8619C" w14:paraId="109802F6" w14:textId="77777777">
        <w:trPr>
          <w:cantSplit/>
          <w:tblHeader/>
          <w:jc w:val="center"/>
        </w:trPr>
        <w:tc>
          <w:tcPr>
            <w:tcW w:w="1417" w:type="dxa"/>
            <w:shd w:val="clear" w:color="auto" w:fill="D9EAF7"/>
            <w:tcMar>
              <w:top w:w="80" w:type="dxa"/>
              <w:left w:w="90" w:type="dxa"/>
              <w:bottom w:w="80" w:type="dxa"/>
              <w:right w:w="90" w:type="dxa"/>
            </w:tcMar>
            <w:vAlign w:val="center"/>
          </w:tcPr>
          <w:p w14:paraId="03AD39F6" w14:textId="77777777" w:rsidR="00B8619C" w:rsidRDefault="00000000">
            <w:pPr>
              <w:spacing w:after="0" w:line="264" w:lineRule="auto"/>
              <w:jc w:val="center"/>
            </w:pPr>
            <w:r>
              <w:rPr>
                <w:rFonts w:eastAsia="黑体"/>
                <w:b/>
                <w:sz w:val="17"/>
              </w:rPr>
              <w:t>集合</w:t>
            </w:r>
          </w:p>
        </w:tc>
        <w:tc>
          <w:tcPr>
            <w:tcW w:w="1417" w:type="dxa"/>
            <w:shd w:val="clear" w:color="auto" w:fill="D9EAF7"/>
            <w:tcMar>
              <w:top w:w="80" w:type="dxa"/>
              <w:left w:w="90" w:type="dxa"/>
              <w:bottom w:w="80" w:type="dxa"/>
              <w:right w:w="90" w:type="dxa"/>
            </w:tcMar>
            <w:vAlign w:val="center"/>
          </w:tcPr>
          <w:p w14:paraId="27954997" w14:textId="77777777" w:rsidR="00B8619C" w:rsidRDefault="00000000">
            <w:pPr>
              <w:spacing w:after="0" w:line="264" w:lineRule="auto"/>
              <w:jc w:val="center"/>
            </w:pPr>
            <w:r>
              <w:rPr>
                <w:rFonts w:eastAsia="黑体"/>
                <w:b/>
                <w:sz w:val="17"/>
              </w:rPr>
              <w:t>图像数</w:t>
            </w:r>
          </w:p>
        </w:tc>
        <w:tc>
          <w:tcPr>
            <w:tcW w:w="1417" w:type="dxa"/>
            <w:shd w:val="clear" w:color="auto" w:fill="D9EAF7"/>
            <w:tcMar>
              <w:top w:w="80" w:type="dxa"/>
              <w:left w:w="90" w:type="dxa"/>
              <w:bottom w:w="80" w:type="dxa"/>
              <w:right w:w="90" w:type="dxa"/>
            </w:tcMar>
            <w:vAlign w:val="center"/>
          </w:tcPr>
          <w:p w14:paraId="2534FAAD" w14:textId="77777777" w:rsidR="00B8619C" w:rsidRDefault="00000000">
            <w:pPr>
              <w:spacing w:after="0" w:line="264" w:lineRule="auto"/>
              <w:jc w:val="center"/>
            </w:pPr>
            <w:r>
              <w:rPr>
                <w:rFonts w:eastAsia="黑体"/>
                <w:b/>
                <w:sz w:val="17"/>
              </w:rPr>
              <w:t>比例</w:t>
            </w:r>
          </w:p>
        </w:tc>
        <w:tc>
          <w:tcPr>
            <w:tcW w:w="4819" w:type="dxa"/>
            <w:shd w:val="clear" w:color="auto" w:fill="D9EAF7"/>
            <w:tcMar>
              <w:top w:w="80" w:type="dxa"/>
              <w:left w:w="90" w:type="dxa"/>
              <w:bottom w:w="80" w:type="dxa"/>
              <w:right w:w="90" w:type="dxa"/>
            </w:tcMar>
            <w:vAlign w:val="center"/>
          </w:tcPr>
          <w:p w14:paraId="7C8189FF" w14:textId="77777777" w:rsidR="00B8619C" w:rsidRDefault="00000000">
            <w:pPr>
              <w:spacing w:after="0" w:line="264" w:lineRule="auto"/>
              <w:jc w:val="center"/>
            </w:pPr>
            <w:r>
              <w:rPr>
                <w:rFonts w:eastAsia="黑体"/>
                <w:b/>
                <w:sz w:val="17"/>
              </w:rPr>
              <w:t>用途</w:t>
            </w:r>
          </w:p>
        </w:tc>
      </w:tr>
      <w:tr w:rsidR="00B8619C" w14:paraId="055881E7" w14:textId="77777777">
        <w:trPr>
          <w:cantSplit/>
          <w:jc w:val="center"/>
        </w:trPr>
        <w:tc>
          <w:tcPr>
            <w:tcW w:w="1417" w:type="dxa"/>
            <w:tcMar>
              <w:top w:w="80" w:type="dxa"/>
              <w:left w:w="90" w:type="dxa"/>
              <w:bottom w:w="80" w:type="dxa"/>
              <w:right w:w="90" w:type="dxa"/>
            </w:tcMar>
            <w:vAlign w:val="center"/>
          </w:tcPr>
          <w:p w14:paraId="32B64CA4" w14:textId="77777777" w:rsidR="00B8619C" w:rsidRDefault="00000000">
            <w:pPr>
              <w:spacing w:after="0" w:line="264" w:lineRule="auto"/>
            </w:pPr>
            <w:r>
              <w:rPr>
                <w:sz w:val="17"/>
              </w:rPr>
              <w:t>训练集</w:t>
            </w:r>
          </w:p>
        </w:tc>
        <w:tc>
          <w:tcPr>
            <w:tcW w:w="1417" w:type="dxa"/>
            <w:tcMar>
              <w:top w:w="80" w:type="dxa"/>
              <w:left w:w="90" w:type="dxa"/>
              <w:bottom w:w="80" w:type="dxa"/>
              <w:right w:w="90" w:type="dxa"/>
            </w:tcMar>
            <w:vAlign w:val="center"/>
          </w:tcPr>
          <w:p w14:paraId="16A70F0A" w14:textId="77777777" w:rsidR="00B8619C" w:rsidRDefault="00000000">
            <w:pPr>
              <w:spacing w:after="0" w:line="264" w:lineRule="auto"/>
            </w:pPr>
            <w:r>
              <w:rPr>
                <w:sz w:val="17"/>
              </w:rPr>
              <w:t>5,961</w:t>
            </w:r>
          </w:p>
        </w:tc>
        <w:tc>
          <w:tcPr>
            <w:tcW w:w="1417" w:type="dxa"/>
            <w:tcMar>
              <w:top w:w="80" w:type="dxa"/>
              <w:left w:w="90" w:type="dxa"/>
              <w:bottom w:w="80" w:type="dxa"/>
              <w:right w:w="90" w:type="dxa"/>
            </w:tcMar>
            <w:vAlign w:val="center"/>
          </w:tcPr>
          <w:p w14:paraId="21F8B5D8" w14:textId="77777777" w:rsidR="00B8619C" w:rsidRDefault="00000000">
            <w:pPr>
              <w:spacing w:after="0" w:line="264" w:lineRule="auto"/>
            </w:pPr>
            <w:r>
              <w:rPr>
                <w:sz w:val="17"/>
              </w:rPr>
              <w:t>69.89%</w:t>
            </w:r>
          </w:p>
        </w:tc>
        <w:tc>
          <w:tcPr>
            <w:tcW w:w="4819" w:type="dxa"/>
            <w:tcMar>
              <w:top w:w="80" w:type="dxa"/>
              <w:left w:w="90" w:type="dxa"/>
              <w:bottom w:w="80" w:type="dxa"/>
              <w:right w:w="90" w:type="dxa"/>
            </w:tcMar>
            <w:vAlign w:val="center"/>
          </w:tcPr>
          <w:p w14:paraId="5D64F6AF" w14:textId="77777777" w:rsidR="00B8619C" w:rsidRDefault="00000000">
            <w:pPr>
              <w:spacing w:after="0" w:line="264" w:lineRule="auto"/>
            </w:pPr>
            <w:r>
              <w:rPr>
                <w:sz w:val="17"/>
              </w:rPr>
              <w:t>模型参数学习与训练期数据增强</w:t>
            </w:r>
          </w:p>
        </w:tc>
      </w:tr>
      <w:tr w:rsidR="00B8619C" w14:paraId="7B744B8D" w14:textId="77777777">
        <w:trPr>
          <w:cantSplit/>
          <w:jc w:val="center"/>
        </w:trPr>
        <w:tc>
          <w:tcPr>
            <w:tcW w:w="1417" w:type="dxa"/>
            <w:tcMar>
              <w:top w:w="80" w:type="dxa"/>
              <w:left w:w="90" w:type="dxa"/>
              <w:bottom w:w="80" w:type="dxa"/>
              <w:right w:w="90" w:type="dxa"/>
            </w:tcMar>
            <w:vAlign w:val="center"/>
          </w:tcPr>
          <w:p w14:paraId="2F7C24BB" w14:textId="77777777" w:rsidR="00B8619C" w:rsidRDefault="00000000">
            <w:pPr>
              <w:spacing w:after="0" w:line="264" w:lineRule="auto"/>
            </w:pPr>
            <w:r>
              <w:rPr>
                <w:sz w:val="17"/>
              </w:rPr>
              <w:t>验证集</w:t>
            </w:r>
          </w:p>
        </w:tc>
        <w:tc>
          <w:tcPr>
            <w:tcW w:w="1417" w:type="dxa"/>
            <w:tcMar>
              <w:top w:w="80" w:type="dxa"/>
              <w:left w:w="90" w:type="dxa"/>
              <w:bottom w:w="80" w:type="dxa"/>
              <w:right w:w="90" w:type="dxa"/>
            </w:tcMar>
            <w:vAlign w:val="center"/>
          </w:tcPr>
          <w:p w14:paraId="4899DB0C" w14:textId="77777777" w:rsidR="00B8619C" w:rsidRDefault="00000000">
            <w:pPr>
              <w:spacing w:after="0" w:line="264" w:lineRule="auto"/>
            </w:pPr>
            <w:r>
              <w:rPr>
                <w:sz w:val="17"/>
              </w:rPr>
              <w:t>1,284</w:t>
            </w:r>
          </w:p>
        </w:tc>
        <w:tc>
          <w:tcPr>
            <w:tcW w:w="1417" w:type="dxa"/>
            <w:tcMar>
              <w:top w:w="80" w:type="dxa"/>
              <w:left w:w="90" w:type="dxa"/>
              <w:bottom w:w="80" w:type="dxa"/>
              <w:right w:w="90" w:type="dxa"/>
            </w:tcMar>
            <w:vAlign w:val="center"/>
          </w:tcPr>
          <w:p w14:paraId="51752F47" w14:textId="77777777" w:rsidR="00B8619C" w:rsidRDefault="00000000">
            <w:pPr>
              <w:spacing w:after="0" w:line="264" w:lineRule="auto"/>
            </w:pPr>
            <w:r>
              <w:rPr>
                <w:sz w:val="17"/>
              </w:rPr>
              <w:t>15.05%</w:t>
            </w:r>
          </w:p>
        </w:tc>
        <w:tc>
          <w:tcPr>
            <w:tcW w:w="4819" w:type="dxa"/>
            <w:tcMar>
              <w:top w:w="80" w:type="dxa"/>
              <w:left w:w="90" w:type="dxa"/>
              <w:bottom w:w="80" w:type="dxa"/>
              <w:right w:w="90" w:type="dxa"/>
            </w:tcMar>
            <w:vAlign w:val="center"/>
          </w:tcPr>
          <w:p w14:paraId="17A3A16B" w14:textId="77777777" w:rsidR="00B8619C" w:rsidRDefault="00000000">
            <w:pPr>
              <w:spacing w:after="0" w:line="264" w:lineRule="auto"/>
            </w:pPr>
            <w:r>
              <w:rPr>
                <w:sz w:val="17"/>
              </w:rPr>
              <w:t>早停、超参数观察及后续阈值选择</w:t>
            </w:r>
          </w:p>
        </w:tc>
      </w:tr>
      <w:tr w:rsidR="00B8619C" w14:paraId="51EE3ADE" w14:textId="77777777">
        <w:trPr>
          <w:cantSplit/>
          <w:jc w:val="center"/>
        </w:trPr>
        <w:tc>
          <w:tcPr>
            <w:tcW w:w="1417" w:type="dxa"/>
            <w:tcMar>
              <w:top w:w="80" w:type="dxa"/>
              <w:left w:w="90" w:type="dxa"/>
              <w:bottom w:w="80" w:type="dxa"/>
              <w:right w:w="90" w:type="dxa"/>
            </w:tcMar>
            <w:vAlign w:val="center"/>
          </w:tcPr>
          <w:p w14:paraId="37835D94" w14:textId="77777777" w:rsidR="00B8619C" w:rsidRDefault="00000000">
            <w:pPr>
              <w:spacing w:after="0" w:line="264" w:lineRule="auto"/>
            </w:pPr>
            <w:r>
              <w:rPr>
                <w:sz w:val="17"/>
              </w:rPr>
              <w:t>测试集</w:t>
            </w:r>
          </w:p>
        </w:tc>
        <w:tc>
          <w:tcPr>
            <w:tcW w:w="1417" w:type="dxa"/>
            <w:tcMar>
              <w:top w:w="80" w:type="dxa"/>
              <w:left w:w="90" w:type="dxa"/>
              <w:bottom w:w="80" w:type="dxa"/>
              <w:right w:w="90" w:type="dxa"/>
            </w:tcMar>
            <w:vAlign w:val="center"/>
          </w:tcPr>
          <w:p w14:paraId="45A9CC42" w14:textId="77777777" w:rsidR="00B8619C" w:rsidRDefault="00000000">
            <w:pPr>
              <w:spacing w:after="0" w:line="264" w:lineRule="auto"/>
            </w:pPr>
            <w:r>
              <w:rPr>
                <w:sz w:val="17"/>
              </w:rPr>
              <w:t>1,284</w:t>
            </w:r>
          </w:p>
        </w:tc>
        <w:tc>
          <w:tcPr>
            <w:tcW w:w="1417" w:type="dxa"/>
            <w:tcMar>
              <w:top w:w="80" w:type="dxa"/>
              <w:left w:w="90" w:type="dxa"/>
              <w:bottom w:w="80" w:type="dxa"/>
              <w:right w:w="90" w:type="dxa"/>
            </w:tcMar>
            <w:vAlign w:val="center"/>
          </w:tcPr>
          <w:p w14:paraId="1E0DE37C" w14:textId="77777777" w:rsidR="00B8619C" w:rsidRDefault="00000000">
            <w:pPr>
              <w:spacing w:after="0" w:line="264" w:lineRule="auto"/>
            </w:pPr>
            <w:r>
              <w:rPr>
                <w:sz w:val="17"/>
              </w:rPr>
              <w:t>15.05%</w:t>
            </w:r>
          </w:p>
        </w:tc>
        <w:tc>
          <w:tcPr>
            <w:tcW w:w="4819" w:type="dxa"/>
            <w:tcMar>
              <w:top w:w="80" w:type="dxa"/>
              <w:left w:w="90" w:type="dxa"/>
              <w:bottom w:w="80" w:type="dxa"/>
              <w:right w:w="90" w:type="dxa"/>
            </w:tcMar>
            <w:vAlign w:val="center"/>
          </w:tcPr>
          <w:p w14:paraId="15DCC7EB" w14:textId="77777777" w:rsidR="00B8619C" w:rsidRDefault="00000000">
            <w:pPr>
              <w:spacing w:after="0" w:line="264" w:lineRule="auto"/>
            </w:pPr>
            <w:r>
              <w:rPr>
                <w:sz w:val="17"/>
              </w:rPr>
              <w:t>固定的最终性能评价</w:t>
            </w:r>
          </w:p>
        </w:tc>
      </w:tr>
      <w:tr w:rsidR="00B8619C" w14:paraId="4BB0ADC8" w14:textId="77777777">
        <w:trPr>
          <w:cantSplit/>
          <w:jc w:val="center"/>
        </w:trPr>
        <w:tc>
          <w:tcPr>
            <w:tcW w:w="1417" w:type="dxa"/>
            <w:tcMar>
              <w:top w:w="80" w:type="dxa"/>
              <w:left w:w="90" w:type="dxa"/>
              <w:bottom w:w="80" w:type="dxa"/>
              <w:right w:w="90" w:type="dxa"/>
            </w:tcMar>
            <w:vAlign w:val="center"/>
          </w:tcPr>
          <w:p w14:paraId="3B552ED7" w14:textId="77777777" w:rsidR="00B8619C" w:rsidRDefault="00000000">
            <w:pPr>
              <w:spacing w:after="0" w:line="264" w:lineRule="auto"/>
            </w:pPr>
            <w:r>
              <w:rPr>
                <w:sz w:val="17"/>
              </w:rPr>
              <w:t>合计</w:t>
            </w:r>
          </w:p>
        </w:tc>
        <w:tc>
          <w:tcPr>
            <w:tcW w:w="1417" w:type="dxa"/>
            <w:tcMar>
              <w:top w:w="80" w:type="dxa"/>
              <w:left w:w="90" w:type="dxa"/>
              <w:bottom w:w="80" w:type="dxa"/>
              <w:right w:w="90" w:type="dxa"/>
            </w:tcMar>
            <w:vAlign w:val="center"/>
          </w:tcPr>
          <w:p w14:paraId="4DF2BFED" w14:textId="77777777" w:rsidR="00B8619C" w:rsidRDefault="00000000">
            <w:pPr>
              <w:spacing w:after="0" w:line="264" w:lineRule="auto"/>
            </w:pPr>
            <w:r>
              <w:rPr>
                <w:sz w:val="17"/>
              </w:rPr>
              <w:t>8,529</w:t>
            </w:r>
          </w:p>
        </w:tc>
        <w:tc>
          <w:tcPr>
            <w:tcW w:w="1417" w:type="dxa"/>
            <w:tcMar>
              <w:top w:w="80" w:type="dxa"/>
              <w:left w:w="90" w:type="dxa"/>
              <w:bottom w:w="80" w:type="dxa"/>
              <w:right w:w="90" w:type="dxa"/>
            </w:tcMar>
            <w:vAlign w:val="center"/>
          </w:tcPr>
          <w:p w14:paraId="74B9CE6C" w14:textId="77777777" w:rsidR="00B8619C" w:rsidRDefault="00000000">
            <w:pPr>
              <w:spacing w:after="0" w:line="264" w:lineRule="auto"/>
            </w:pPr>
            <w:r>
              <w:rPr>
                <w:sz w:val="17"/>
              </w:rPr>
              <w:t>100.00%</w:t>
            </w:r>
          </w:p>
        </w:tc>
        <w:tc>
          <w:tcPr>
            <w:tcW w:w="4819" w:type="dxa"/>
            <w:tcMar>
              <w:top w:w="80" w:type="dxa"/>
              <w:left w:w="90" w:type="dxa"/>
              <w:bottom w:w="80" w:type="dxa"/>
              <w:right w:w="90" w:type="dxa"/>
            </w:tcMar>
            <w:vAlign w:val="center"/>
          </w:tcPr>
          <w:p w14:paraId="1730F195" w14:textId="77777777" w:rsidR="00B8619C" w:rsidRDefault="00000000">
            <w:pPr>
              <w:spacing w:after="0" w:line="264" w:lineRule="auto"/>
            </w:pPr>
            <w:r>
              <w:rPr>
                <w:sz w:val="17"/>
              </w:rPr>
              <w:t>固定版本</w:t>
            </w:r>
            <w:r>
              <w:rPr>
                <w:sz w:val="17"/>
              </w:rPr>
              <w:t xml:space="preserve"> dataset_final_v1</w:t>
            </w:r>
          </w:p>
        </w:tc>
      </w:tr>
    </w:tbl>
    <w:p w14:paraId="5407A487" w14:textId="77777777" w:rsidR="00B8619C" w:rsidRDefault="00000000">
      <w:pPr>
        <w:pStyle w:val="af7"/>
        <w:keepNext/>
        <w:spacing w:after="100"/>
        <w:jc w:val="center"/>
      </w:pPr>
      <w:r>
        <w:lastRenderedPageBreak/>
        <w:t>表</w:t>
      </w:r>
      <w:r>
        <w:t xml:space="preserve"> 5 </w:t>
      </w:r>
      <w:r>
        <w:t>固定训练、验证与测试划分</w:t>
      </w:r>
    </w:p>
    <w:p w14:paraId="443FA4D6" w14:textId="77777777" w:rsidR="00B8619C" w:rsidRDefault="00000000">
      <w:pPr>
        <w:ind w:firstLine="420"/>
        <w:jc w:val="both"/>
      </w:pPr>
      <w:r>
        <w:t>划分时以</w:t>
      </w:r>
      <w:r>
        <w:t xml:space="preserve"> Mindat </w:t>
      </w:r>
      <w:r>
        <w:t>图片编号和近重复图像组作为基本单元，确保同一图片编号或被识别为高度相近的图像不跨训练、验证和测试集合。该策略降低了同图和近同图泄漏造成性能虚高的风险，但尚不能完全控制同一物理标本不同角度、同一摄影者、同一矿区或相同背景风格造成的来源相关性。</w:t>
      </w:r>
    </w:p>
    <w:p w14:paraId="58A37EC1" w14:textId="77777777" w:rsidR="00B8619C" w:rsidRDefault="00000000">
      <w:pPr>
        <w:pStyle w:val="1"/>
      </w:pPr>
      <w:r>
        <w:t xml:space="preserve">4 </w:t>
      </w:r>
      <w:r>
        <w:t>模型与实验设计</w:t>
      </w:r>
    </w:p>
    <w:p w14:paraId="1342AA3A" w14:textId="77777777" w:rsidR="00B8619C" w:rsidRDefault="00000000">
      <w:pPr>
        <w:pStyle w:val="21"/>
      </w:pPr>
      <w:r>
        <w:t xml:space="preserve">4.1 </w:t>
      </w:r>
      <w:r>
        <w:t>对比模型</w:t>
      </w:r>
    </w:p>
    <w:p w14:paraId="7F892D10" w14:textId="77777777" w:rsidR="00B8619C" w:rsidRDefault="00000000">
      <w:pPr>
        <w:ind w:firstLine="420"/>
        <w:jc w:val="both"/>
      </w:pPr>
      <w:r>
        <w:t>选用</w:t>
      </w:r>
      <w:r>
        <w:t xml:space="preserve"> ResNet50 </w:t>
      </w:r>
      <w:r>
        <w:t>与</w:t>
      </w:r>
      <w:r>
        <w:t xml:space="preserve"> EfficientNet-B0 </w:t>
      </w:r>
      <w:r>
        <w:t>作为基础对照。二者均加载</w:t>
      </w:r>
      <w:r>
        <w:t xml:space="preserve"> ImageNet </w:t>
      </w:r>
      <w:r>
        <w:t>预训练权重，以适应公开标本图像数据量有限且成像风格多样的特点。</w:t>
      </w:r>
      <w:r>
        <w:t xml:space="preserve">ResNet50 </w:t>
      </w:r>
      <w:r>
        <w:t>提供经典残差网络基线，</w:t>
      </w:r>
      <w:r>
        <w:t xml:space="preserve">EfficientNet-B0 </w:t>
      </w:r>
      <w:r>
        <w:t>用于考察较轻量的复合缩放结构。</w:t>
      </w:r>
    </w:p>
    <w:p w14:paraId="4C92AF48" w14:textId="77777777" w:rsidR="00B8619C" w:rsidRDefault="00000000">
      <w:r>
        <w:t xml:space="preserve">ResNet50 </w:t>
      </w:r>
      <w:r>
        <w:t>在本项目中作为经典残差网络标准对照，其全局平均池化后得到</w:t>
      </w:r>
      <w:r>
        <w:t xml:space="preserve"> 2048 </w:t>
      </w:r>
      <w:r>
        <w:t>维特征，最终全连接层替换为</w:t>
      </w:r>
      <w:r>
        <w:t xml:space="preserve"> 2048→4 </w:t>
      </w:r>
      <w:r>
        <w:t>的四分类输出。</w:t>
      </w:r>
      <w:r>
        <w:t xml:space="preserve">EfficientNet-B0 </w:t>
      </w:r>
      <w:r>
        <w:t>基线在</w:t>
      </w:r>
      <w:r>
        <w:t xml:space="preserve"> 1280 </w:t>
      </w:r>
      <w:r>
        <w:t>维全局特征后采用</w:t>
      </w:r>
      <w:r>
        <w:t xml:space="preserve"> Dropout(0.2) </w:t>
      </w:r>
      <w:r>
        <w:t>和</w:t>
      </w:r>
      <w:r>
        <w:t xml:space="preserve"> 1280→4 </w:t>
      </w:r>
      <w:r>
        <w:t>的分类层。图</w:t>
      </w:r>
      <w:r>
        <w:t xml:space="preserve"> 2 </w:t>
      </w:r>
      <w:r>
        <w:t>按当前代码和</w:t>
      </w:r>
      <w:r>
        <w:t xml:space="preserve"> torchvision </w:t>
      </w:r>
      <w:r>
        <w:t>标准实现给出两个基线网络的阶段级结构、重复块数及逐阶段输出尺寸。后续角色感知和分层一致性实验均基于</w:t>
      </w:r>
      <w:r>
        <w:t xml:space="preserve"> EfficientNet-B0 </w:t>
      </w:r>
      <w:r>
        <w:t>扩展，其四头结构和训练信息流在第</w:t>
      </w:r>
      <w:r>
        <w:t xml:space="preserve"> 4.5 </w:t>
      </w:r>
      <w:r>
        <w:t>节进一步说明。</w:t>
      </w:r>
    </w:p>
    <w:p w14:paraId="325B295C" w14:textId="77777777" w:rsidR="00B8619C" w:rsidRDefault="00B8619C"/>
    <w:p w14:paraId="6E4E7DD8" w14:textId="77777777" w:rsidR="00B8619C" w:rsidRDefault="00000000">
      <w:pPr>
        <w:jc w:val="both"/>
      </w:pPr>
      <w:r>
        <w:t>图</w:t>
      </w:r>
      <w:r>
        <w:t xml:space="preserve"> 2 </w:t>
      </w:r>
      <w:r>
        <w:t>的目的不是把网络画成抽象黑箱，也不是逐个展开数十个基础卷积算子，而是在可读性与结构准确性之间取平衡。</w:t>
      </w:r>
      <w:r>
        <w:t xml:space="preserve">ResNet50 </w:t>
      </w:r>
      <w:r>
        <w:t>以</w:t>
      </w:r>
      <w:r>
        <w:t xml:space="preserve"> Stem</w:t>
      </w:r>
      <w:r>
        <w:t>、四个残差阶段、全局平均池化和四分类层为主线；</w:t>
      </w:r>
      <w:r>
        <w:t xml:space="preserve">EfficientNet-B0 </w:t>
      </w:r>
      <w:r>
        <w:t>以</w:t>
      </w:r>
      <w:r>
        <w:t xml:space="preserve"> Stem</w:t>
      </w:r>
      <w:r>
        <w:t>、七个</w:t>
      </w:r>
      <w:r>
        <w:t xml:space="preserve"> MBConv </w:t>
      </w:r>
      <w:r>
        <w:t>阶段、</w:t>
      </w:r>
      <w:r>
        <w:t xml:space="preserve">Head </w:t>
      </w:r>
      <w:r>
        <w:t>卷积、全局平均池化及四分类层为主线。每个阶段均标明重复块数和输出张量尺寸，使基线实验的输入、特征变换和输出能够与后续实验直接对应。</w:t>
      </w:r>
    </w:p>
    <w:p w14:paraId="543EB5FD" w14:textId="77777777" w:rsidR="00B8619C" w:rsidRDefault="00B8619C"/>
    <w:p w14:paraId="04D881C2" w14:textId="77777777" w:rsidR="00B8619C" w:rsidRDefault="00000000">
      <w:pPr>
        <w:jc w:val="center"/>
      </w:pPr>
      <w:r>
        <w:rPr>
          <w:noProof/>
        </w:rPr>
        <w:lastRenderedPageBreak/>
        <w:drawing>
          <wp:inline distT="0" distB="0" distL="0" distR="0" wp14:anchorId="5E7AF447" wp14:editId="2DFA2BAD">
            <wp:extent cx="5832475" cy="309569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_ResNet50与EfficientNetB0基线结构对比.png"/>
                    <pic:cNvPicPr/>
                  </pic:nvPicPr>
                  <pic:blipFill>
                    <a:blip r:embed="rId9"/>
                    <a:stretch>
                      <a:fillRect/>
                    </a:stretch>
                  </pic:blipFill>
                  <pic:spPr>
                    <a:xfrm>
                      <a:off x="0" y="0"/>
                      <a:ext cx="5832475" cy="3095698"/>
                    </a:xfrm>
                    <a:prstGeom prst="rect">
                      <a:avLst/>
                    </a:prstGeom>
                  </pic:spPr>
                </pic:pic>
              </a:graphicData>
            </a:graphic>
          </wp:inline>
        </w:drawing>
      </w:r>
    </w:p>
    <w:p w14:paraId="00F69099" w14:textId="77777777" w:rsidR="00B8619C" w:rsidRDefault="00B8619C"/>
    <w:p w14:paraId="0E15FC00" w14:textId="77777777" w:rsidR="00B8619C" w:rsidRDefault="00000000">
      <w:pPr>
        <w:pStyle w:val="af7"/>
        <w:jc w:val="center"/>
      </w:pPr>
      <w:r>
        <w:t>图</w:t>
      </w:r>
      <w:r>
        <w:t xml:space="preserve"> 2 </w:t>
      </w:r>
      <w:r>
        <w:t>本项目</w:t>
      </w:r>
      <w:r>
        <w:t xml:space="preserve"> ResNet50 </w:t>
      </w:r>
      <w:r>
        <w:t>与</w:t>
      </w:r>
      <w:r>
        <w:t xml:space="preserve"> EfficientNet-B0 </w:t>
      </w:r>
      <w:r>
        <w:t>四分类基线的阶段级网络结构（依据当前训练代码绘制）</w:t>
      </w:r>
    </w:p>
    <w:p w14:paraId="7C714B3D" w14:textId="77777777" w:rsidR="00B8619C" w:rsidRDefault="00B8619C"/>
    <w:p w14:paraId="21605431" w14:textId="77777777" w:rsidR="00B8619C" w:rsidRDefault="00000000">
      <w:pPr>
        <w:jc w:val="both"/>
      </w:pPr>
      <w:r>
        <w:t>需要说明的是，图中</w:t>
      </w:r>
      <w:r>
        <w:t>“</w:t>
      </w:r>
      <w:r>
        <w:t>阶段</w:t>
      </w:r>
      <w:r>
        <w:t>”</w:t>
      </w:r>
      <w:r>
        <w:t>不等同于基础算子层数。</w:t>
      </w:r>
      <w:r>
        <w:t xml:space="preserve">ResNet50 </w:t>
      </w:r>
      <w:r>
        <w:t>的</w:t>
      </w:r>
      <w:r>
        <w:t xml:space="preserve"> Conv2_x</w:t>
      </w:r>
      <w:r>
        <w:t>～</w:t>
      </w:r>
      <w:r>
        <w:t xml:space="preserve">Conv5_x </w:t>
      </w:r>
      <w:r>
        <w:t>分别包含</w:t>
      </w:r>
      <w:r>
        <w:t xml:space="preserve"> 3</w:t>
      </w:r>
      <w:r>
        <w:t>、</w:t>
      </w:r>
      <w:r>
        <w:t>4</w:t>
      </w:r>
      <w:r>
        <w:t>、</w:t>
      </w:r>
      <w:r>
        <w:t>6</w:t>
      </w:r>
      <w:r>
        <w:t>、</w:t>
      </w:r>
      <w:r>
        <w:t xml:space="preserve">3 </w:t>
      </w:r>
      <w:r>
        <w:t>个</w:t>
      </w:r>
      <w:r>
        <w:t xml:space="preserve"> Bottleneck </w:t>
      </w:r>
      <w:r>
        <w:t>残差块，其</w:t>
      </w:r>
      <w:r>
        <w:t>“50</w:t>
      </w:r>
      <w:r>
        <w:t>层</w:t>
      </w:r>
      <w:r>
        <w:t>”</w:t>
      </w:r>
      <w:r>
        <w:t>命名按照带参数卷积层和最终全连接层的标准计数方式得到；</w:t>
      </w:r>
      <w:r>
        <w:t xml:space="preserve">EfficientNet-B0 </w:t>
      </w:r>
      <w:r>
        <w:t>的</w:t>
      </w:r>
      <w:r>
        <w:t xml:space="preserve"> </w:t>
      </w:r>
      <w:r>
        <w:t>七个</w:t>
      </w:r>
      <w:r>
        <w:t xml:space="preserve"> MBConv </w:t>
      </w:r>
      <w:r>
        <w:t>阶段共包含</w:t>
      </w:r>
      <w:r>
        <w:t xml:space="preserve"> 16 </w:t>
      </w:r>
      <w:r>
        <w:t>个</w:t>
      </w:r>
      <w:r>
        <w:t xml:space="preserve"> MBConv </w:t>
      </w:r>
      <w:r>
        <w:t>块，每个块内部还包含扩展卷积、深度卷积、</w:t>
      </w:r>
      <w:r>
        <w:t xml:space="preserve">SE </w:t>
      </w:r>
      <w:r>
        <w:t>通道重标定、投影卷积和条件残差连接。两个基线在本项目中均只输出四类角色概率。第</w:t>
      </w:r>
      <w:r>
        <w:t xml:space="preserve"> 4.5 </w:t>
      </w:r>
      <w:r>
        <w:t>节的图</w:t>
      </w:r>
      <w:r>
        <w:t xml:space="preserve"> 4 </w:t>
      </w:r>
      <w:r>
        <w:t>不是另一个</w:t>
      </w:r>
      <w:r>
        <w:t xml:space="preserve"> EfficientNet-B0 </w:t>
      </w:r>
      <w:r>
        <w:t>主干，而是在同一</w:t>
      </w:r>
      <w:r>
        <w:t xml:space="preserve"> EfficientNet-B0 </w:t>
      </w:r>
      <w:r>
        <w:t>共享主干基础上增加种类头、目标代理头、投影头以及联合损失后的完整改进模型。</w:t>
      </w:r>
    </w:p>
    <w:p w14:paraId="078AA2C3" w14:textId="77777777" w:rsidR="00B8619C" w:rsidRDefault="00000000">
      <w:pPr>
        <w:pStyle w:val="21"/>
      </w:pPr>
      <w:r>
        <w:t xml:space="preserve">4.2 </w:t>
      </w:r>
      <w:r>
        <w:t>训练设置与实验环境记录</w:t>
      </w:r>
    </w:p>
    <w:tbl>
      <w:tblPr>
        <w:tblStyle w:val="aff1"/>
        <w:tblW w:w="0" w:type="auto"/>
        <w:jc w:val="center"/>
        <w:tblLayout w:type="fixed"/>
        <w:tblLook w:val="04A0" w:firstRow="1" w:lastRow="0" w:firstColumn="1" w:lastColumn="0" w:noHBand="0" w:noVBand="1"/>
      </w:tblPr>
      <w:tblGrid>
        <w:gridCol w:w="2268"/>
        <w:gridCol w:w="6803"/>
      </w:tblGrid>
      <w:tr w:rsidR="00B8619C" w14:paraId="00D7F4C9" w14:textId="77777777">
        <w:trPr>
          <w:cantSplit/>
          <w:tblHeader/>
          <w:jc w:val="center"/>
        </w:trPr>
        <w:tc>
          <w:tcPr>
            <w:tcW w:w="2268" w:type="dxa"/>
            <w:shd w:val="clear" w:color="auto" w:fill="D9EAF7"/>
            <w:tcMar>
              <w:top w:w="80" w:type="dxa"/>
              <w:left w:w="90" w:type="dxa"/>
              <w:bottom w:w="80" w:type="dxa"/>
              <w:right w:w="90" w:type="dxa"/>
            </w:tcMar>
            <w:vAlign w:val="center"/>
          </w:tcPr>
          <w:p w14:paraId="6C92C6D6" w14:textId="77777777" w:rsidR="00B8619C" w:rsidRDefault="00000000">
            <w:pPr>
              <w:spacing w:after="0" w:line="264" w:lineRule="auto"/>
              <w:jc w:val="center"/>
            </w:pPr>
            <w:r>
              <w:rPr>
                <w:rFonts w:eastAsia="黑体"/>
                <w:b/>
                <w:sz w:val="17"/>
              </w:rPr>
              <w:t>项目</w:t>
            </w:r>
          </w:p>
        </w:tc>
        <w:tc>
          <w:tcPr>
            <w:tcW w:w="6803" w:type="dxa"/>
            <w:shd w:val="clear" w:color="auto" w:fill="D9EAF7"/>
            <w:tcMar>
              <w:top w:w="80" w:type="dxa"/>
              <w:left w:w="90" w:type="dxa"/>
              <w:bottom w:w="80" w:type="dxa"/>
              <w:right w:w="90" w:type="dxa"/>
            </w:tcMar>
            <w:vAlign w:val="center"/>
          </w:tcPr>
          <w:p w14:paraId="55E30231" w14:textId="77777777" w:rsidR="00B8619C" w:rsidRDefault="00000000">
            <w:pPr>
              <w:spacing w:after="0" w:line="264" w:lineRule="auto"/>
              <w:jc w:val="center"/>
            </w:pPr>
            <w:r>
              <w:rPr>
                <w:rFonts w:eastAsia="黑体"/>
                <w:b/>
                <w:sz w:val="17"/>
              </w:rPr>
              <w:t>设置</w:t>
            </w:r>
          </w:p>
        </w:tc>
      </w:tr>
      <w:tr w:rsidR="00B8619C" w14:paraId="05073A29" w14:textId="77777777">
        <w:trPr>
          <w:cantSplit/>
          <w:jc w:val="center"/>
        </w:trPr>
        <w:tc>
          <w:tcPr>
            <w:tcW w:w="2268" w:type="dxa"/>
            <w:tcMar>
              <w:top w:w="80" w:type="dxa"/>
              <w:left w:w="90" w:type="dxa"/>
              <w:bottom w:w="80" w:type="dxa"/>
              <w:right w:w="90" w:type="dxa"/>
            </w:tcMar>
            <w:vAlign w:val="center"/>
          </w:tcPr>
          <w:p w14:paraId="77D67478" w14:textId="77777777" w:rsidR="00B8619C" w:rsidRDefault="00000000">
            <w:pPr>
              <w:spacing w:after="0" w:line="264" w:lineRule="auto"/>
            </w:pPr>
            <w:r>
              <w:rPr>
                <w:sz w:val="17"/>
              </w:rPr>
              <w:t>输入与预训练</w:t>
            </w:r>
          </w:p>
        </w:tc>
        <w:tc>
          <w:tcPr>
            <w:tcW w:w="6803" w:type="dxa"/>
            <w:tcMar>
              <w:top w:w="80" w:type="dxa"/>
              <w:left w:w="90" w:type="dxa"/>
              <w:bottom w:w="80" w:type="dxa"/>
              <w:right w:w="90" w:type="dxa"/>
            </w:tcMar>
            <w:vAlign w:val="center"/>
          </w:tcPr>
          <w:p w14:paraId="793F1B4C" w14:textId="77777777" w:rsidR="00B8619C" w:rsidRDefault="00000000">
            <w:pPr>
              <w:spacing w:after="0" w:line="264" w:lineRule="auto"/>
            </w:pPr>
            <w:r>
              <w:rPr>
                <w:sz w:val="17"/>
              </w:rPr>
              <w:t xml:space="preserve">ImageNet </w:t>
            </w:r>
            <w:r>
              <w:rPr>
                <w:sz w:val="17"/>
              </w:rPr>
              <w:t>预训练权重及相应标准化</w:t>
            </w:r>
          </w:p>
        </w:tc>
      </w:tr>
      <w:tr w:rsidR="00B8619C" w14:paraId="61F0D76D" w14:textId="77777777">
        <w:trPr>
          <w:cantSplit/>
          <w:jc w:val="center"/>
        </w:trPr>
        <w:tc>
          <w:tcPr>
            <w:tcW w:w="2268" w:type="dxa"/>
            <w:tcMar>
              <w:top w:w="80" w:type="dxa"/>
              <w:left w:w="90" w:type="dxa"/>
              <w:bottom w:w="80" w:type="dxa"/>
              <w:right w:w="90" w:type="dxa"/>
            </w:tcMar>
            <w:vAlign w:val="center"/>
          </w:tcPr>
          <w:p w14:paraId="014EDAA4" w14:textId="77777777" w:rsidR="00B8619C" w:rsidRDefault="00000000">
            <w:pPr>
              <w:spacing w:after="0" w:line="264" w:lineRule="auto"/>
            </w:pPr>
            <w:r>
              <w:rPr>
                <w:sz w:val="17"/>
              </w:rPr>
              <w:t>优化器</w:t>
            </w:r>
          </w:p>
        </w:tc>
        <w:tc>
          <w:tcPr>
            <w:tcW w:w="6803" w:type="dxa"/>
            <w:tcMar>
              <w:top w:w="80" w:type="dxa"/>
              <w:left w:w="90" w:type="dxa"/>
              <w:bottom w:w="80" w:type="dxa"/>
              <w:right w:w="90" w:type="dxa"/>
            </w:tcMar>
            <w:vAlign w:val="center"/>
          </w:tcPr>
          <w:p w14:paraId="49266B57" w14:textId="77777777" w:rsidR="00B8619C" w:rsidRDefault="00000000">
            <w:pPr>
              <w:spacing w:after="0" w:line="264" w:lineRule="auto"/>
            </w:pPr>
            <w:r>
              <w:rPr>
                <w:sz w:val="17"/>
              </w:rPr>
              <w:t>AdamW</w:t>
            </w:r>
          </w:p>
        </w:tc>
      </w:tr>
      <w:tr w:rsidR="00B8619C" w14:paraId="774D1A05" w14:textId="77777777">
        <w:trPr>
          <w:cantSplit/>
          <w:jc w:val="center"/>
        </w:trPr>
        <w:tc>
          <w:tcPr>
            <w:tcW w:w="2268" w:type="dxa"/>
            <w:tcMar>
              <w:top w:w="80" w:type="dxa"/>
              <w:left w:w="90" w:type="dxa"/>
              <w:bottom w:w="80" w:type="dxa"/>
              <w:right w:w="90" w:type="dxa"/>
            </w:tcMar>
            <w:vAlign w:val="center"/>
          </w:tcPr>
          <w:p w14:paraId="6F854856" w14:textId="77777777" w:rsidR="00B8619C" w:rsidRDefault="00000000">
            <w:pPr>
              <w:spacing w:after="0" w:line="264" w:lineRule="auto"/>
            </w:pPr>
            <w:r>
              <w:rPr>
                <w:sz w:val="17"/>
              </w:rPr>
              <w:t>类别不平衡处理</w:t>
            </w:r>
          </w:p>
        </w:tc>
        <w:tc>
          <w:tcPr>
            <w:tcW w:w="6803" w:type="dxa"/>
            <w:tcMar>
              <w:top w:w="80" w:type="dxa"/>
              <w:left w:w="90" w:type="dxa"/>
              <w:bottom w:w="80" w:type="dxa"/>
              <w:right w:w="90" w:type="dxa"/>
            </w:tcMar>
            <w:vAlign w:val="center"/>
          </w:tcPr>
          <w:p w14:paraId="6734FFFA" w14:textId="77777777" w:rsidR="00B8619C" w:rsidRDefault="00000000">
            <w:pPr>
              <w:spacing w:after="0" w:line="264" w:lineRule="auto"/>
            </w:pPr>
            <w:r>
              <w:rPr>
                <w:sz w:val="17"/>
              </w:rPr>
              <w:t>按类别逆频率设置损失权重</w:t>
            </w:r>
          </w:p>
        </w:tc>
      </w:tr>
      <w:tr w:rsidR="00B8619C" w14:paraId="21FB2D76" w14:textId="77777777">
        <w:trPr>
          <w:cantSplit/>
          <w:jc w:val="center"/>
        </w:trPr>
        <w:tc>
          <w:tcPr>
            <w:tcW w:w="2268" w:type="dxa"/>
            <w:tcMar>
              <w:top w:w="80" w:type="dxa"/>
              <w:left w:w="90" w:type="dxa"/>
              <w:bottom w:w="80" w:type="dxa"/>
              <w:right w:w="90" w:type="dxa"/>
            </w:tcMar>
            <w:vAlign w:val="center"/>
          </w:tcPr>
          <w:p w14:paraId="63EC29DA" w14:textId="77777777" w:rsidR="00B8619C" w:rsidRDefault="00000000">
            <w:pPr>
              <w:spacing w:after="0" w:line="264" w:lineRule="auto"/>
            </w:pPr>
            <w:r>
              <w:rPr>
                <w:sz w:val="17"/>
              </w:rPr>
              <w:t>数据增强</w:t>
            </w:r>
          </w:p>
        </w:tc>
        <w:tc>
          <w:tcPr>
            <w:tcW w:w="6803" w:type="dxa"/>
            <w:tcMar>
              <w:top w:w="80" w:type="dxa"/>
              <w:left w:w="90" w:type="dxa"/>
              <w:bottom w:w="80" w:type="dxa"/>
              <w:right w:w="90" w:type="dxa"/>
            </w:tcMar>
            <w:vAlign w:val="center"/>
          </w:tcPr>
          <w:p w14:paraId="760E69BB" w14:textId="77777777" w:rsidR="00B8619C" w:rsidRDefault="00000000">
            <w:pPr>
              <w:spacing w:after="0" w:line="264" w:lineRule="auto"/>
            </w:pPr>
            <w:r>
              <w:rPr>
                <w:sz w:val="17"/>
              </w:rPr>
              <w:t>随机裁剪、水平翻转、旋转和颜色扰动等训练期增强</w:t>
            </w:r>
          </w:p>
        </w:tc>
      </w:tr>
      <w:tr w:rsidR="00B8619C" w14:paraId="2E6BF55A" w14:textId="77777777">
        <w:trPr>
          <w:cantSplit/>
          <w:jc w:val="center"/>
        </w:trPr>
        <w:tc>
          <w:tcPr>
            <w:tcW w:w="2268" w:type="dxa"/>
            <w:tcMar>
              <w:top w:w="80" w:type="dxa"/>
              <w:left w:w="90" w:type="dxa"/>
              <w:bottom w:w="80" w:type="dxa"/>
              <w:right w:w="90" w:type="dxa"/>
            </w:tcMar>
            <w:vAlign w:val="center"/>
          </w:tcPr>
          <w:p w14:paraId="3C0BCB87" w14:textId="77777777" w:rsidR="00B8619C" w:rsidRDefault="00000000">
            <w:pPr>
              <w:spacing w:after="0" w:line="264" w:lineRule="auto"/>
            </w:pPr>
            <w:r>
              <w:rPr>
                <w:sz w:val="17"/>
              </w:rPr>
              <w:t>早停</w:t>
            </w:r>
          </w:p>
        </w:tc>
        <w:tc>
          <w:tcPr>
            <w:tcW w:w="6803" w:type="dxa"/>
            <w:tcMar>
              <w:top w:w="80" w:type="dxa"/>
              <w:left w:w="90" w:type="dxa"/>
              <w:bottom w:w="80" w:type="dxa"/>
              <w:right w:w="90" w:type="dxa"/>
            </w:tcMar>
            <w:vAlign w:val="center"/>
          </w:tcPr>
          <w:p w14:paraId="2B8BD4B5" w14:textId="77777777" w:rsidR="00B8619C" w:rsidRDefault="00000000">
            <w:pPr>
              <w:spacing w:after="0" w:line="264" w:lineRule="auto"/>
            </w:pPr>
            <w:r>
              <w:rPr>
                <w:sz w:val="17"/>
              </w:rPr>
              <w:t>以验证集</w:t>
            </w:r>
            <w:r>
              <w:rPr>
                <w:sz w:val="17"/>
              </w:rPr>
              <w:t xml:space="preserve"> Macro F1 </w:t>
            </w:r>
            <w:r>
              <w:rPr>
                <w:sz w:val="17"/>
              </w:rPr>
              <w:t>作为主要监控指标</w:t>
            </w:r>
          </w:p>
        </w:tc>
      </w:tr>
      <w:tr w:rsidR="00B8619C" w14:paraId="55E57957" w14:textId="77777777">
        <w:trPr>
          <w:cantSplit/>
          <w:jc w:val="center"/>
        </w:trPr>
        <w:tc>
          <w:tcPr>
            <w:tcW w:w="2268" w:type="dxa"/>
            <w:tcMar>
              <w:top w:w="80" w:type="dxa"/>
              <w:left w:w="90" w:type="dxa"/>
              <w:bottom w:w="80" w:type="dxa"/>
              <w:right w:w="90" w:type="dxa"/>
            </w:tcMar>
            <w:vAlign w:val="center"/>
          </w:tcPr>
          <w:p w14:paraId="7EB0501D" w14:textId="77777777" w:rsidR="00B8619C" w:rsidRDefault="00000000">
            <w:pPr>
              <w:spacing w:after="0" w:line="264" w:lineRule="auto"/>
            </w:pPr>
            <w:r>
              <w:rPr>
                <w:sz w:val="17"/>
              </w:rPr>
              <w:t>重复实验</w:t>
            </w:r>
          </w:p>
        </w:tc>
        <w:tc>
          <w:tcPr>
            <w:tcW w:w="6803" w:type="dxa"/>
            <w:tcMar>
              <w:top w:w="80" w:type="dxa"/>
              <w:left w:w="90" w:type="dxa"/>
              <w:bottom w:w="80" w:type="dxa"/>
              <w:right w:w="90" w:type="dxa"/>
            </w:tcMar>
            <w:vAlign w:val="center"/>
          </w:tcPr>
          <w:p w14:paraId="4CFE613F" w14:textId="77777777" w:rsidR="00B8619C" w:rsidRDefault="00000000">
            <w:pPr>
              <w:spacing w:after="0" w:line="264" w:lineRule="auto"/>
            </w:pPr>
            <w:r>
              <w:rPr>
                <w:sz w:val="17"/>
              </w:rPr>
              <w:t>20260727</w:t>
            </w:r>
            <w:r>
              <w:rPr>
                <w:sz w:val="17"/>
              </w:rPr>
              <w:t>、</w:t>
            </w:r>
            <w:r>
              <w:rPr>
                <w:sz w:val="17"/>
              </w:rPr>
              <w:t>20260728</w:t>
            </w:r>
            <w:r>
              <w:rPr>
                <w:sz w:val="17"/>
              </w:rPr>
              <w:t>、</w:t>
            </w:r>
            <w:r>
              <w:rPr>
                <w:sz w:val="17"/>
              </w:rPr>
              <w:t xml:space="preserve">20260729 </w:t>
            </w:r>
            <w:r>
              <w:rPr>
                <w:sz w:val="17"/>
              </w:rPr>
              <w:t>三个随机种子独立训练</w:t>
            </w:r>
          </w:p>
        </w:tc>
      </w:tr>
      <w:tr w:rsidR="00B8619C" w14:paraId="72C40B4D" w14:textId="77777777">
        <w:trPr>
          <w:cantSplit/>
          <w:jc w:val="center"/>
        </w:trPr>
        <w:tc>
          <w:tcPr>
            <w:tcW w:w="2268" w:type="dxa"/>
            <w:tcMar>
              <w:top w:w="80" w:type="dxa"/>
              <w:left w:w="90" w:type="dxa"/>
              <w:bottom w:w="80" w:type="dxa"/>
              <w:right w:w="90" w:type="dxa"/>
            </w:tcMar>
            <w:vAlign w:val="center"/>
          </w:tcPr>
          <w:p w14:paraId="5F6CD512" w14:textId="77777777" w:rsidR="00B8619C" w:rsidRDefault="00000000">
            <w:pPr>
              <w:spacing w:after="0" w:line="264" w:lineRule="auto"/>
            </w:pPr>
            <w:r>
              <w:rPr>
                <w:sz w:val="17"/>
              </w:rPr>
              <w:t>评价指标</w:t>
            </w:r>
          </w:p>
        </w:tc>
        <w:tc>
          <w:tcPr>
            <w:tcW w:w="6803" w:type="dxa"/>
            <w:tcMar>
              <w:top w:w="80" w:type="dxa"/>
              <w:left w:w="90" w:type="dxa"/>
              <w:bottom w:w="80" w:type="dxa"/>
              <w:right w:w="90" w:type="dxa"/>
            </w:tcMar>
            <w:vAlign w:val="center"/>
          </w:tcPr>
          <w:p w14:paraId="6D3704E7" w14:textId="77777777" w:rsidR="00B8619C" w:rsidRDefault="00000000">
            <w:pPr>
              <w:spacing w:after="0" w:line="264" w:lineRule="auto"/>
            </w:pPr>
            <w:r>
              <w:rPr>
                <w:sz w:val="17"/>
              </w:rPr>
              <w:t>Accuracy</w:t>
            </w:r>
            <w:r>
              <w:rPr>
                <w:sz w:val="17"/>
              </w:rPr>
              <w:t>、</w:t>
            </w:r>
            <w:r>
              <w:rPr>
                <w:sz w:val="17"/>
              </w:rPr>
              <w:t>Macro Precision</w:t>
            </w:r>
            <w:r>
              <w:rPr>
                <w:sz w:val="17"/>
              </w:rPr>
              <w:t>、</w:t>
            </w:r>
            <w:r>
              <w:rPr>
                <w:sz w:val="17"/>
              </w:rPr>
              <w:t>Macro Recall</w:t>
            </w:r>
            <w:r>
              <w:rPr>
                <w:sz w:val="17"/>
              </w:rPr>
              <w:t>、</w:t>
            </w:r>
            <w:r>
              <w:rPr>
                <w:sz w:val="17"/>
              </w:rPr>
              <w:t>Macro F1</w:t>
            </w:r>
            <w:r>
              <w:rPr>
                <w:sz w:val="17"/>
              </w:rPr>
              <w:t>、各类别</w:t>
            </w:r>
            <w:r>
              <w:rPr>
                <w:sz w:val="17"/>
              </w:rPr>
              <w:t xml:space="preserve"> Recall </w:t>
            </w:r>
            <w:r>
              <w:rPr>
                <w:sz w:val="17"/>
              </w:rPr>
              <w:t>与目标代理风险指标</w:t>
            </w:r>
          </w:p>
        </w:tc>
      </w:tr>
    </w:tbl>
    <w:p w14:paraId="65F26CB3" w14:textId="77777777" w:rsidR="00B8619C" w:rsidRDefault="00000000">
      <w:pPr>
        <w:pStyle w:val="af7"/>
        <w:keepNext/>
        <w:spacing w:after="100"/>
        <w:jc w:val="center"/>
      </w:pPr>
      <w:r>
        <w:t>表</w:t>
      </w:r>
      <w:r>
        <w:t xml:space="preserve"> 6 </w:t>
      </w:r>
      <w:r>
        <w:t>主要训练与评价设置</w:t>
      </w:r>
    </w:p>
    <w:p w14:paraId="2041063E" w14:textId="77777777" w:rsidR="00B8619C" w:rsidRDefault="00000000">
      <w:pPr>
        <w:ind w:firstLine="420"/>
        <w:jc w:val="both"/>
      </w:pPr>
      <w:r>
        <w:t>训练脚本将随机种子、模型、损失权重、数据清单和运行环境写入各实验目录的</w:t>
      </w:r>
      <w:r>
        <w:t xml:space="preserve"> environment.json</w:t>
      </w:r>
      <w:r>
        <w:t>。当前上传报告材料未提供统一汇总的</w:t>
      </w:r>
      <w:r>
        <w:t xml:space="preserve"> GPU </w:t>
      </w:r>
      <w:r>
        <w:t>型号、</w:t>
      </w:r>
      <w:r>
        <w:t>CUDA</w:t>
      </w:r>
      <w:r>
        <w:t>、</w:t>
      </w:r>
      <w:r>
        <w:t xml:space="preserve">PyTorch </w:t>
      </w:r>
      <w:r>
        <w:t>版本和训练时</w:t>
      </w:r>
      <w:r>
        <w:lastRenderedPageBreak/>
        <w:t>长，因此本修订稿不臆测具体硬件参数；正式结题前应从环境记录中统一补录硬件、软件版本、最佳</w:t>
      </w:r>
      <w:r>
        <w:t xml:space="preserve"> epoch</w:t>
      </w:r>
      <w:r>
        <w:t>、参数量和单张推理时间。</w:t>
      </w:r>
    </w:p>
    <w:p w14:paraId="79992B9F" w14:textId="77777777" w:rsidR="00B8619C" w:rsidRDefault="00000000">
      <w:pPr>
        <w:pStyle w:val="21"/>
      </w:pPr>
      <w:r>
        <w:t xml:space="preserve">4.3 Focal Loss </w:t>
      </w:r>
      <w:r>
        <w:t>三随机种子消融</w:t>
      </w:r>
    </w:p>
    <w:p w14:paraId="042B6E53" w14:textId="77777777" w:rsidR="00B8619C" w:rsidRDefault="00000000">
      <w:pPr>
        <w:ind w:firstLine="420"/>
        <w:jc w:val="both"/>
      </w:pPr>
      <w:r>
        <w:t>在</w:t>
      </w:r>
      <w:r>
        <w:t xml:space="preserve"> EfficientNet-B0 </w:t>
      </w:r>
      <w:r>
        <w:t>的受控条件下，将加权交叉熵替换为类别加权</w:t>
      </w:r>
      <w:r>
        <w:t xml:space="preserve"> Focal Loss</w:t>
      </w:r>
      <w:r>
        <w:t>（</w:t>
      </w:r>
      <w:r>
        <w:t>gamma=2.0</w:t>
      </w:r>
      <w:r>
        <w:t>），其余数据版本、划分、网络、增强、优化器和训练设置保持一致。该实验用于判断统一难例强调机制能否同时改善总体分类和目标代理风险指标。</w:t>
      </w:r>
    </w:p>
    <w:p w14:paraId="11340780" w14:textId="77777777" w:rsidR="00B8619C" w:rsidRDefault="00000000">
      <w:pPr>
        <w:pStyle w:val="21"/>
      </w:pPr>
      <w:r>
        <w:t xml:space="preserve">4.4 </w:t>
      </w:r>
      <w:r>
        <w:t>角色感知困难负样本学习</w:t>
      </w:r>
    </w:p>
    <w:p w14:paraId="14106676" w14:textId="77777777" w:rsidR="00B8619C" w:rsidRDefault="00000000">
      <w:pPr>
        <w:ind w:firstLine="420"/>
        <w:jc w:val="both"/>
      </w:pPr>
      <w:r>
        <w:t>针对基线中目标矿物与含钛干扰、金属光泽干扰之间的主要错分方向，构建角色感知困难负样本模型。模型以</w:t>
      </w:r>
      <w:r>
        <w:t xml:space="preserve"> EfficientNet-B0 </w:t>
      </w:r>
      <w:r>
        <w:t>为共享特征主干，保留四分类主任务，增加目标代理</w:t>
      </w:r>
      <w:r>
        <w:t>/</w:t>
      </w:r>
      <w:r>
        <w:t>非目标代理二分类辅助头，并仅对</w:t>
      </w:r>
      <w:r>
        <w:t>“</w:t>
      </w:r>
      <w:r>
        <w:t>目标矿物</w:t>
      </w:r>
      <w:r>
        <w:t>—</w:t>
      </w:r>
      <w:r>
        <w:t>含钛干扰</w:t>
      </w:r>
      <w:r>
        <w:t>”</w:t>
      </w:r>
      <w:r>
        <w:t>和</w:t>
      </w:r>
      <w:r>
        <w:t>“</w:t>
      </w:r>
      <w:r>
        <w:t>目标矿物</w:t>
      </w:r>
      <w:r>
        <w:t>—</w:t>
      </w:r>
      <w:r>
        <w:t>金属光泽干扰</w:t>
      </w:r>
      <w:r>
        <w:t>”</w:t>
      </w:r>
      <w:r>
        <w:t>施加表示分离约束。该设计不依赖虚构的品位、回收率或流程成本，将目标限定为降低当前公开标本数据中的关键视觉混淆。</w:t>
      </w:r>
    </w:p>
    <w:p w14:paraId="54376FBE" w14:textId="77777777" w:rsidR="00B8619C" w:rsidRDefault="00000000">
      <w:pPr>
        <w:ind w:firstLine="420"/>
        <w:jc w:val="both"/>
      </w:pPr>
      <w:r>
        <w:t>当前对比损失只有在批次内同时出现同类正样本和指定困难负样本时才会产生有效项。后续代码应记录有效</w:t>
      </w:r>
      <w:r>
        <w:t xml:space="preserve"> anchor </w:t>
      </w:r>
      <w:r>
        <w:t>比例和风险关系出现次数，并评估类别平衡批采样或原型损失，以判断随机种子波动是否部分来自有效困难对不足。</w:t>
      </w:r>
    </w:p>
    <w:p w14:paraId="6DC6B2AC" w14:textId="77777777" w:rsidR="00B8619C" w:rsidRDefault="00000000">
      <w:pPr>
        <w:pStyle w:val="21"/>
      </w:pPr>
      <w:r>
        <w:t xml:space="preserve">4.5 </w:t>
      </w:r>
      <w:r>
        <w:t>矿物种类</w:t>
      </w:r>
      <w:r>
        <w:t>—</w:t>
      </w:r>
      <w:r>
        <w:t>角色分层一致性模型</w:t>
      </w:r>
    </w:p>
    <w:p w14:paraId="7AC16AD7" w14:textId="77777777" w:rsidR="00B8619C" w:rsidRDefault="00000000">
      <w:pPr>
        <w:ind w:firstLine="420"/>
        <w:jc w:val="both"/>
      </w:pPr>
      <w:r>
        <w:t>数据清单除四类角色标签外，还保留</w:t>
      </w:r>
      <w:r>
        <w:t xml:space="preserve"> 17 </w:t>
      </w:r>
      <w:r>
        <w:t>类细粒度</w:t>
      </w:r>
      <w:r>
        <w:t xml:space="preserve"> mineral_label</w:t>
      </w:r>
      <w:r>
        <w:t>。分层模型以</w:t>
      </w:r>
      <w:r>
        <w:t xml:space="preserve"> EfficientNet-B0 </w:t>
      </w:r>
      <w:r>
        <w:t>产生共享视觉特征</w:t>
      </w:r>
      <w:r>
        <w:t xml:space="preserve"> h</w:t>
      </w:r>
      <w:r>
        <w:t>，并从同一特征并列导出角色头、种类头、目标代理二分类头和投影头；输出头之间不存在串联依赖。固定映射矩阵</w:t>
      </w:r>
      <w:r>
        <w:t xml:space="preserve"> A </w:t>
      </w:r>
      <w:r>
        <w:t>将种类概率聚合为角色概率。图</w:t>
      </w:r>
      <w:r>
        <w:t xml:space="preserve"> 3 </w:t>
      </w:r>
      <w:r>
        <w:t>说明四个头及损失之间的关系；新增图</w:t>
      </w:r>
      <w:r>
        <w:t xml:space="preserve"> 4 </w:t>
      </w:r>
      <w:r>
        <w:t>按当前代码逐阶段展示</w:t>
      </w:r>
      <w:r>
        <w:t xml:space="preserve"> EfficientNet-B0 </w:t>
      </w:r>
      <w:r>
        <w:t>主干、</w:t>
      </w:r>
      <w:r>
        <w:t xml:space="preserve">MBConv </w:t>
      </w:r>
      <w:r>
        <w:t>内部组成及四个并列输出头，表</w:t>
      </w:r>
      <w:r>
        <w:t xml:space="preserve"> 7 </w:t>
      </w:r>
      <w:r>
        <w:t>和表</w:t>
      </w:r>
      <w:r>
        <w:t xml:space="preserve"> 8 </w:t>
      </w:r>
      <w:r>
        <w:t>给出对应的输入、输出尺寸和结构。</w:t>
      </w:r>
    </w:p>
    <w:p w14:paraId="692CABC5" w14:textId="77777777" w:rsidR="00B8619C" w:rsidRDefault="00000000">
      <w:pPr>
        <w:keepNext/>
        <w:jc w:val="center"/>
      </w:pPr>
      <w:r>
        <w:rPr>
          <w:noProof/>
        </w:rPr>
        <w:lastRenderedPageBreak/>
        <w:drawing>
          <wp:inline distT="0" distB="0" distL="0" distR="0" wp14:anchorId="716A5B32" wp14:editId="183974B8">
            <wp:extent cx="5832475" cy="31774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hierarchical_architecture_corrected.png"/>
                    <pic:cNvPicPr/>
                  </pic:nvPicPr>
                  <pic:blipFill>
                    <a:blip r:embed="rId10"/>
                    <a:stretch>
                      <a:fillRect/>
                    </a:stretch>
                  </pic:blipFill>
                  <pic:spPr>
                    <a:xfrm>
                      <a:off x="0" y="0"/>
                      <a:ext cx="5832475" cy="3177406"/>
                    </a:xfrm>
                    <a:prstGeom prst="rect">
                      <a:avLst/>
                    </a:prstGeom>
                  </pic:spPr>
                </pic:pic>
              </a:graphicData>
            </a:graphic>
          </wp:inline>
        </w:drawing>
      </w:r>
    </w:p>
    <w:p w14:paraId="71C69388" w14:textId="77777777" w:rsidR="00B8619C" w:rsidRDefault="00000000">
      <w:pPr>
        <w:pStyle w:val="af7"/>
        <w:keepNext/>
        <w:spacing w:after="100"/>
        <w:jc w:val="center"/>
      </w:pPr>
      <w:r>
        <w:t>图</w:t>
      </w:r>
      <w:r>
        <w:t xml:space="preserve"> 3 </w:t>
      </w:r>
      <w:r>
        <w:t>修订后的理论感知分层识别结构及当前实现的</w:t>
      </w:r>
      <w:r>
        <w:t xml:space="preserve"> KL </w:t>
      </w:r>
      <w:r>
        <w:t>方向</w:t>
      </w:r>
    </w:p>
    <w:p w14:paraId="6A16C8FB" w14:textId="77777777" w:rsidR="00B8619C" w:rsidRDefault="00000000">
      <w:pPr>
        <w:pStyle w:val="31"/>
      </w:pPr>
      <w:r>
        <w:t xml:space="preserve">4.5.1 EfficientNet-B0 </w:t>
      </w:r>
      <w:r>
        <w:t>共享主干的实际分阶段结构</w:t>
      </w:r>
    </w:p>
    <w:p w14:paraId="072939B3" w14:textId="77777777" w:rsidR="00B8619C" w:rsidRDefault="00000000">
      <w:r>
        <w:t>本项目调用</w:t>
      </w:r>
      <w:r>
        <w:t xml:space="preserve"> torchvision.models.efficientnet_b0</w:t>
      </w:r>
      <w:r>
        <w:t>，并保留其</w:t>
      </w:r>
      <w:r>
        <w:t xml:space="preserve"> features </w:t>
      </w:r>
      <w:r>
        <w:t>与全局平均池化层作为共享主干。按具有明确输入输出尺寸的功能阶段划分，主干包含</w:t>
      </w:r>
      <w:r>
        <w:t xml:space="preserve"> 1 </w:t>
      </w:r>
      <w:r>
        <w:t>个</w:t>
      </w:r>
      <w:r>
        <w:t xml:space="preserve"> Stem </w:t>
      </w:r>
      <w:r>
        <w:t>卷积、</w:t>
      </w:r>
      <w:r>
        <w:t xml:space="preserve">7 </w:t>
      </w:r>
      <w:r>
        <w:t>个</w:t>
      </w:r>
      <w:r>
        <w:t xml:space="preserve"> MBConv </w:t>
      </w:r>
      <w:r>
        <w:t>阶段、</w:t>
      </w:r>
      <w:r>
        <w:t xml:space="preserve">1 </w:t>
      </w:r>
      <w:r>
        <w:t>个</w:t>
      </w:r>
      <w:r>
        <w:t xml:space="preserve"> 1×1 Head </w:t>
      </w:r>
      <w:r>
        <w:t>卷积和</w:t>
      </w:r>
      <w:r>
        <w:t xml:space="preserve"> 1 </w:t>
      </w:r>
      <w:r>
        <w:t>个全局平均池化阶段；</w:t>
      </w:r>
      <w:r>
        <w:t xml:space="preserve">7 </w:t>
      </w:r>
      <w:r>
        <w:t>个</w:t>
      </w:r>
      <w:r>
        <w:t xml:space="preserve"> MBConv </w:t>
      </w:r>
      <w:r>
        <w:t>阶段内部合计包含</w:t>
      </w:r>
      <w:r>
        <w:t xml:space="preserve"> 16 </w:t>
      </w:r>
      <w:r>
        <w:t>个</w:t>
      </w:r>
      <w:r>
        <w:t xml:space="preserve"> MBConv </w:t>
      </w:r>
      <w:r>
        <w:t>块。这里采用</w:t>
      </w:r>
      <w:r>
        <w:t>“</w:t>
      </w:r>
      <w:r>
        <w:t>阶段</w:t>
      </w:r>
      <w:r>
        <w:t>/</w:t>
      </w:r>
      <w:r>
        <w:t>块</w:t>
      </w:r>
      <w:r>
        <w:t>”</w:t>
      </w:r>
      <w:r>
        <w:t>而不是任意拆分的卷积层数进行描述，因为卷积、批归一化、</w:t>
      </w:r>
      <w:r>
        <w:t>SiLU</w:t>
      </w:r>
      <w:r>
        <w:t>、</w:t>
      </w:r>
      <w:r>
        <w:t xml:space="preserve">SE </w:t>
      </w:r>
      <w:r>
        <w:t>和随机深度共同组成一个</w:t>
      </w:r>
      <w:r>
        <w:t xml:space="preserve"> MBConv </w:t>
      </w:r>
      <w:r>
        <w:t>块。</w:t>
      </w:r>
    </w:p>
    <w:p w14:paraId="53974CD0" w14:textId="77777777" w:rsidR="00B8619C" w:rsidRDefault="00000000">
      <w:pPr>
        <w:pStyle w:val="af7"/>
        <w:jc w:val="center"/>
      </w:pPr>
      <w:r>
        <w:t>表</w:t>
      </w:r>
      <w:r>
        <w:t xml:space="preserve"> 7 EfficientNet-B0 </w:t>
      </w:r>
      <w:r>
        <w:t>共享主干的逐阶段输入输出</w:t>
      </w:r>
    </w:p>
    <w:tbl>
      <w:tblPr>
        <w:tblStyle w:val="aff1"/>
        <w:tblW w:w="0" w:type="auto"/>
        <w:jc w:val="center"/>
        <w:tblLayout w:type="fixed"/>
        <w:tblLook w:val="04A0" w:firstRow="1" w:lastRow="0" w:firstColumn="1" w:lastColumn="0" w:noHBand="0" w:noVBand="1"/>
      </w:tblPr>
      <w:tblGrid>
        <w:gridCol w:w="454"/>
        <w:gridCol w:w="1247"/>
        <w:gridCol w:w="2268"/>
        <w:gridCol w:w="1417"/>
        <w:gridCol w:w="1417"/>
        <w:gridCol w:w="2041"/>
      </w:tblGrid>
      <w:tr w:rsidR="00B8619C" w14:paraId="055CC719" w14:textId="77777777">
        <w:trPr>
          <w:tblHeader/>
          <w:jc w:val="center"/>
        </w:trPr>
        <w:tc>
          <w:tcPr>
            <w:tcW w:w="454" w:type="dxa"/>
            <w:shd w:val="clear" w:color="auto" w:fill="E2F0D9"/>
            <w:vAlign w:val="center"/>
          </w:tcPr>
          <w:p w14:paraId="6E6A97A9" w14:textId="77777777" w:rsidR="00B8619C" w:rsidRDefault="00000000">
            <w:pPr>
              <w:spacing w:after="0" w:line="240" w:lineRule="auto"/>
              <w:jc w:val="center"/>
            </w:pPr>
            <w:r>
              <w:rPr>
                <w:rFonts w:ascii="宋体" w:hAnsi="宋体"/>
                <w:b/>
                <w:sz w:val="16"/>
              </w:rPr>
              <w:t>阶段</w:t>
            </w:r>
          </w:p>
        </w:tc>
        <w:tc>
          <w:tcPr>
            <w:tcW w:w="1247" w:type="dxa"/>
            <w:shd w:val="clear" w:color="auto" w:fill="E2F0D9"/>
            <w:vAlign w:val="center"/>
          </w:tcPr>
          <w:p w14:paraId="0A490EE8" w14:textId="77777777" w:rsidR="00B8619C" w:rsidRDefault="00000000">
            <w:pPr>
              <w:spacing w:after="0" w:line="240" w:lineRule="auto"/>
              <w:jc w:val="center"/>
            </w:pPr>
            <w:r>
              <w:rPr>
                <w:rFonts w:ascii="宋体" w:hAnsi="宋体"/>
                <w:b/>
                <w:sz w:val="16"/>
              </w:rPr>
              <w:t>结构</w:t>
            </w:r>
          </w:p>
        </w:tc>
        <w:tc>
          <w:tcPr>
            <w:tcW w:w="2268" w:type="dxa"/>
            <w:shd w:val="clear" w:color="auto" w:fill="E2F0D9"/>
            <w:vAlign w:val="center"/>
          </w:tcPr>
          <w:p w14:paraId="2FCD8BF6" w14:textId="77777777" w:rsidR="00B8619C" w:rsidRDefault="00000000">
            <w:pPr>
              <w:spacing w:after="0" w:line="240" w:lineRule="auto"/>
              <w:jc w:val="center"/>
            </w:pPr>
            <w:r>
              <w:rPr>
                <w:rFonts w:ascii="宋体" w:hAnsi="宋体"/>
                <w:b/>
                <w:sz w:val="16"/>
              </w:rPr>
              <w:t>核心配置</w:t>
            </w:r>
          </w:p>
        </w:tc>
        <w:tc>
          <w:tcPr>
            <w:tcW w:w="1417" w:type="dxa"/>
            <w:shd w:val="clear" w:color="auto" w:fill="E2F0D9"/>
            <w:vAlign w:val="center"/>
          </w:tcPr>
          <w:p w14:paraId="7B7F2040" w14:textId="77777777" w:rsidR="00B8619C" w:rsidRDefault="00000000">
            <w:pPr>
              <w:spacing w:after="0" w:line="240" w:lineRule="auto"/>
              <w:jc w:val="center"/>
            </w:pPr>
            <w:r>
              <w:rPr>
                <w:rFonts w:ascii="宋体" w:hAnsi="宋体"/>
                <w:b/>
                <w:sz w:val="16"/>
              </w:rPr>
              <w:t>输入尺寸</w:t>
            </w:r>
          </w:p>
        </w:tc>
        <w:tc>
          <w:tcPr>
            <w:tcW w:w="1417" w:type="dxa"/>
            <w:shd w:val="clear" w:color="auto" w:fill="E2F0D9"/>
            <w:vAlign w:val="center"/>
          </w:tcPr>
          <w:p w14:paraId="570526D1" w14:textId="77777777" w:rsidR="00B8619C" w:rsidRDefault="00000000">
            <w:pPr>
              <w:spacing w:after="0" w:line="240" w:lineRule="auto"/>
              <w:jc w:val="center"/>
            </w:pPr>
            <w:r>
              <w:rPr>
                <w:rFonts w:ascii="宋体" w:hAnsi="宋体"/>
                <w:b/>
                <w:sz w:val="16"/>
              </w:rPr>
              <w:t>输出尺寸</w:t>
            </w:r>
          </w:p>
        </w:tc>
        <w:tc>
          <w:tcPr>
            <w:tcW w:w="2041" w:type="dxa"/>
            <w:shd w:val="clear" w:color="auto" w:fill="E2F0D9"/>
            <w:vAlign w:val="center"/>
          </w:tcPr>
          <w:p w14:paraId="7BAF0B98" w14:textId="77777777" w:rsidR="00B8619C" w:rsidRDefault="00000000">
            <w:pPr>
              <w:spacing w:after="0" w:line="240" w:lineRule="auto"/>
              <w:jc w:val="center"/>
            </w:pPr>
            <w:r>
              <w:rPr>
                <w:rFonts w:ascii="宋体" w:hAnsi="宋体"/>
                <w:b/>
                <w:sz w:val="16"/>
              </w:rPr>
              <w:t>本任务中的作用</w:t>
            </w:r>
          </w:p>
        </w:tc>
      </w:tr>
      <w:tr w:rsidR="00B8619C" w14:paraId="1154DC94" w14:textId="77777777">
        <w:trPr>
          <w:cantSplit/>
          <w:jc w:val="center"/>
        </w:trPr>
        <w:tc>
          <w:tcPr>
            <w:tcW w:w="454" w:type="dxa"/>
            <w:vAlign w:val="center"/>
          </w:tcPr>
          <w:p w14:paraId="534ECDBE" w14:textId="77777777" w:rsidR="00B8619C" w:rsidRDefault="00000000">
            <w:pPr>
              <w:spacing w:after="0" w:line="240" w:lineRule="auto"/>
              <w:jc w:val="center"/>
            </w:pPr>
            <w:r>
              <w:rPr>
                <w:rFonts w:ascii="宋体" w:hAnsi="宋体"/>
                <w:sz w:val="15"/>
              </w:rPr>
              <w:t>0</w:t>
            </w:r>
          </w:p>
        </w:tc>
        <w:tc>
          <w:tcPr>
            <w:tcW w:w="1247" w:type="dxa"/>
            <w:vAlign w:val="center"/>
          </w:tcPr>
          <w:p w14:paraId="1137CCB1" w14:textId="77777777" w:rsidR="00B8619C" w:rsidRDefault="00000000">
            <w:pPr>
              <w:spacing w:after="0" w:line="240" w:lineRule="auto"/>
            </w:pPr>
            <w:r>
              <w:rPr>
                <w:rFonts w:ascii="宋体" w:hAnsi="宋体"/>
                <w:sz w:val="15"/>
              </w:rPr>
              <w:t>输入与预处理</w:t>
            </w:r>
          </w:p>
        </w:tc>
        <w:tc>
          <w:tcPr>
            <w:tcW w:w="2268" w:type="dxa"/>
            <w:vAlign w:val="center"/>
          </w:tcPr>
          <w:p w14:paraId="24B44D89" w14:textId="77777777" w:rsidR="00B8619C" w:rsidRDefault="00000000">
            <w:pPr>
              <w:spacing w:after="0" w:line="240" w:lineRule="auto"/>
            </w:pPr>
            <w:r>
              <w:rPr>
                <w:rFonts w:ascii="宋体" w:hAnsi="宋体"/>
                <w:sz w:val="15"/>
              </w:rPr>
              <w:t>RGB；缩放/裁剪至 224×224；ImageNet 标准化</w:t>
            </w:r>
          </w:p>
        </w:tc>
        <w:tc>
          <w:tcPr>
            <w:tcW w:w="1417" w:type="dxa"/>
            <w:vAlign w:val="center"/>
          </w:tcPr>
          <w:p w14:paraId="340F5331" w14:textId="77777777" w:rsidR="00B8619C" w:rsidRDefault="00000000">
            <w:pPr>
              <w:spacing w:after="0" w:line="240" w:lineRule="auto"/>
              <w:jc w:val="center"/>
            </w:pPr>
            <w:r>
              <w:rPr>
                <w:rFonts w:ascii="宋体" w:hAnsi="宋体"/>
                <w:sz w:val="15"/>
              </w:rPr>
              <w:t>3×224×224</w:t>
            </w:r>
          </w:p>
        </w:tc>
        <w:tc>
          <w:tcPr>
            <w:tcW w:w="1417" w:type="dxa"/>
            <w:vAlign w:val="center"/>
          </w:tcPr>
          <w:p w14:paraId="4AF75126" w14:textId="77777777" w:rsidR="00B8619C" w:rsidRDefault="00000000">
            <w:pPr>
              <w:spacing w:after="0" w:line="240" w:lineRule="auto"/>
              <w:jc w:val="center"/>
            </w:pPr>
            <w:r>
              <w:rPr>
                <w:rFonts w:ascii="宋体" w:hAnsi="宋体"/>
                <w:sz w:val="15"/>
              </w:rPr>
              <w:t>3×224×224</w:t>
            </w:r>
          </w:p>
        </w:tc>
        <w:tc>
          <w:tcPr>
            <w:tcW w:w="2041" w:type="dxa"/>
            <w:vAlign w:val="center"/>
          </w:tcPr>
          <w:p w14:paraId="0CF0EA30" w14:textId="77777777" w:rsidR="00B8619C" w:rsidRDefault="00000000">
            <w:pPr>
              <w:spacing w:after="0" w:line="240" w:lineRule="auto"/>
            </w:pPr>
            <w:r>
              <w:rPr>
                <w:rFonts w:ascii="宋体" w:hAnsi="宋体"/>
                <w:sz w:val="15"/>
              </w:rPr>
              <w:t>形成统一网络输入</w:t>
            </w:r>
          </w:p>
        </w:tc>
      </w:tr>
      <w:tr w:rsidR="00B8619C" w14:paraId="7856F494" w14:textId="77777777">
        <w:trPr>
          <w:cantSplit/>
          <w:jc w:val="center"/>
        </w:trPr>
        <w:tc>
          <w:tcPr>
            <w:tcW w:w="454" w:type="dxa"/>
            <w:vAlign w:val="center"/>
          </w:tcPr>
          <w:p w14:paraId="7F9EC286" w14:textId="77777777" w:rsidR="00B8619C" w:rsidRDefault="00000000">
            <w:pPr>
              <w:spacing w:after="0" w:line="240" w:lineRule="auto"/>
              <w:jc w:val="center"/>
            </w:pPr>
            <w:r>
              <w:rPr>
                <w:rFonts w:ascii="宋体" w:hAnsi="宋体"/>
                <w:sz w:val="15"/>
              </w:rPr>
              <w:t>1</w:t>
            </w:r>
          </w:p>
        </w:tc>
        <w:tc>
          <w:tcPr>
            <w:tcW w:w="1247" w:type="dxa"/>
            <w:vAlign w:val="center"/>
          </w:tcPr>
          <w:p w14:paraId="089987B1" w14:textId="77777777" w:rsidR="00B8619C" w:rsidRDefault="00000000">
            <w:pPr>
              <w:spacing w:after="0" w:line="240" w:lineRule="auto"/>
            </w:pPr>
            <w:r>
              <w:rPr>
                <w:rFonts w:ascii="宋体" w:hAnsi="宋体"/>
                <w:sz w:val="15"/>
              </w:rPr>
              <w:t>Stem</w:t>
            </w:r>
          </w:p>
        </w:tc>
        <w:tc>
          <w:tcPr>
            <w:tcW w:w="2268" w:type="dxa"/>
            <w:vAlign w:val="center"/>
          </w:tcPr>
          <w:p w14:paraId="04F75244" w14:textId="77777777" w:rsidR="00B8619C" w:rsidRDefault="00000000">
            <w:pPr>
              <w:spacing w:after="0" w:line="240" w:lineRule="auto"/>
            </w:pPr>
            <w:r>
              <w:rPr>
                <w:rFonts w:ascii="宋体" w:hAnsi="宋体"/>
                <w:sz w:val="15"/>
              </w:rPr>
              <w:t>3×3 Conv，s=2，BN，SiLU</w:t>
            </w:r>
          </w:p>
        </w:tc>
        <w:tc>
          <w:tcPr>
            <w:tcW w:w="1417" w:type="dxa"/>
            <w:vAlign w:val="center"/>
          </w:tcPr>
          <w:p w14:paraId="1F1BC0B0" w14:textId="77777777" w:rsidR="00B8619C" w:rsidRDefault="00000000">
            <w:pPr>
              <w:spacing w:after="0" w:line="240" w:lineRule="auto"/>
              <w:jc w:val="center"/>
            </w:pPr>
            <w:r>
              <w:rPr>
                <w:rFonts w:ascii="宋体" w:hAnsi="宋体"/>
                <w:sz w:val="15"/>
              </w:rPr>
              <w:t>3×224×224</w:t>
            </w:r>
          </w:p>
        </w:tc>
        <w:tc>
          <w:tcPr>
            <w:tcW w:w="1417" w:type="dxa"/>
            <w:vAlign w:val="center"/>
          </w:tcPr>
          <w:p w14:paraId="06BBEC71" w14:textId="77777777" w:rsidR="00B8619C" w:rsidRDefault="00000000">
            <w:pPr>
              <w:spacing w:after="0" w:line="240" w:lineRule="auto"/>
              <w:jc w:val="center"/>
            </w:pPr>
            <w:r>
              <w:rPr>
                <w:rFonts w:ascii="宋体" w:hAnsi="宋体"/>
                <w:sz w:val="15"/>
              </w:rPr>
              <w:t>32×112×112</w:t>
            </w:r>
          </w:p>
        </w:tc>
        <w:tc>
          <w:tcPr>
            <w:tcW w:w="2041" w:type="dxa"/>
            <w:vAlign w:val="center"/>
          </w:tcPr>
          <w:p w14:paraId="726A6FFB" w14:textId="77777777" w:rsidR="00B8619C" w:rsidRDefault="00000000">
            <w:pPr>
              <w:spacing w:after="0" w:line="240" w:lineRule="auto"/>
            </w:pPr>
            <w:r>
              <w:rPr>
                <w:rFonts w:ascii="宋体" w:hAnsi="宋体"/>
                <w:sz w:val="15"/>
              </w:rPr>
              <w:t>初始颜色、边缘与局部纹理提取</w:t>
            </w:r>
          </w:p>
        </w:tc>
      </w:tr>
      <w:tr w:rsidR="00B8619C" w14:paraId="48A94948" w14:textId="77777777">
        <w:trPr>
          <w:cantSplit/>
          <w:jc w:val="center"/>
        </w:trPr>
        <w:tc>
          <w:tcPr>
            <w:tcW w:w="454" w:type="dxa"/>
            <w:vAlign w:val="center"/>
          </w:tcPr>
          <w:p w14:paraId="3AF1D078" w14:textId="77777777" w:rsidR="00B8619C" w:rsidRDefault="00000000">
            <w:pPr>
              <w:spacing w:after="0" w:line="240" w:lineRule="auto"/>
              <w:jc w:val="center"/>
            </w:pPr>
            <w:r>
              <w:rPr>
                <w:rFonts w:ascii="宋体" w:hAnsi="宋体"/>
                <w:sz w:val="15"/>
              </w:rPr>
              <w:t>2</w:t>
            </w:r>
          </w:p>
        </w:tc>
        <w:tc>
          <w:tcPr>
            <w:tcW w:w="1247" w:type="dxa"/>
            <w:vAlign w:val="center"/>
          </w:tcPr>
          <w:p w14:paraId="69D76B6D" w14:textId="77777777" w:rsidR="00B8619C" w:rsidRDefault="00000000">
            <w:pPr>
              <w:spacing w:after="0" w:line="240" w:lineRule="auto"/>
            </w:pPr>
            <w:r>
              <w:rPr>
                <w:rFonts w:ascii="宋体" w:hAnsi="宋体"/>
                <w:sz w:val="15"/>
              </w:rPr>
              <w:t>MBConv1</w:t>
            </w:r>
          </w:p>
        </w:tc>
        <w:tc>
          <w:tcPr>
            <w:tcW w:w="2268" w:type="dxa"/>
            <w:vAlign w:val="center"/>
          </w:tcPr>
          <w:p w14:paraId="08411AA7" w14:textId="77777777" w:rsidR="00B8619C" w:rsidRDefault="00000000">
            <w:pPr>
              <w:spacing w:after="0" w:line="240" w:lineRule="auto"/>
            </w:pPr>
            <w:r>
              <w:rPr>
                <w:rFonts w:ascii="宋体" w:hAnsi="宋体"/>
                <w:sz w:val="15"/>
              </w:rPr>
              <w:t>k=3，扩展比 1，重复 1，s=1</w:t>
            </w:r>
          </w:p>
        </w:tc>
        <w:tc>
          <w:tcPr>
            <w:tcW w:w="1417" w:type="dxa"/>
            <w:vAlign w:val="center"/>
          </w:tcPr>
          <w:p w14:paraId="44A83B47" w14:textId="77777777" w:rsidR="00B8619C" w:rsidRDefault="00000000">
            <w:pPr>
              <w:spacing w:after="0" w:line="240" w:lineRule="auto"/>
              <w:jc w:val="center"/>
            </w:pPr>
            <w:r>
              <w:rPr>
                <w:rFonts w:ascii="宋体" w:hAnsi="宋体"/>
                <w:sz w:val="15"/>
              </w:rPr>
              <w:t>32×112×112</w:t>
            </w:r>
          </w:p>
        </w:tc>
        <w:tc>
          <w:tcPr>
            <w:tcW w:w="1417" w:type="dxa"/>
            <w:vAlign w:val="center"/>
          </w:tcPr>
          <w:p w14:paraId="04F6FEFE" w14:textId="77777777" w:rsidR="00B8619C" w:rsidRDefault="00000000">
            <w:pPr>
              <w:spacing w:after="0" w:line="240" w:lineRule="auto"/>
              <w:jc w:val="center"/>
            </w:pPr>
            <w:r>
              <w:rPr>
                <w:rFonts w:ascii="宋体" w:hAnsi="宋体"/>
                <w:sz w:val="15"/>
              </w:rPr>
              <w:t>16×112×112</w:t>
            </w:r>
          </w:p>
        </w:tc>
        <w:tc>
          <w:tcPr>
            <w:tcW w:w="2041" w:type="dxa"/>
            <w:vAlign w:val="center"/>
          </w:tcPr>
          <w:p w14:paraId="12A114D7" w14:textId="77777777" w:rsidR="00B8619C" w:rsidRDefault="00000000">
            <w:pPr>
              <w:spacing w:after="0" w:line="240" w:lineRule="auto"/>
            </w:pPr>
            <w:r>
              <w:rPr>
                <w:rFonts w:ascii="宋体" w:hAnsi="宋体"/>
                <w:sz w:val="15"/>
              </w:rPr>
              <w:t>低层局部纹理压缩</w:t>
            </w:r>
          </w:p>
        </w:tc>
      </w:tr>
      <w:tr w:rsidR="00B8619C" w14:paraId="424D1075" w14:textId="77777777">
        <w:trPr>
          <w:cantSplit/>
          <w:jc w:val="center"/>
        </w:trPr>
        <w:tc>
          <w:tcPr>
            <w:tcW w:w="454" w:type="dxa"/>
            <w:vAlign w:val="center"/>
          </w:tcPr>
          <w:p w14:paraId="216D2C72" w14:textId="77777777" w:rsidR="00B8619C" w:rsidRDefault="00000000">
            <w:pPr>
              <w:spacing w:after="0" w:line="240" w:lineRule="auto"/>
              <w:jc w:val="center"/>
            </w:pPr>
            <w:r>
              <w:rPr>
                <w:rFonts w:ascii="宋体" w:hAnsi="宋体"/>
                <w:sz w:val="15"/>
              </w:rPr>
              <w:t>3</w:t>
            </w:r>
          </w:p>
        </w:tc>
        <w:tc>
          <w:tcPr>
            <w:tcW w:w="1247" w:type="dxa"/>
            <w:vAlign w:val="center"/>
          </w:tcPr>
          <w:p w14:paraId="744ECA5B" w14:textId="77777777" w:rsidR="00B8619C" w:rsidRDefault="00000000">
            <w:pPr>
              <w:spacing w:after="0" w:line="240" w:lineRule="auto"/>
            </w:pPr>
            <w:r>
              <w:rPr>
                <w:rFonts w:ascii="宋体" w:hAnsi="宋体"/>
                <w:sz w:val="15"/>
              </w:rPr>
              <w:t>MBConv6-1</w:t>
            </w:r>
          </w:p>
        </w:tc>
        <w:tc>
          <w:tcPr>
            <w:tcW w:w="2268" w:type="dxa"/>
            <w:vAlign w:val="center"/>
          </w:tcPr>
          <w:p w14:paraId="0DB60710" w14:textId="77777777" w:rsidR="00B8619C" w:rsidRDefault="00000000">
            <w:pPr>
              <w:spacing w:after="0" w:line="240" w:lineRule="auto"/>
            </w:pPr>
            <w:r>
              <w:rPr>
                <w:rFonts w:ascii="宋体" w:hAnsi="宋体"/>
                <w:sz w:val="15"/>
              </w:rPr>
              <w:t>k=3，扩展比 6，重复 2，首块 s=2</w:t>
            </w:r>
          </w:p>
        </w:tc>
        <w:tc>
          <w:tcPr>
            <w:tcW w:w="1417" w:type="dxa"/>
            <w:vAlign w:val="center"/>
          </w:tcPr>
          <w:p w14:paraId="1B39A9FC" w14:textId="77777777" w:rsidR="00B8619C" w:rsidRDefault="00000000">
            <w:pPr>
              <w:spacing w:after="0" w:line="240" w:lineRule="auto"/>
              <w:jc w:val="center"/>
            </w:pPr>
            <w:r>
              <w:rPr>
                <w:rFonts w:ascii="宋体" w:hAnsi="宋体"/>
                <w:sz w:val="15"/>
              </w:rPr>
              <w:t>16×112×112</w:t>
            </w:r>
          </w:p>
        </w:tc>
        <w:tc>
          <w:tcPr>
            <w:tcW w:w="1417" w:type="dxa"/>
            <w:vAlign w:val="center"/>
          </w:tcPr>
          <w:p w14:paraId="0E3AF2BB" w14:textId="77777777" w:rsidR="00B8619C" w:rsidRDefault="00000000">
            <w:pPr>
              <w:spacing w:after="0" w:line="240" w:lineRule="auto"/>
              <w:jc w:val="center"/>
            </w:pPr>
            <w:r>
              <w:rPr>
                <w:rFonts w:ascii="宋体" w:hAnsi="宋体"/>
                <w:sz w:val="15"/>
              </w:rPr>
              <w:t>24×56×56</w:t>
            </w:r>
          </w:p>
        </w:tc>
        <w:tc>
          <w:tcPr>
            <w:tcW w:w="2041" w:type="dxa"/>
            <w:vAlign w:val="center"/>
          </w:tcPr>
          <w:p w14:paraId="067E9CAB" w14:textId="77777777" w:rsidR="00B8619C" w:rsidRDefault="00000000">
            <w:pPr>
              <w:spacing w:after="0" w:line="240" w:lineRule="auto"/>
            </w:pPr>
            <w:r>
              <w:rPr>
                <w:rFonts w:ascii="宋体" w:hAnsi="宋体"/>
                <w:sz w:val="15"/>
              </w:rPr>
              <w:t>下采样并扩大通道表达</w:t>
            </w:r>
          </w:p>
        </w:tc>
      </w:tr>
      <w:tr w:rsidR="00B8619C" w14:paraId="536857CE" w14:textId="77777777">
        <w:trPr>
          <w:cantSplit/>
          <w:jc w:val="center"/>
        </w:trPr>
        <w:tc>
          <w:tcPr>
            <w:tcW w:w="454" w:type="dxa"/>
            <w:vAlign w:val="center"/>
          </w:tcPr>
          <w:p w14:paraId="217D2528" w14:textId="77777777" w:rsidR="00B8619C" w:rsidRDefault="00000000">
            <w:pPr>
              <w:spacing w:after="0" w:line="240" w:lineRule="auto"/>
              <w:jc w:val="center"/>
            </w:pPr>
            <w:r>
              <w:rPr>
                <w:rFonts w:ascii="宋体" w:hAnsi="宋体"/>
                <w:sz w:val="15"/>
              </w:rPr>
              <w:t>4</w:t>
            </w:r>
          </w:p>
        </w:tc>
        <w:tc>
          <w:tcPr>
            <w:tcW w:w="1247" w:type="dxa"/>
            <w:vAlign w:val="center"/>
          </w:tcPr>
          <w:p w14:paraId="59074267" w14:textId="77777777" w:rsidR="00B8619C" w:rsidRDefault="00000000">
            <w:pPr>
              <w:spacing w:after="0" w:line="240" w:lineRule="auto"/>
            </w:pPr>
            <w:r>
              <w:rPr>
                <w:rFonts w:ascii="宋体" w:hAnsi="宋体"/>
                <w:sz w:val="15"/>
              </w:rPr>
              <w:t>MBConv6-2</w:t>
            </w:r>
          </w:p>
        </w:tc>
        <w:tc>
          <w:tcPr>
            <w:tcW w:w="2268" w:type="dxa"/>
            <w:vAlign w:val="center"/>
          </w:tcPr>
          <w:p w14:paraId="068B3F37" w14:textId="77777777" w:rsidR="00B8619C" w:rsidRDefault="00000000">
            <w:pPr>
              <w:spacing w:after="0" w:line="240" w:lineRule="auto"/>
            </w:pPr>
            <w:r>
              <w:rPr>
                <w:rFonts w:ascii="宋体" w:hAnsi="宋体"/>
                <w:sz w:val="15"/>
              </w:rPr>
              <w:t>k=5，扩展比 6，重复 2，首块 s=2</w:t>
            </w:r>
          </w:p>
        </w:tc>
        <w:tc>
          <w:tcPr>
            <w:tcW w:w="1417" w:type="dxa"/>
            <w:vAlign w:val="center"/>
          </w:tcPr>
          <w:p w14:paraId="2704D3A2" w14:textId="77777777" w:rsidR="00B8619C" w:rsidRDefault="00000000">
            <w:pPr>
              <w:spacing w:after="0" w:line="240" w:lineRule="auto"/>
              <w:jc w:val="center"/>
            </w:pPr>
            <w:r>
              <w:rPr>
                <w:rFonts w:ascii="宋体" w:hAnsi="宋体"/>
                <w:sz w:val="15"/>
              </w:rPr>
              <w:t>24×56×56</w:t>
            </w:r>
          </w:p>
        </w:tc>
        <w:tc>
          <w:tcPr>
            <w:tcW w:w="1417" w:type="dxa"/>
            <w:vAlign w:val="center"/>
          </w:tcPr>
          <w:p w14:paraId="7F37BF98" w14:textId="77777777" w:rsidR="00B8619C" w:rsidRDefault="00000000">
            <w:pPr>
              <w:spacing w:after="0" w:line="240" w:lineRule="auto"/>
              <w:jc w:val="center"/>
            </w:pPr>
            <w:r>
              <w:rPr>
                <w:rFonts w:ascii="宋体" w:hAnsi="宋体"/>
                <w:sz w:val="15"/>
              </w:rPr>
              <w:t>40×28×28</w:t>
            </w:r>
          </w:p>
        </w:tc>
        <w:tc>
          <w:tcPr>
            <w:tcW w:w="2041" w:type="dxa"/>
            <w:vAlign w:val="center"/>
          </w:tcPr>
          <w:p w14:paraId="18BE30F1" w14:textId="77777777" w:rsidR="00B8619C" w:rsidRDefault="00000000">
            <w:pPr>
              <w:spacing w:after="0" w:line="240" w:lineRule="auto"/>
            </w:pPr>
            <w:r>
              <w:rPr>
                <w:rFonts w:ascii="宋体" w:hAnsi="宋体"/>
                <w:sz w:val="15"/>
              </w:rPr>
              <w:t>扩大感受野，提取中低层形貌</w:t>
            </w:r>
          </w:p>
        </w:tc>
      </w:tr>
      <w:tr w:rsidR="00B8619C" w14:paraId="22AC049B" w14:textId="77777777">
        <w:trPr>
          <w:cantSplit/>
          <w:jc w:val="center"/>
        </w:trPr>
        <w:tc>
          <w:tcPr>
            <w:tcW w:w="454" w:type="dxa"/>
            <w:vAlign w:val="center"/>
          </w:tcPr>
          <w:p w14:paraId="64FD53E6" w14:textId="77777777" w:rsidR="00B8619C" w:rsidRDefault="00000000">
            <w:pPr>
              <w:spacing w:after="0" w:line="240" w:lineRule="auto"/>
              <w:jc w:val="center"/>
            </w:pPr>
            <w:r>
              <w:rPr>
                <w:rFonts w:ascii="宋体" w:hAnsi="宋体"/>
                <w:sz w:val="15"/>
              </w:rPr>
              <w:t>5</w:t>
            </w:r>
          </w:p>
        </w:tc>
        <w:tc>
          <w:tcPr>
            <w:tcW w:w="1247" w:type="dxa"/>
            <w:vAlign w:val="center"/>
          </w:tcPr>
          <w:p w14:paraId="65888521" w14:textId="77777777" w:rsidR="00B8619C" w:rsidRDefault="00000000">
            <w:pPr>
              <w:spacing w:after="0" w:line="240" w:lineRule="auto"/>
            </w:pPr>
            <w:r>
              <w:rPr>
                <w:rFonts w:ascii="宋体" w:hAnsi="宋体"/>
                <w:sz w:val="15"/>
              </w:rPr>
              <w:t>MBConv6-3</w:t>
            </w:r>
          </w:p>
        </w:tc>
        <w:tc>
          <w:tcPr>
            <w:tcW w:w="2268" w:type="dxa"/>
            <w:vAlign w:val="center"/>
          </w:tcPr>
          <w:p w14:paraId="41683661" w14:textId="77777777" w:rsidR="00B8619C" w:rsidRDefault="00000000">
            <w:pPr>
              <w:spacing w:after="0" w:line="240" w:lineRule="auto"/>
            </w:pPr>
            <w:r>
              <w:rPr>
                <w:rFonts w:ascii="宋体" w:hAnsi="宋体"/>
                <w:sz w:val="15"/>
              </w:rPr>
              <w:t>k=3，扩展比 6，重复 3，首块 s=2</w:t>
            </w:r>
          </w:p>
        </w:tc>
        <w:tc>
          <w:tcPr>
            <w:tcW w:w="1417" w:type="dxa"/>
            <w:vAlign w:val="center"/>
          </w:tcPr>
          <w:p w14:paraId="55FAF696" w14:textId="77777777" w:rsidR="00B8619C" w:rsidRDefault="00000000">
            <w:pPr>
              <w:spacing w:after="0" w:line="240" w:lineRule="auto"/>
              <w:jc w:val="center"/>
            </w:pPr>
            <w:r>
              <w:rPr>
                <w:rFonts w:ascii="宋体" w:hAnsi="宋体"/>
                <w:sz w:val="15"/>
              </w:rPr>
              <w:t>40×28×28</w:t>
            </w:r>
          </w:p>
        </w:tc>
        <w:tc>
          <w:tcPr>
            <w:tcW w:w="1417" w:type="dxa"/>
            <w:vAlign w:val="center"/>
          </w:tcPr>
          <w:p w14:paraId="17D2C00C" w14:textId="77777777" w:rsidR="00B8619C" w:rsidRDefault="00000000">
            <w:pPr>
              <w:spacing w:after="0" w:line="240" w:lineRule="auto"/>
              <w:jc w:val="center"/>
            </w:pPr>
            <w:r>
              <w:rPr>
                <w:rFonts w:ascii="宋体" w:hAnsi="宋体"/>
                <w:sz w:val="15"/>
              </w:rPr>
              <w:t>80×14×14</w:t>
            </w:r>
          </w:p>
        </w:tc>
        <w:tc>
          <w:tcPr>
            <w:tcW w:w="2041" w:type="dxa"/>
            <w:vAlign w:val="center"/>
          </w:tcPr>
          <w:p w14:paraId="0B1E40E3" w14:textId="77777777" w:rsidR="00B8619C" w:rsidRDefault="00000000">
            <w:pPr>
              <w:spacing w:after="0" w:line="240" w:lineRule="auto"/>
            </w:pPr>
            <w:r>
              <w:rPr>
                <w:rFonts w:ascii="宋体" w:hAnsi="宋体"/>
                <w:sz w:val="15"/>
              </w:rPr>
              <w:t>提取中层纹理与块状结构</w:t>
            </w:r>
          </w:p>
        </w:tc>
      </w:tr>
      <w:tr w:rsidR="00B8619C" w14:paraId="20D9079E" w14:textId="77777777">
        <w:trPr>
          <w:cantSplit/>
          <w:jc w:val="center"/>
        </w:trPr>
        <w:tc>
          <w:tcPr>
            <w:tcW w:w="454" w:type="dxa"/>
            <w:vAlign w:val="center"/>
          </w:tcPr>
          <w:p w14:paraId="3C39745E" w14:textId="77777777" w:rsidR="00B8619C" w:rsidRDefault="00000000">
            <w:pPr>
              <w:spacing w:after="0" w:line="240" w:lineRule="auto"/>
              <w:jc w:val="center"/>
            </w:pPr>
            <w:r>
              <w:rPr>
                <w:rFonts w:ascii="宋体" w:hAnsi="宋体"/>
                <w:sz w:val="15"/>
              </w:rPr>
              <w:t>6</w:t>
            </w:r>
          </w:p>
        </w:tc>
        <w:tc>
          <w:tcPr>
            <w:tcW w:w="1247" w:type="dxa"/>
            <w:vAlign w:val="center"/>
          </w:tcPr>
          <w:p w14:paraId="03320D9F" w14:textId="77777777" w:rsidR="00B8619C" w:rsidRDefault="00000000">
            <w:pPr>
              <w:spacing w:after="0" w:line="240" w:lineRule="auto"/>
            </w:pPr>
            <w:r>
              <w:rPr>
                <w:rFonts w:ascii="宋体" w:hAnsi="宋体"/>
                <w:sz w:val="15"/>
              </w:rPr>
              <w:t>MBConv6-4</w:t>
            </w:r>
          </w:p>
        </w:tc>
        <w:tc>
          <w:tcPr>
            <w:tcW w:w="2268" w:type="dxa"/>
            <w:vAlign w:val="center"/>
          </w:tcPr>
          <w:p w14:paraId="32414D93" w14:textId="77777777" w:rsidR="00B8619C" w:rsidRDefault="00000000">
            <w:pPr>
              <w:spacing w:after="0" w:line="240" w:lineRule="auto"/>
            </w:pPr>
            <w:r>
              <w:rPr>
                <w:rFonts w:ascii="宋体" w:hAnsi="宋体"/>
                <w:sz w:val="15"/>
              </w:rPr>
              <w:t>k=5，扩展比 6，重复 3，s=1</w:t>
            </w:r>
          </w:p>
        </w:tc>
        <w:tc>
          <w:tcPr>
            <w:tcW w:w="1417" w:type="dxa"/>
            <w:vAlign w:val="center"/>
          </w:tcPr>
          <w:p w14:paraId="0E49DED1" w14:textId="77777777" w:rsidR="00B8619C" w:rsidRDefault="00000000">
            <w:pPr>
              <w:spacing w:after="0" w:line="240" w:lineRule="auto"/>
              <w:jc w:val="center"/>
            </w:pPr>
            <w:r>
              <w:rPr>
                <w:rFonts w:ascii="宋体" w:hAnsi="宋体"/>
                <w:sz w:val="15"/>
              </w:rPr>
              <w:t>80×14×14</w:t>
            </w:r>
          </w:p>
        </w:tc>
        <w:tc>
          <w:tcPr>
            <w:tcW w:w="1417" w:type="dxa"/>
            <w:vAlign w:val="center"/>
          </w:tcPr>
          <w:p w14:paraId="42F5BD4F" w14:textId="77777777" w:rsidR="00B8619C" w:rsidRDefault="00000000">
            <w:pPr>
              <w:spacing w:after="0" w:line="240" w:lineRule="auto"/>
              <w:jc w:val="center"/>
            </w:pPr>
            <w:r>
              <w:rPr>
                <w:rFonts w:ascii="宋体" w:hAnsi="宋体"/>
                <w:sz w:val="15"/>
              </w:rPr>
              <w:t>112×14×14</w:t>
            </w:r>
          </w:p>
        </w:tc>
        <w:tc>
          <w:tcPr>
            <w:tcW w:w="2041" w:type="dxa"/>
            <w:vAlign w:val="center"/>
          </w:tcPr>
          <w:p w14:paraId="686C612E" w14:textId="77777777" w:rsidR="00B8619C" w:rsidRDefault="00000000">
            <w:pPr>
              <w:spacing w:after="0" w:line="240" w:lineRule="auto"/>
            </w:pPr>
            <w:r>
              <w:rPr>
                <w:rFonts w:ascii="宋体" w:hAnsi="宋体"/>
                <w:sz w:val="15"/>
              </w:rPr>
              <w:t>保持尺度并增强语义特征</w:t>
            </w:r>
          </w:p>
        </w:tc>
      </w:tr>
      <w:tr w:rsidR="00B8619C" w14:paraId="152B8BF7" w14:textId="77777777">
        <w:trPr>
          <w:cantSplit/>
          <w:jc w:val="center"/>
        </w:trPr>
        <w:tc>
          <w:tcPr>
            <w:tcW w:w="454" w:type="dxa"/>
            <w:vAlign w:val="center"/>
          </w:tcPr>
          <w:p w14:paraId="4105ED13" w14:textId="77777777" w:rsidR="00B8619C" w:rsidRDefault="00000000">
            <w:pPr>
              <w:spacing w:after="0" w:line="240" w:lineRule="auto"/>
              <w:jc w:val="center"/>
            </w:pPr>
            <w:r>
              <w:rPr>
                <w:rFonts w:ascii="宋体" w:hAnsi="宋体"/>
                <w:sz w:val="15"/>
              </w:rPr>
              <w:t>7</w:t>
            </w:r>
          </w:p>
        </w:tc>
        <w:tc>
          <w:tcPr>
            <w:tcW w:w="1247" w:type="dxa"/>
            <w:vAlign w:val="center"/>
          </w:tcPr>
          <w:p w14:paraId="1B64BFFB" w14:textId="77777777" w:rsidR="00B8619C" w:rsidRDefault="00000000">
            <w:pPr>
              <w:spacing w:after="0" w:line="240" w:lineRule="auto"/>
            </w:pPr>
            <w:r>
              <w:rPr>
                <w:rFonts w:ascii="宋体" w:hAnsi="宋体"/>
                <w:sz w:val="15"/>
              </w:rPr>
              <w:t>MBConv6-5</w:t>
            </w:r>
          </w:p>
        </w:tc>
        <w:tc>
          <w:tcPr>
            <w:tcW w:w="2268" w:type="dxa"/>
            <w:vAlign w:val="center"/>
          </w:tcPr>
          <w:p w14:paraId="0325BE01" w14:textId="77777777" w:rsidR="00B8619C" w:rsidRDefault="00000000">
            <w:pPr>
              <w:spacing w:after="0" w:line="240" w:lineRule="auto"/>
            </w:pPr>
            <w:r>
              <w:rPr>
                <w:rFonts w:ascii="宋体" w:hAnsi="宋体"/>
                <w:sz w:val="15"/>
              </w:rPr>
              <w:t>k=5，扩展比 6，重复 4，首块 s=2</w:t>
            </w:r>
          </w:p>
        </w:tc>
        <w:tc>
          <w:tcPr>
            <w:tcW w:w="1417" w:type="dxa"/>
            <w:vAlign w:val="center"/>
          </w:tcPr>
          <w:p w14:paraId="59F6DA38" w14:textId="77777777" w:rsidR="00B8619C" w:rsidRDefault="00000000">
            <w:pPr>
              <w:spacing w:after="0" w:line="240" w:lineRule="auto"/>
              <w:jc w:val="center"/>
            </w:pPr>
            <w:r>
              <w:rPr>
                <w:rFonts w:ascii="宋体" w:hAnsi="宋体"/>
                <w:sz w:val="15"/>
              </w:rPr>
              <w:t>112×14×14</w:t>
            </w:r>
          </w:p>
        </w:tc>
        <w:tc>
          <w:tcPr>
            <w:tcW w:w="1417" w:type="dxa"/>
            <w:vAlign w:val="center"/>
          </w:tcPr>
          <w:p w14:paraId="6E1E767A" w14:textId="77777777" w:rsidR="00B8619C" w:rsidRDefault="00000000">
            <w:pPr>
              <w:spacing w:after="0" w:line="240" w:lineRule="auto"/>
              <w:jc w:val="center"/>
            </w:pPr>
            <w:r>
              <w:rPr>
                <w:rFonts w:ascii="宋体" w:hAnsi="宋体"/>
                <w:sz w:val="15"/>
              </w:rPr>
              <w:t>192×7×7</w:t>
            </w:r>
          </w:p>
        </w:tc>
        <w:tc>
          <w:tcPr>
            <w:tcW w:w="2041" w:type="dxa"/>
            <w:vAlign w:val="center"/>
          </w:tcPr>
          <w:p w14:paraId="21B418E3" w14:textId="77777777" w:rsidR="00B8619C" w:rsidRDefault="00000000">
            <w:pPr>
              <w:spacing w:after="0" w:line="240" w:lineRule="auto"/>
            </w:pPr>
            <w:r>
              <w:rPr>
                <w:rFonts w:ascii="宋体" w:hAnsi="宋体"/>
                <w:sz w:val="15"/>
              </w:rPr>
              <w:t>形成高层全局形态表征</w:t>
            </w:r>
          </w:p>
        </w:tc>
      </w:tr>
      <w:tr w:rsidR="00B8619C" w14:paraId="38725C6B" w14:textId="77777777">
        <w:trPr>
          <w:cantSplit/>
          <w:jc w:val="center"/>
        </w:trPr>
        <w:tc>
          <w:tcPr>
            <w:tcW w:w="454" w:type="dxa"/>
            <w:vAlign w:val="center"/>
          </w:tcPr>
          <w:p w14:paraId="42A551DB" w14:textId="77777777" w:rsidR="00B8619C" w:rsidRDefault="00000000">
            <w:pPr>
              <w:spacing w:after="0" w:line="240" w:lineRule="auto"/>
              <w:jc w:val="center"/>
            </w:pPr>
            <w:r>
              <w:rPr>
                <w:rFonts w:ascii="宋体" w:hAnsi="宋体"/>
                <w:sz w:val="15"/>
              </w:rPr>
              <w:t>8</w:t>
            </w:r>
          </w:p>
        </w:tc>
        <w:tc>
          <w:tcPr>
            <w:tcW w:w="1247" w:type="dxa"/>
            <w:vAlign w:val="center"/>
          </w:tcPr>
          <w:p w14:paraId="5B421134" w14:textId="77777777" w:rsidR="00B8619C" w:rsidRDefault="00000000">
            <w:pPr>
              <w:spacing w:after="0" w:line="240" w:lineRule="auto"/>
            </w:pPr>
            <w:r>
              <w:rPr>
                <w:rFonts w:ascii="宋体" w:hAnsi="宋体"/>
                <w:sz w:val="15"/>
              </w:rPr>
              <w:t>MBConv6-6</w:t>
            </w:r>
          </w:p>
        </w:tc>
        <w:tc>
          <w:tcPr>
            <w:tcW w:w="2268" w:type="dxa"/>
            <w:vAlign w:val="center"/>
          </w:tcPr>
          <w:p w14:paraId="109ADF25" w14:textId="77777777" w:rsidR="00B8619C" w:rsidRDefault="00000000">
            <w:pPr>
              <w:spacing w:after="0" w:line="240" w:lineRule="auto"/>
            </w:pPr>
            <w:r>
              <w:rPr>
                <w:rFonts w:ascii="宋体" w:hAnsi="宋体"/>
                <w:sz w:val="15"/>
              </w:rPr>
              <w:t>k=3，扩展比 6，重复 1，s=1</w:t>
            </w:r>
          </w:p>
        </w:tc>
        <w:tc>
          <w:tcPr>
            <w:tcW w:w="1417" w:type="dxa"/>
            <w:vAlign w:val="center"/>
          </w:tcPr>
          <w:p w14:paraId="206F4D75" w14:textId="77777777" w:rsidR="00B8619C" w:rsidRDefault="00000000">
            <w:pPr>
              <w:spacing w:after="0" w:line="240" w:lineRule="auto"/>
              <w:jc w:val="center"/>
            </w:pPr>
            <w:r>
              <w:rPr>
                <w:rFonts w:ascii="宋体" w:hAnsi="宋体"/>
                <w:sz w:val="15"/>
              </w:rPr>
              <w:t>192×7×7</w:t>
            </w:r>
          </w:p>
        </w:tc>
        <w:tc>
          <w:tcPr>
            <w:tcW w:w="1417" w:type="dxa"/>
            <w:vAlign w:val="center"/>
          </w:tcPr>
          <w:p w14:paraId="68FB5220" w14:textId="77777777" w:rsidR="00B8619C" w:rsidRDefault="00000000">
            <w:pPr>
              <w:spacing w:after="0" w:line="240" w:lineRule="auto"/>
              <w:jc w:val="center"/>
            </w:pPr>
            <w:r>
              <w:rPr>
                <w:rFonts w:ascii="宋体" w:hAnsi="宋体"/>
                <w:sz w:val="15"/>
              </w:rPr>
              <w:t>320×7×7</w:t>
            </w:r>
          </w:p>
        </w:tc>
        <w:tc>
          <w:tcPr>
            <w:tcW w:w="2041" w:type="dxa"/>
            <w:vAlign w:val="center"/>
          </w:tcPr>
          <w:p w14:paraId="0C8A808D" w14:textId="77777777" w:rsidR="00B8619C" w:rsidRDefault="00000000">
            <w:pPr>
              <w:spacing w:after="0" w:line="240" w:lineRule="auto"/>
            </w:pPr>
            <w:r>
              <w:rPr>
                <w:rFonts w:ascii="宋体" w:hAnsi="宋体"/>
                <w:sz w:val="15"/>
              </w:rPr>
              <w:t>进一步聚合高层语义</w:t>
            </w:r>
          </w:p>
        </w:tc>
      </w:tr>
      <w:tr w:rsidR="00B8619C" w14:paraId="7B42F02A" w14:textId="77777777">
        <w:trPr>
          <w:cantSplit/>
          <w:jc w:val="center"/>
        </w:trPr>
        <w:tc>
          <w:tcPr>
            <w:tcW w:w="454" w:type="dxa"/>
            <w:vAlign w:val="center"/>
          </w:tcPr>
          <w:p w14:paraId="16503B62" w14:textId="77777777" w:rsidR="00B8619C" w:rsidRDefault="00000000">
            <w:pPr>
              <w:spacing w:after="0" w:line="240" w:lineRule="auto"/>
              <w:jc w:val="center"/>
            </w:pPr>
            <w:r>
              <w:rPr>
                <w:rFonts w:ascii="宋体" w:hAnsi="宋体"/>
                <w:sz w:val="15"/>
              </w:rPr>
              <w:t>9</w:t>
            </w:r>
          </w:p>
        </w:tc>
        <w:tc>
          <w:tcPr>
            <w:tcW w:w="1247" w:type="dxa"/>
            <w:vAlign w:val="center"/>
          </w:tcPr>
          <w:p w14:paraId="1F02CF28" w14:textId="77777777" w:rsidR="00B8619C" w:rsidRDefault="00000000">
            <w:pPr>
              <w:spacing w:after="0" w:line="240" w:lineRule="auto"/>
            </w:pPr>
            <w:r>
              <w:rPr>
                <w:rFonts w:ascii="宋体" w:hAnsi="宋体"/>
                <w:sz w:val="15"/>
              </w:rPr>
              <w:t>Head 卷积</w:t>
            </w:r>
          </w:p>
        </w:tc>
        <w:tc>
          <w:tcPr>
            <w:tcW w:w="2268" w:type="dxa"/>
            <w:vAlign w:val="center"/>
          </w:tcPr>
          <w:p w14:paraId="49D1FFFB" w14:textId="77777777" w:rsidR="00B8619C" w:rsidRDefault="00000000">
            <w:pPr>
              <w:spacing w:after="0" w:line="240" w:lineRule="auto"/>
            </w:pPr>
            <w:r>
              <w:rPr>
                <w:rFonts w:ascii="宋体" w:hAnsi="宋体"/>
                <w:sz w:val="15"/>
              </w:rPr>
              <w:t>1×1 Conv，BN，SiLU</w:t>
            </w:r>
          </w:p>
        </w:tc>
        <w:tc>
          <w:tcPr>
            <w:tcW w:w="1417" w:type="dxa"/>
            <w:vAlign w:val="center"/>
          </w:tcPr>
          <w:p w14:paraId="185620D8" w14:textId="77777777" w:rsidR="00B8619C" w:rsidRDefault="00000000">
            <w:pPr>
              <w:spacing w:after="0" w:line="240" w:lineRule="auto"/>
              <w:jc w:val="center"/>
            </w:pPr>
            <w:r>
              <w:rPr>
                <w:rFonts w:ascii="宋体" w:hAnsi="宋体"/>
                <w:sz w:val="15"/>
              </w:rPr>
              <w:t>320×7×7</w:t>
            </w:r>
          </w:p>
        </w:tc>
        <w:tc>
          <w:tcPr>
            <w:tcW w:w="1417" w:type="dxa"/>
            <w:vAlign w:val="center"/>
          </w:tcPr>
          <w:p w14:paraId="3B36BE15" w14:textId="77777777" w:rsidR="00B8619C" w:rsidRDefault="00000000">
            <w:pPr>
              <w:spacing w:after="0" w:line="240" w:lineRule="auto"/>
              <w:jc w:val="center"/>
            </w:pPr>
            <w:r>
              <w:rPr>
                <w:rFonts w:ascii="宋体" w:hAnsi="宋体"/>
                <w:sz w:val="15"/>
              </w:rPr>
              <w:t>1280×7×7</w:t>
            </w:r>
          </w:p>
        </w:tc>
        <w:tc>
          <w:tcPr>
            <w:tcW w:w="2041" w:type="dxa"/>
            <w:vAlign w:val="center"/>
          </w:tcPr>
          <w:p w14:paraId="3E270DA3" w14:textId="77777777" w:rsidR="00B8619C" w:rsidRDefault="00000000">
            <w:pPr>
              <w:spacing w:after="0" w:line="240" w:lineRule="auto"/>
            </w:pPr>
            <w:r>
              <w:rPr>
                <w:rFonts w:ascii="宋体" w:hAnsi="宋体"/>
                <w:sz w:val="15"/>
              </w:rPr>
              <w:t>映射至统一高维通道空间</w:t>
            </w:r>
          </w:p>
        </w:tc>
      </w:tr>
      <w:tr w:rsidR="00B8619C" w14:paraId="5044D2AB" w14:textId="77777777">
        <w:trPr>
          <w:cantSplit/>
          <w:jc w:val="center"/>
        </w:trPr>
        <w:tc>
          <w:tcPr>
            <w:tcW w:w="454" w:type="dxa"/>
            <w:vAlign w:val="center"/>
          </w:tcPr>
          <w:p w14:paraId="5204862D" w14:textId="77777777" w:rsidR="00B8619C" w:rsidRDefault="00000000">
            <w:pPr>
              <w:spacing w:after="0" w:line="240" w:lineRule="auto"/>
              <w:jc w:val="center"/>
            </w:pPr>
            <w:r>
              <w:rPr>
                <w:rFonts w:ascii="宋体" w:hAnsi="宋体"/>
                <w:sz w:val="15"/>
              </w:rPr>
              <w:t>10</w:t>
            </w:r>
          </w:p>
        </w:tc>
        <w:tc>
          <w:tcPr>
            <w:tcW w:w="1247" w:type="dxa"/>
            <w:vAlign w:val="center"/>
          </w:tcPr>
          <w:p w14:paraId="129C3D33" w14:textId="77777777" w:rsidR="00B8619C" w:rsidRDefault="00000000">
            <w:pPr>
              <w:spacing w:after="0" w:line="240" w:lineRule="auto"/>
            </w:pPr>
            <w:r>
              <w:rPr>
                <w:rFonts w:ascii="宋体" w:hAnsi="宋体"/>
                <w:sz w:val="15"/>
              </w:rPr>
              <w:t>全局平均池化</w:t>
            </w:r>
          </w:p>
        </w:tc>
        <w:tc>
          <w:tcPr>
            <w:tcW w:w="2268" w:type="dxa"/>
            <w:vAlign w:val="center"/>
          </w:tcPr>
          <w:p w14:paraId="0EE480A2" w14:textId="77777777" w:rsidR="00B8619C" w:rsidRDefault="00000000">
            <w:pPr>
              <w:spacing w:after="0" w:line="240" w:lineRule="auto"/>
            </w:pPr>
            <w:r>
              <w:rPr>
                <w:rFonts w:ascii="宋体" w:hAnsi="宋体"/>
                <w:sz w:val="15"/>
              </w:rPr>
              <w:t>AdaptiveAvgPool2d(1) + Flatten</w:t>
            </w:r>
          </w:p>
        </w:tc>
        <w:tc>
          <w:tcPr>
            <w:tcW w:w="1417" w:type="dxa"/>
            <w:vAlign w:val="center"/>
          </w:tcPr>
          <w:p w14:paraId="6F2775AE" w14:textId="77777777" w:rsidR="00B8619C" w:rsidRDefault="00000000">
            <w:pPr>
              <w:spacing w:after="0" w:line="240" w:lineRule="auto"/>
              <w:jc w:val="center"/>
            </w:pPr>
            <w:r>
              <w:rPr>
                <w:rFonts w:ascii="宋体" w:hAnsi="宋体"/>
                <w:sz w:val="15"/>
              </w:rPr>
              <w:t>1280×7×7</w:t>
            </w:r>
          </w:p>
        </w:tc>
        <w:tc>
          <w:tcPr>
            <w:tcW w:w="1417" w:type="dxa"/>
            <w:vAlign w:val="center"/>
          </w:tcPr>
          <w:p w14:paraId="57DA8234" w14:textId="77777777" w:rsidR="00B8619C" w:rsidRDefault="00000000">
            <w:pPr>
              <w:spacing w:after="0" w:line="240" w:lineRule="auto"/>
              <w:jc w:val="center"/>
            </w:pPr>
            <w:r>
              <w:rPr>
                <w:rFonts w:ascii="宋体" w:hAnsi="宋体"/>
                <w:sz w:val="15"/>
              </w:rPr>
              <w:t>h∈R^1280</w:t>
            </w:r>
          </w:p>
        </w:tc>
        <w:tc>
          <w:tcPr>
            <w:tcW w:w="2041" w:type="dxa"/>
            <w:vAlign w:val="center"/>
          </w:tcPr>
          <w:p w14:paraId="74C1F79A" w14:textId="77777777" w:rsidR="00B8619C" w:rsidRDefault="00000000">
            <w:pPr>
              <w:spacing w:after="0" w:line="240" w:lineRule="auto"/>
            </w:pPr>
            <w:r>
              <w:rPr>
                <w:rFonts w:ascii="宋体" w:hAnsi="宋体"/>
                <w:sz w:val="15"/>
              </w:rPr>
              <w:t>得到四个输出头共享的 1280 维特征</w:t>
            </w:r>
          </w:p>
        </w:tc>
      </w:tr>
    </w:tbl>
    <w:p w14:paraId="7B52D08B" w14:textId="77777777" w:rsidR="00B8619C" w:rsidRDefault="00000000">
      <w:r>
        <w:t xml:space="preserve">MBConv1 </w:t>
      </w:r>
      <w:r>
        <w:t>块由深度可分离卷积、批归一化与</w:t>
      </w:r>
      <w:r>
        <w:t xml:space="preserve"> SiLU</w:t>
      </w:r>
      <w:r>
        <w:t>、</w:t>
      </w:r>
      <w:r>
        <w:t xml:space="preserve">SE </w:t>
      </w:r>
      <w:r>
        <w:t>通道重标定及</w:t>
      </w:r>
      <w:r>
        <w:t xml:space="preserve"> 1×1 </w:t>
      </w:r>
      <w:r>
        <w:t>投影组成；</w:t>
      </w:r>
      <w:r>
        <w:t xml:space="preserve">MBConv6 </w:t>
      </w:r>
      <w:r>
        <w:t>块在此基础上先用</w:t>
      </w:r>
      <w:r>
        <w:t xml:space="preserve"> 1×1 </w:t>
      </w:r>
      <w:r>
        <w:t>卷积将通道扩展</w:t>
      </w:r>
      <w:r>
        <w:t xml:space="preserve"> 6 </w:t>
      </w:r>
      <w:r>
        <w:t>倍，再执行深度卷积、</w:t>
      </w:r>
      <w:r>
        <w:t xml:space="preserve">SE </w:t>
      </w:r>
      <w:r>
        <w:t>和投影。当步幅为</w:t>
      </w:r>
      <w:r>
        <w:t xml:space="preserve"> 1 </w:t>
      </w:r>
      <w:r>
        <w:t>且输入输出通</w:t>
      </w:r>
      <w:r>
        <w:lastRenderedPageBreak/>
        <w:t>道相同时，块内使用残差连接和随机深度。上述尺寸由本项目实际使用的</w:t>
      </w:r>
      <w:r>
        <w:t xml:space="preserve"> 224×224 </w:t>
      </w:r>
      <w:r>
        <w:t>输入和</w:t>
      </w:r>
      <w:r>
        <w:t xml:space="preserve">torchvision EfficientNet-B0 </w:t>
      </w:r>
      <w:r>
        <w:t>实现确定，不是根据示意图推测。</w:t>
      </w:r>
    </w:p>
    <w:p w14:paraId="33177050" w14:textId="77777777" w:rsidR="00B8619C" w:rsidRDefault="00000000">
      <w:pPr>
        <w:keepNext/>
        <w:jc w:val="center"/>
      </w:pPr>
      <w:r>
        <w:rPr>
          <w:noProof/>
        </w:rPr>
        <w:drawing>
          <wp:inline distT="0" distB="0" distL="0" distR="0" wp14:anchorId="6F3F6B84" wp14:editId="6F0C9B64">
            <wp:extent cx="5832475" cy="7029593"/>
            <wp:effectExtent l="0" t="0" r="0" b="0"/>
            <wp:docPr id="16" name="Picture 16" descr="EfficientNet-B0共享主干的逐阶段输入输出、MBConv内部组成、共享特征向四个并列输出头的分支、概率聚合与联合损失结构图" title="本项目分层角色感知网络的实际层次结构及信息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tnet_b0_hierarchical_network_exact_v2.png"/>
                    <pic:cNvPicPr/>
                  </pic:nvPicPr>
                  <pic:blipFill>
                    <a:blip r:embed="rId11"/>
                    <a:stretch>
                      <a:fillRect/>
                    </a:stretch>
                  </pic:blipFill>
                  <pic:spPr>
                    <a:xfrm>
                      <a:off x="0" y="0"/>
                      <a:ext cx="5832475" cy="7029593"/>
                    </a:xfrm>
                    <a:prstGeom prst="rect">
                      <a:avLst/>
                    </a:prstGeom>
                  </pic:spPr>
                </pic:pic>
              </a:graphicData>
            </a:graphic>
          </wp:inline>
        </w:drawing>
      </w:r>
    </w:p>
    <w:p w14:paraId="253C84CE" w14:textId="77777777" w:rsidR="00B8619C" w:rsidRDefault="00000000">
      <w:pPr>
        <w:pStyle w:val="af7"/>
        <w:keepNext/>
        <w:jc w:val="center"/>
      </w:pPr>
      <w:r>
        <w:t>图</w:t>
      </w:r>
      <w:r>
        <w:t xml:space="preserve"> 4 </w:t>
      </w:r>
      <w:r>
        <w:t>本项目分层角色感知网络的逐阶段输入输出、</w:t>
      </w:r>
      <w:r>
        <w:t>A—D</w:t>
      </w:r>
      <w:r>
        <w:t>模块关系与训练</w:t>
      </w:r>
      <w:r>
        <w:t>/</w:t>
      </w:r>
      <w:r>
        <w:t>推理信息流（依据当前训练代码绘制）</w:t>
      </w:r>
    </w:p>
    <w:p w14:paraId="1DBFA137" w14:textId="77777777" w:rsidR="00B8619C" w:rsidRDefault="00000000">
      <w:pPr>
        <w:jc w:val="both"/>
      </w:pPr>
      <w:r>
        <w:t>图中以功能阶段为层次单位：</w:t>
      </w:r>
      <w:r>
        <w:t>Stem</w:t>
      </w:r>
      <w:r>
        <w:t>、</w:t>
      </w:r>
      <w:r>
        <w:t>7</w:t>
      </w:r>
      <w:r>
        <w:t>个</w:t>
      </w:r>
      <w:r>
        <w:t>MBConv</w:t>
      </w:r>
      <w:r>
        <w:t>阶段、</w:t>
      </w:r>
      <w:r>
        <w:t>Head</w:t>
      </w:r>
      <w:r>
        <w:t>卷积和全局平均池化共</w:t>
      </w:r>
      <w:r>
        <w:t>10</w:t>
      </w:r>
      <w:r>
        <w:t>个主干阶段，</w:t>
      </w:r>
      <w:r>
        <w:t>7</w:t>
      </w:r>
      <w:r>
        <w:t>个</w:t>
      </w:r>
      <w:r>
        <w:t>MBConv</w:t>
      </w:r>
      <w:r>
        <w:t>阶段内部合计</w:t>
      </w:r>
      <w:r>
        <w:t>16</w:t>
      </w:r>
      <w:r>
        <w:t>个</w:t>
      </w:r>
      <w:r>
        <w:t>MBConv</w:t>
      </w:r>
      <w:r>
        <w:t>块。每个方框标注输入尺寸、核心配置和输出尺寸。图</w:t>
      </w:r>
      <w:r>
        <w:t>4</w:t>
      </w:r>
      <w:r>
        <w:t>上方增加</w:t>
      </w:r>
      <w:r>
        <w:t>A</w:t>
      </w:r>
      <w:r>
        <w:t>、</w:t>
      </w:r>
      <w:r>
        <w:t>B</w:t>
      </w:r>
      <w:r>
        <w:t>、</w:t>
      </w:r>
      <w:r>
        <w:t>C</w:t>
      </w:r>
      <w:r>
        <w:t>、</w:t>
      </w:r>
      <w:r>
        <w:t>D</w:t>
      </w:r>
      <w:r>
        <w:t>关系总览：</w:t>
      </w:r>
      <w:r>
        <w:t>A→C→D</w:t>
      </w:r>
      <w:r>
        <w:t>构成训练阶段的主要信息流，</w:t>
      </w:r>
      <w:r>
        <w:t>B</w:t>
      </w:r>
      <w:r>
        <w:t>是</w:t>
      </w:r>
      <w:r>
        <w:t>A</w:t>
      </w:r>
      <w:r>
        <w:t>中</w:t>
      </w:r>
      <w:r>
        <w:t>MBConv</w:t>
      </w:r>
      <w:r>
        <w:t>结构</w:t>
      </w:r>
      <w:r>
        <w:lastRenderedPageBreak/>
        <w:t>的局部放大说明，</w:t>
      </w:r>
      <w:r>
        <w:t>D</w:t>
      </w:r>
      <w:r>
        <w:t>计算得到的总损失通过反向传播更新</w:t>
      </w:r>
      <w:r>
        <w:t>A</w:t>
      </w:r>
      <w:r>
        <w:t>和</w:t>
      </w:r>
      <w:r>
        <w:t>C</w:t>
      </w:r>
      <w:r>
        <w:t>中的可训练参数；推理阶段仅执行</w:t>
      </w:r>
      <w:r>
        <w:t>A→C</w:t>
      </w:r>
      <w:r>
        <w:t>，并由角色头</w:t>
      </w:r>
      <w:r>
        <w:t>p_r</w:t>
      </w:r>
      <w:r>
        <w:t>给出四分类主输出。</w:t>
      </w:r>
    </w:p>
    <w:p w14:paraId="5B986E4E" w14:textId="77777777" w:rsidR="00B8619C" w:rsidRDefault="00000000">
      <w:pPr>
        <w:pStyle w:val="31"/>
      </w:pPr>
      <w:r>
        <w:t xml:space="preserve">4.5.2 </w:t>
      </w:r>
      <w:r>
        <w:t>图</w:t>
      </w:r>
      <w:r>
        <w:t>4</w:t>
      </w:r>
      <w:r>
        <w:t>的结构、信息流与箭头含义</w:t>
      </w:r>
    </w:p>
    <w:p w14:paraId="01CC9070" w14:textId="77777777" w:rsidR="00B8619C" w:rsidRDefault="00000000">
      <w:r>
        <w:t>A</w:t>
      </w:r>
      <w:r>
        <w:t>、</w:t>
      </w:r>
      <w:r>
        <w:t>B</w:t>
      </w:r>
      <w:r>
        <w:t>、</w:t>
      </w:r>
      <w:r>
        <w:t>C</w:t>
      </w:r>
      <w:r>
        <w:t>、</w:t>
      </w:r>
      <w:r>
        <w:t>D</w:t>
      </w:r>
      <w:r>
        <w:t>的总体关系。图</w:t>
      </w:r>
      <w:r>
        <w:t>4</w:t>
      </w:r>
      <w:r>
        <w:t>中的四个区域不是简单的</w:t>
      </w:r>
      <w:r>
        <w:t>A→B→C→D</w:t>
      </w:r>
      <w:r>
        <w:t>串联。</w:t>
      </w:r>
      <w:r>
        <w:t>A→C→D</w:t>
      </w:r>
      <w:r>
        <w:t>才是训练阶段的主线：</w:t>
      </w:r>
      <w:r>
        <w:t>A</w:t>
      </w:r>
      <w:r>
        <w:t>把矿物图像编码为</w:t>
      </w:r>
      <w:r>
        <w:t>1280</w:t>
      </w:r>
      <w:r>
        <w:t>维共享特征</w:t>
      </w:r>
      <w:r>
        <w:t>h</w:t>
      </w:r>
      <w:r>
        <w:t>，</w:t>
      </w:r>
      <w:r>
        <w:t>C</w:t>
      </w:r>
      <w:r>
        <w:t>中的四个并列输出头读取</w:t>
      </w:r>
      <w:r>
        <w:t>h</w:t>
      </w:r>
      <w:r>
        <w:t>并产生角色概率、种类概率、目标代理概率和嵌入向量，</w:t>
      </w:r>
      <w:r>
        <w:t>D</w:t>
      </w:r>
      <w:r>
        <w:t>再根据这些输出和真实标签计算各项损失。</w:t>
      </w:r>
      <w:r>
        <w:t>B</w:t>
      </w:r>
      <w:r>
        <w:t>通过金色虚线与</w:t>
      </w:r>
      <w:r>
        <w:t>A</w:t>
      </w:r>
      <w:r>
        <w:t>中的</w:t>
      </w:r>
      <w:r>
        <w:t>MBConv</w:t>
      </w:r>
      <w:r>
        <w:t>阶段相连，只表示</w:t>
      </w:r>
      <w:r>
        <w:t>“</w:t>
      </w:r>
      <w:r>
        <w:t>局部放大说明</w:t>
      </w:r>
      <w:r>
        <w:t>”</w:t>
      </w:r>
      <w:r>
        <w:t>，不表示数据从</w:t>
      </w:r>
      <w:r>
        <w:t>A</w:t>
      </w:r>
      <w:r>
        <w:t>流入</w:t>
      </w:r>
      <w:r>
        <w:t>B</w:t>
      </w:r>
      <w:r>
        <w:t>。</w:t>
      </w:r>
      <w:r>
        <w:t>D</w:t>
      </w:r>
      <w:r>
        <w:t>底部的灰色虚线表示反向传播：总损失的梯度用于更新</w:t>
      </w:r>
      <w:r>
        <w:t>A</w:t>
      </w:r>
      <w:r>
        <w:t>共享主干和</w:t>
      </w:r>
      <w:r>
        <w:t>C</w:t>
      </w:r>
      <w:r>
        <w:t>四个输出头的参数。在推理阶段，</w:t>
      </w:r>
      <w:r>
        <w:t>B</w:t>
      </w:r>
      <w:r>
        <w:t>和</w:t>
      </w:r>
      <w:r>
        <w:t>D</w:t>
      </w:r>
      <w:r>
        <w:t>都不参与计算，只执行</w:t>
      </w:r>
      <w:r>
        <w:t>A→C</w:t>
      </w:r>
      <w:r>
        <w:t>，并以角色头</w:t>
      </w:r>
      <w:r>
        <w:t>p_r</w:t>
      </w:r>
      <w:r>
        <w:t>作为四分类结果。</w:t>
      </w:r>
    </w:p>
    <w:p w14:paraId="1FCDD3F5" w14:textId="77777777" w:rsidR="00B8619C" w:rsidRDefault="00000000">
      <w:pPr>
        <w:jc w:val="both"/>
      </w:pPr>
      <w:r>
        <w:t>图</w:t>
      </w:r>
      <w:r>
        <w:t>4</w:t>
      </w:r>
      <w:r>
        <w:t>的层次单位。图</w:t>
      </w:r>
      <w:r>
        <w:t>4</w:t>
      </w:r>
      <w:r>
        <w:t>采用</w:t>
      </w:r>
      <w:r>
        <w:t>“</w:t>
      </w:r>
      <w:r>
        <w:t>功能阶段</w:t>
      </w:r>
      <w:r>
        <w:t>—MBConv</w:t>
      </w:r>
      <w:r>
        <w:t>块</w:t>
      </w:r>
      <w:r>
        <w:t>—</w:t>
      </w:r>
      <w:r>
        <w:t>输出头</w:t>
      </w:r>
      <w:r>
        <w:t>”</w:t>
      </w:r>
      <w:r>
        <w:t>三个层次进行表达。</w:t>
      </w:r>
      <w:r>
        <w:t>A</w:t>
      </w:r>
      <w:r>
        <w:t>框中的</w:t>
      </w:r>
      <w:r>
        <w:t>10</w:t>
      </w:r>
      <w:r>
        <w:t>个编号方框是</w:t>
      </w:r>
      <w:r>
        <w:t>10</w:t>
      </w:r>
      <w:r>
        <w:t>个功能阶段，而不是仅有</w:t>
      </w:r>
      <w:r>
        <w:t>10</w:t>
      </w:r>
      <w:r>
        <w:t>个基础算子；其中</w:t>
      </w:r>
      <w:r>
        <w:t>7</w:t>
      </w:r>
      <w:r>
        <w:t>个</w:t>
      </w:r>
      <w:r>
        <w:t>MBConv</w:t>
      </w:r>
      <w:r>
        <w:t>阶段内部共包含</w:t>
      </w:r>
      <w:r>
        <w:t>16</w:t>
      </w:r>
      <w:r>
        <w:t>个</w:t>
      </w:r>
      <w:r>
        <w:t>MBConv</w:t>
      </w:r>
      <w:r>
        <w:t>块，每个块又由卷积、批归一化、</w:t>
      </w:r>
      <w:r>
        <w:t>SiLU</w:t>
      </w:r>
      <w:r>
        <w:t>、</w:t>
      </w:r>
      <w:r>
        <w:t>SE</w:t>
      </w:r>
      <w:r>
        <w:t>通道重标定、投影卷积以及条件满足时的残差连接组成。因此，图中</w:t>
      </w:r>
      <w:r>
        <w:t>“10</w:t>
      </w:r>
      <w:r>
        <w:t>个阶段</w:t>
      </w:r>
      <w:r>
        <w:t>”</w:t>
      </w:r>
      <w:r>
        <w:t>用于说明特征尺寸如何变化，不能等同于网络只有</w:t>
      </w:r>
      <w:r>
        <w:t>10</w:t>
      </w:r>
      <w:r>
        <w:t>层。</w:t>
      </w:r>
    </w:p>
    <w:p w14:paraId="36492B7C" w14:textId="77777777" w:rsidR="00B8619C" w:rsidRDefault="00000000">
      <w:pPr>
        <w:jc w:val="both"/>
      </w:pPr>
      <w:r>
        <w:rPr>
          <w:b/>
        </w:rPr>
        <w:t>A</w:t>
      </w:r>
      <w:r>
        <w:rPr>
          <w:b/>
        </w:rPr>
        <w:t>框：共享视觉主干。</w:t>
      </w:r>
      <w:r>
        <w:t>输入为</w:t>
      </w:r>
      <w:r>
        <w:t>3×224×224</w:t>
      </w:r>
      <w:r>
        <w:t>的</w:t>
      </w:r>
      <w:r>
        <w:t>RGB</w:t>
      </w:r>
      <w:r>
        <w:t>矿物图像。</w:t>
      </w:r>
      <w:r>
        <w:t>Stem</w:t>
      </w:r>
      <w:r>
        <w:t>首先将空间尺寸降为</w:t>
      </w:r>
      <w:r>
        <w:t>112×112</w:t>
      </w:r>
      <w:r>
        <w:t>并得到</w:t>
      </w:r>
      <w:r>
        <w:t>32</w:t>
      </w:r>
      <w:r>
        <w:t>通道特征；随后</w:t>
      </w:r>
      <w:r>
        <w:t>7</w:t>
      </w:r>
      <w:r>
        <w:t>个</w:t>
      </w:r>
      <w:r>
        <w:t>MBConv</w:t>
      </w:r>
      <w:r>
        <w:t>阶段逐步降低空间分辨率并增加通道数，输出依次为</w:t>
      </w:r>
      <w:r>
        <w:t>16×112×112</w:t>
      </w:r>
      <w:r>
        <w:t>、</w:t>
      </w:r>
      <w:r>
        <w:t>24×56×56</w:t>
      </w:r>
      <w:r>
        <w:t>、</w:t>
      </w:r>
      <w:r>
        <w:t>40×28×28</w:t>
      </w:r>
      <w:r>
        <w:t>、</w:t>
      </w:r>
      <w:r>
        <w:t>80×14×14</w:t>
      </w:r>
      <w:r>
        <w:t>、</w:t>
      </w:r>
      <w:r>
        <w:t>112×14×14</w:t>
      </w:r>
      <w:r>
        <w:t>、</w:t>
      </w:r>
      <w:r>
        <w:t>192×7×7</w:t>
      </w:r>
      <w:r>
        <w:t>和</w:t>
      </w:r>
      <w:r>
        <w:t>320×7×7</w:t>
      </w:r>
      <w:r>
        <w:t>。</w:t>
      </w:r>
      <w:r>
        <w:t>Head Conv</w:t>
      </w:r>
      <w:r>
        <w:t>利用</w:t>
      </w:r>
      <w:r>
        <w:t>1×1</w:t>
      </w:r>
      <w:r>
        <w:t>卷积将通道扩展为</w:t>
      </w:r>
      <w:r>
        <w:t>1280</w:t>
      </w:r>
      <w:r>
        <w:t>，最终通过全局平均池化和展平得到</w:t>
      </w:r>
      <w:r>
        <w:t>1280</w:t>
      </w:r>
      <w:r>
        <w:t>维共享特征</w:t>
      </w:r>
      <w:r>
        <w:t>h</w:t>
      </w:r>
      <w:r>
        <w:t>。</w:t>
      </w:r>
    </w:p>
    <w:p w14:paraId="3015F77C" w14:textId="77777777" w:rsidR="00B8619C" w:rsidRDefault="00000000">
      <w:pPr>
        <w:jc w:val="both"/>
      </w:pPr>
      <w:r>
        <w:t>B</w:t>
      </w:r>
      <w:r>
        <w:t>框：</w:t>
      </w:r>
      <w:r>
        <w:t>MBConv</w:t>
      </w:r>
      <w:r>
        <w:t>块内部。</w:t>
      </w:r>
      <w:r>
        <w:t>MBConv</w:t>
      </w:r>
      <w:r>
        <w:t>是</w:t>
      </w:r>
      <w:r>
        <w:t>EfficientNet-B0</w:t>
      </w:r>
      <w:r>
        <w:t>的基本重复单元。</w:t>
      </w:r>
      <w:r>
        <w:t>MBConv6</w:t>
      </w:r>
      <w:r>
        <w:t>先用</w:t>
      </w:r>
      <w:r>
        <w:t>1×1</w:t>
      </w:r>
      <w:r>
        <w:t>卷积进行通道扩展，再执行深度卷积、</w:t>
      </w:r>
      <w:r>
        <w:t>SE</w:t>
      </w:r>
      <w:r>
        <w:t>通道重标定和</w:t>
      </w:r>
      <w:r>
        <w:t>1×1</w:t>
      </w:r>
      <w:r>
        <w:t>投影；</w:t>
      </w:r>
      <w:r>
        <w:t>MBConv1</w:t>
      </w:r>
      <w:r>
        <w:t>不执行六倍扩展。当步幅为</w:t>
      </w:r>
      <w:r>
        <w:t>1</w:t>
      </w:r>
      <w:r>
        <w:t>且输入、输出通道相同时，块内使用残差连接和随机深度。图中由</w:t>
      </w:r>
      <w:r>
        <w:t>A</w:t>
      </w:r>
      <w:r>
        <w:t>框某一</w:t>
      </w:r>
      <w:r>
        <w:t>MBConv</w:t>
      </w:r>
      <w:r>
        <w:t>阶段指向</w:t>
      </w:r>
      <w:r>
        <w:t>B</w:t>
      </w:r>
      <w:r>
        <w:t>框的金色虚线标注</w:t>
      </w:r>
      <w:r>
        <w:t>“</w:t>
      </w:r>
      <w:r>
        <w:t>局部放大说明（非数据流）</w:t>
      </w:r>
      <w:r>
        <w:t>”</w:t>
      </w:r>
      <w:r>
        <w:t>，表示</w:t>
      </w:r>
      <w:r>
        <w:t>B</w:t>
      </w:r>
      <w:r>
        <w:t>只是解释</w:t>
      </w:r>
      <w:r>
        <w:t>A</w:t>
      </w:r>
      <w:r>
        <w:t>内部重复单元的构成，</w:t>
      </w:r>
      <w:r>
        <w:t>B</w:t>
      </w:r>
      <w:r>
        <w:t>本身不是</w:t>
      </w:r>
      <w:r>
        <w:t>A</w:t>
      </w:r>
      <w:r>
        <w:t>之后的独立网络阶段。</w:t>
      </w:r>
    </w:p>
    <w:p w14:paraId="55C415CE" w14:textId="77777777" w:rsidR="00B8619C" w:rsidRDefault="00000000">
      <w:pPr>
        <w:jc w:val="both"/>
      </w:pPr>
      <w:r>
        <w:rPr>
          <w:b/>
        </w:rPr>
        <w:t>C</w:t>
      </w:r>
      <w:r>
        <w:rPr>
          <w:b/>
        </w:rPr>
        <w:t>框：四个并列输出头。</w:t>
      </w:r>
      <w:r>
        <w:t>全局平均池化得到的同一个共享特征</w:t>
      </w:r>
      <w:r>
        <w:t>h</w:t>
      </w:r>
      <w:r>
        <w:t>同时输入角色头、种类头、目标代理二分类头和投影头。角色头输出</w:t>
      </w:r>
      <w:r>
        <w:t>4</w:t>
      </w:r>
      <w:r>
        <w:t>类选矿角色概率，是模型测试和推理时的主要分类输出；种类头输出</w:t>
      </w:r>
      <w:r>
        <w:t>17</w:t>
      </w:r>
      <w:r>
        <w:t>类矿物概率，用于细粒度辅助监督；目标代理头输出目标</w:t>
      </w:r>
      <w:r>
        <w:t>/</w:t>
      </w:r>
      <w:r>
        <w:t>非目标二分类概率；投影头输出</w:t>
      </w:r>
      <w:r>
        <w:t>128</w:t>
      </w:r>
      <w:r>
        <w:t>维</w:t>
      </w:r>
      <w:r>
        <w:t>L2</w:t>
      </w:r>
      <w:r>
        <w:t>归一化向量，用于角色感知困难负样本约束。四个头之间不存在前后串联，也不存在</w:t>
      </w:r>
      <w:r>
        <w:t>“</w:t>
      </w:r>
      <w:r>
        <w:t>先由种类头输出再输入角色头</w:t>
      </w:r>
      <w:r>
        <w:t>”</w:t>
      </w:r>
      <w:r>
        <w:t>的网络结构。</w:t>
      </w:r>
    </w:p>
    <w:p w14:paraId="5E855DCB" w14:textId="77777777" w:rsidR="00B8619C" w:rsidRDefault="00000000">
      <w:pPr>
        <w:jc w:val="both"/>
      </w:pPr>
      <w:r>
        <w:t>紫色实线箭头（</w:t>
      </w:r>
      <w:r>
        <w:t>A→C</w:t>
      </w:r>
      <w:r>
        <w:t>）。紫色实线表示共享特征</w:t>
      </w:r>
      <w:r>
        <w:t>h</w:t>
      </w:r>
      <w:r>
        <w:t>的前向传递和并行分支。图中从</w:t>
      </w:r>
      <w:r>
        <w:t>A</w:t>
      </w:r>
      <w:r>
        <w:t>框末端先形成一条共享特征总线，再分别连接</w:t>
      </w:r>
      <w:r>
        <w:t>C</w:t>
      </w:r>
      <w:r>
        <w:t>框中的角色头、种类头、目标代理二分类头和投影头，表示四个头都直接读取同一个</w:t>
      </w:r>
      <w:r>
        <w:t>1280</w:t>
      </w:r>
      <w:r>
        <w:t>维特征。紫色箭头不是反向传播方向，也不是损失权重，更不表示四个输出头之间存在串联。</w:t>
      </w:r>
    </w:p>
    <w:p w14:paraId="3D6C2C68" w14:textId="77777777" w:rsidR="00B8619C" w:rsidRDefault="00000000">
      <w:pPr>
        <w:jc w:val="both"/>
      </w:pPr>
      <w:r>
        <w:t>红色与同色损失箭头（</w:t>
      </w:r>
      <w:r>
        <w:t>C→D</w:t>
      </w:r>
      <w:r>
        <w:t>）。</w:t>
      </w:r>
      <w:r>
        <w:t>C</w:t>
      </w:r>
      <w:r>
        <w:t>框中的每个输出头先通过与自身同色的短箭头连接到对应直接损失：角色头</w:t>
      </w:r>
      <w:r>
        <w:t>p_r</w:t>
      </w:r>
      <w:r>
        <w:t>对应</w:t>
      </w:r>
      <w:r>
        <w:t>L_role</w:t>
      </w:r>
      <w:r>
        <w:t>，种类头</w:t>
      </w:r>
      <w:r>
        <w:t>p_s</w:t>
      </w:r>
      <w:r>
        <w:t>对应</w:t>
      </w:r>
      <w:r>
        <w:t>L_species</w:t>
      </w:r>
      <w:r>
        <w:t>，目标代理头</w:t>
      </w:r>
      <w:r>
        <w:t>p_b</w:t>
      </w:r>
      <w:r>
        <w:t>对应</w:t>
      </w:r>
      <w:r>
        <w:t>L_binary</w:t>
      </w:r>
      <w:r>
        <w:t>，投影头</w:t>
      </w:r>
      <w:r>
        <w:t>e</w:t>
      </w:r>
      <w:r>
        <w:t>对</w:t>
      </w:r>
      <w:r>
        <w:lastRenderedPageBreak/>
        <w:t>应</w:t>
      </w:r>
      <w:r>
        <w:t>L_hard</w:t>
      </w:r>
      <w:r>
        <w:t>。</w:t>
      </w:r>
      <w:r>
        <w:t>C</w:t>
      </w:r>
      <w:r>
        <w:t>框底部指向</w:t>
      </w:r>
      <w:r>
        <w:t>D</w:t>
      </w:r>
      <w:r>
        <w:t>框的红色箭头表示这些训练输出进入损失计算区域。</w:t>
      </w:r>
      <w:r>
        <w:t>D</w:t>
      </w:r>
      <w:r>
        <w:t>框只进一步展开种类</w:t>
      </w:r>
      <w:r>
        <w:t>—</w:t>
      </w:r>
      <w:r>
        <w:t>角色一致性关系：</w:t>
      </w:r>
      <w:r>
        <w:t>p_s</w:t>
      </w:r>
      <w:r>
        <w:t>经固定映射矩阵</w:t>
      </w:r>
      <w:r>
        <w:t>A</w:t>
      </w:r>
      <w:r>
        <w:t>聚合为四类角色概率</w:t>
      </w:r>
      <w:r>
        <w:t>Ap_s</w:t>
      </w:r>
      <w:r>
        <w:t>，再与</w:t>
      </w:r>
      <w:r>
        <w:t>p_r</w:t>
      </w:r>
      <w:r>
        <w:t>计算</w:t>
      </w:r>
      <w:r>
        <w:t>L_cons=D_KL(Ap_s||p_r)</w:t>
      </w:r>
      <w:r>
        <w:t>。因此，</w:t>
      </w:r>
      <w:r>
        <w:t>p_r</w:t>
      </w:r>
      <w:r>
        <w:t>只参与</w:t>
      </w:r>
      <w:r>
        <w:t>L_role</w:t>
      </w:r>
      <w:r>
        <w:t>和</w:t>
      </w:r>
      <w:r>
        <w:t>L_cons</w:t>
      </w:r>
      <w:r>
        <w:t>，不参与</w:t>
      </w:r>
      <w:r>
        <w:t>L_species</w:t>
      </w:r>
      <w:r>
        <w:t>、</w:t>
      </w:r>
      <w:r>
        <w:t>L_binary</w:t>
      </w:r>
      <w:r>
        <w:t>或</w:t>
      </w:r>
      <w:r>
        <w:t>L_hard</w:t>
      </w:r>
      <w:r>
        <w:t>。</w:t>
      </w:r>
    </w:p>
    <w:p w14:paraId="79F06EB0" w14:textId="77777777" w:rsidR="00B8619C" w:rsidRDefault="00000000">
      <w:pPr>
        <w:jc w:val="both"/>
      </w:pPr>
      <w:r>
        <w:t>灰色虚线与推理路径。</w:t>
      </w:r>
      <w:r>
        <w:t>D</w:t>
      </w:r>
      <w:r>
        <w:t>框底部的灰色虚线表示反向传播而非新的前向网络连接：总损失的梯度返回并更新</w:t>
      </w:r>
      <w:r>
        <w:t>A</w:t>
      </w:r>
      <w:r>
        <w:t>共享主干和</w:t>
      </w:r>
      <w:r>
        <w:t>C</w:t>
      </w:r>
      <w:r>
        <w:t>四个输出头的参数。在当前实验的推理阶段，不再计算</w:t>
      </w:r>
      <w:r>
        <w:t>D</w:t>
      </w:r>
      <w:r>
        <w:t>框中的损失，也不需要</w:t>
      </w:r>
      <w:r>
        <w:t>B</w:t>
      </w:r>
      <w:r>
        <w:t>框；实际执行路径为</w:t>
      </w:r>
      <w:r>
        <w:t>“</w:t>
      </w:r>
      <w:r>
        <w:t>图像</w:t>
      </w:r>
      <w:r>
        <w:t>→A</w:t>
      </w:r>
      <w:r>
        <w:t>共享主干</w:t>
      </w:r>
      <w:r>
        <w:t>→C</w:t>
      </w:r>
      <w:r>
        <w:t>角色头</w:t>
      </w:r>
      <w:r>
        <w:t>p_r”</w:t>
      </w:r>
      <w:r>
        <w:t>，最终四分类预测、混淆矩阵、</w:t>
      </w:r>
      <w:r>
        <w:t>Macro F1</w:t>
      </w:r>
      <w:r>
        <w:t>和选择性识别置信度均来自</w:t>
      </w:r>
      <w:r>
        <w:t>p_r</w:t>
      </w:r>
      <w:r>
        <w:t>。其他三个头主要用于训练阶段的辅助监督和风险定向约束。</w:t>
      </w:r>
    </w:p>
    <w:p w14:paraId="17D35F22" w14:textId="77777777" w:rsidR="00B8619C" w:rsidRDefault="00000000">
      <w:pPr>
        <w:pStyle w:val="31"/>
      </w:pPr>
      <w:r>
        <w:t xml:space="preserve">4.5.3 </w:t>
      </w:r>
      <w:r>
        <w:t>四个并列输出头的结构与输入输出</w:t>
      </w:r>
    </w:p>
    <w:p w14:paraId="22F5654F" w14:textId="77777777" w:rsidR="00B8619C" w:rsidRDefault="00000000">
      <w:r>
        <w:t>共享特征</w:t>
      </w:r>
      <w:r>
        <w:t xml:space="preserve"> h∈R^1280 </w:t>
      </w:r>
      <w:r>
        <w:t>同时送入四个彼此并列的输出头。角色头与种类头使用主干分类器中的</w:t>
      </w:r>
      <w:r>
        <w:t xml:space="preserve"> Dropout(p=0.2)</w:t>
      </w:r>
      <w:r>
        <w:t>；目标代理二分类头和投影头直接使用未</w:t>
      </w:r>
      <w:r>
        <w:t xml:space="preserve"> Dropout </w:t>
      </w:r>
      <w:r>
        <w:t>的共享特征。任何一个输出头都不作为另一个输出头的输入，种类</w:t>
      </w:r>
      <w:r>
        <w:t>—</w:t>
      </w:r>
      <w:r>
        <w:t>角色关系仅通过概率聚合矩阵</w:t>
      </w:r>
      <w:r>
        <w:t xml:space="preserve"> A </w:t>
      </w:r>
      <w:r>
        <w:t>和一致性损失建立。</w:t>
      </w:r>
    </w:p>
    <w:p w14:paraId="3B3C45E4" w14:textId="77777777" w:rsidR="00B8619C" w:rsidRDefault="00000000">
      <w:pPr>
        <w:pStyle w:val="af7"/>
        <w:jc w:val="center"/>
      </w:pPr>
      <w:r>
        <w:t>表</w:t>
      </w:r>
      <w:r>
        <w:t xml:space="preserve"> 8 </w:t>
      </w:r>
      <w:r>
        <w:t>分层模型四个输出头的实际结构和训练作用</w:t>
      </w:r>
    </w:p>
    <w:tbl>
      <w:tblPr>
        <w:tblStyle w:val="aff1"/>
        <w:tblW w:w="0" w:type="auto"/>
        <w:jc w:val="center"/>
        <w:tblLayout w:type="fixed"/>
        <w:tblLook w:val="04A0" w:firstRow="1" w:lastRow="0" w:firstColumn="1" w:lastColumn="0" w:noHBand="0" w:noVBand="1"/>
      </w:tblPr>
      <w:tblGrid>
        <w:gridCol w:w="1247"/>
        <w:gridCol w:w="1247"/>
        <w:gridCol w:w="2494"/>
        <w:gridCol w:w="2041"/>
        <w:gridCol w:w="2268"/>
      </w:tblGrid>
      <w:tr w:rsidR="00B8619C" w14:paraId="2E081F9F" w14:textId="77777777">
        <w:trPr>
          <w:tblHeader/>
          <w:jc w:val="center"/>
        </w:trPr>
        <w:tc>
          <w:tcPr>
            <w:tcW w:w="1247" w:type="dxa"/>
            <w:shd w:val="clear" w:color="auto" w:fill="FCE4D6"/>
            <w:vAlign w:val="center"/>
          </w:tcPr>
          <w:p w14:paraId="12520C87" w14:textId="77777777" w:rsidR="00B8619C" w:rsidRDefault="00000000">
            <w:pPr>
              <w:spacing w:after="0" w:line="240" w:lineRule="auto"/>
              <w:jc w:val="center"/>
            </w:pPr>
            <w:r>
              <w:rPr>
                <w:rFonts w:ascii="宋体" w:hAnsi="宋体"/>
                <w:b/>
                <w:sz w:val="16"/>
              </w:rPr>
              <w:t>输出头</w:t>
            </w:r>
          </w:p>
        </w:tc>
        <w:tc>
          <w:tcPr>
            <w:tcW w:w="1247" w:type="dxa"/>
            <w:shd w:val="clear" w:color="auto" w:fill="FCE4D6"/>
            <w:vAlign w:val="center"/>
          </w:tcPr>
          <w:p w14:paraId="70B76291" w14:textId="77777777" w:rsidR="00B8619C" w:rsidRDefault="00000000">
            <w:pPr>
              <w:spacing w:after="0" w:line="240" w:lineRule="auto"/>
              <w:jc w:val="center"/>
            </w:pPr>
            <w:r>
              <w:rPr>
                <w:rFonts w:ascii="宋体" w:hAnsi="宋体"/>
                <w:b/>
                <w:sz w:val="16"/>
              </w:rPr>
              <w:t>输入</w:t>
            </w:r>
          </w:p>
        </w:tc>
        <w:tc>
          <w:tcPr>
            <w:tcW w:w="2494" w:type="dxa"/>
            <w:shd w:val="clear" w:color="auto" w:fill="FCE4D6"/>
            <w:vAlign w:val="center"/>
          </w:tcPr>
          <w:p w14:paraId="464D5879" w14:textId="77777777" w:rsidR="00B8619C" w:rsidRDefault="00000000">
            <w:pPr>
              <w:spacing w:after="0" w:line="240" w:lineRule="auto"/>
              <w:jc w:val="center"/>
            </w:pPr>
            <w:r>
              <w:rPr>
                <w:rFonts w:ascii="宋体" w:hAnsi="宋体"/>
                <w:b/>
                <w:sz w:val="16"/>
              </w:rPr>
              <w:t>实际结构</w:t>
            </w:r>
          </w:p>
        </w:tc>
        <w:tc>
          <w:tcPr>
            <w:tcW w:w="2041" w:type="dxa"/>
            <w:shd w:val="clear" w:color="auto" w:fill="FCE4D6"/>
            <w:vAlign w:val="center"/>
          </w:tcPr>
          <w:p w14:paraId="20480748" w14:textId="77777777" w:rsidR="00B8619C" w:rsidRDefault="00000000">
            <w:pPr>
              <w:spacing w:after="0" w:line="240" w:lineRule="auto"/>
              <w:jc w:val="center"/>
            </w:pPr>
            <w:r>
              <w:rPr>
                <w:rFonts w:ascii="宋体" w:hAnsi="宋体"/>
                <w:b/>
                <w:sz w:val="16"/>
              </w:rPr>
              <w:t>输出</w:t>
            </w:r>
          </w:p>
        </w:tc>
        <w:tc>
          <w:tcPr>
            <w:tcW w:w="2268" w:type="dxa"/>
            <w:shd w:val="clear" w:color="auto" w:fill="FCE4D6"/>
            <w:vAlign w:val="center"/>
          </w:tcPr>
          <w:p w14:paraId="064C0929" w14:textId="77777777" w:rsidR="00B8619C" w:rsidRDefault="00000000">
            <w:pPr>
              <w:spacing w:after="0" w:line="240" w:lineRule="auto"/>
              <w:jc w:val="center"/>
            </w:pPr>
            <w:r>
              <w:rPr>
                <w:rFonts w:ascii="宋体" w:hAnsi="宋体"/>
                <w:b/>
                <w:sz w:val="16"/>
              </w:rPr>
              <w:t>训练任务/损失</w:t>
            </w:r>
          </w:p>
        </w:tc>
      </w:tr>
      <w:tr w:rsidR="00B8619C" w14:paraId="25449B29" w14:textId="77777777">
        <w:trPr>
          <w:cantSplit/>
          <w:jc w:val="center"/>
        </w:trPr>
        <w:tc>
          <w:tcPr>
            <w:tcW w:w="1247" w:type="dxa"/>
            <w:vAlign w:val="center"/>
          </w:tcPr>
          <w:p w14:paraId="08B1D34F" w14:textId="77777777" w:rsidR="00B8619C" w:rsidRDefault="00000000">
            <w:pPr>
              <w:spacing w:after="0" w:line="240" w:lineRule="auto"/>
            </w:pPr>
            <w:r>
              <w:rPr>
                <w:rFonts w:ascii="宋体" w:hAnsi="宋体"/>
                <w:sz w:val="15"/>
              </w:rPr>
              <w:t>角色头 p_r</w:t>
            </w:r>
          </w:p>
        </w:tc>
        <w:tc>
          <w:tcPr>
            <w:tcW w:w="1247" w:type="dxa"/>
            <w:vAlign w:val="center"/>
          </w:tcPr>
          <w:p w14:paraId="2904282F" w14:textId="77777777" w:rsidR="00B8619C" w:rsidRDefault="00000000">
            <w:pPr>
              <w:spacing w:after="0" w:line="240" w:lineRule="auto"/>
            </w:pPr>
            <w:r>
              <w:rPr>
                <w:rFonts w:ascii="宋体" w:hAnsi="宋体"/>
                <w:sz w:val="15"/>
              </w:rPr>
              <w:t>h∈R^1280</w:t>
            </w:r>
          </w:p>
        </w:tc>
        <w:tc>
          <w:tcPr>
            <w:tcW w:w="2494" w:type="dxa"/>
            <w:vAlign w:val="center"/>
          </w:tcPr>
          <w:p w14:paraId="1F866C8A" w14:textId="77777777" w:rsidR="00B8619C" w:rsidRDefault="00000000">
            <w:pPr>
              <w:spacing w:after="0" w:line="240" w:lineRule="auto"/>
            </w:pPr>
            <w:r>
              <w:rPr>
                <w:rFonts w:ascii="宋体" w:hAnsi="宋体"/>
                <w:sz w:val="15"/>
              </w:rPr>
              <w:t>Dropout(0.2) → Linear(1280,4)</w:t>
            </w:r>
          </w:p>
        </w:tc>
        <w:tc>
          <w:tcPr>
            <w:tcW w:w="2041" w:type="dxa"/>
            <w:vAlign w:val="center"/>
          </w:tcPr>
          <w:p w14:paraId="02FEBF55" w14:textId="77777777" w:rsidR="00B8619C" w:rsidRDefault="00000000">
            <w:pPr>
              <w:spacing w:after="0" w:line="240" w:lineRule="auto"/>
            </w:pPr>
            <w:r>
              <w:rPr>
                <w:rFonts w:ascii="宋体" w:hAnsi="宋体"/>
                <w:sz w:val="15"/>
              </w:rPr>
              <w:t>四类角色 logits / 概率</w:t>
            </w:r>
          </w:p>
        </w:tc>
        <w:tc>
          <w:tcPr>
            <w:tcW w:w="2268" w:type="dxa"/>
            <w:vAlign w:val="center"/>
          </w:tcPr>
          <w:p w14:paraId="01FEC127" w14:textId="77777777" w:rsidR="00B8619C" w:rsidRDefault="00000000">
            <w:pPr>
              <w:spacing w:after="0" w:line="240" w:lineRule="auto"/>
            </w:pPr>
            <w:r>
              <w:rPr>
                <w:rFonts w:ascii="宋体" w:hAnsi="宋体"/>
                <w:sz w:val="15"/>
              </w:rPr>
              <w:t>加权交叉熵 L_role；作为测试时主预测输出</w:t>
            </w:r>
          </w:p>
        </w:tc>
      </w:tr>
      <w:tr w:rsidR="00B8619C" w14:paraId="148D2446" w14:textId="77777777">
        <w:trPr>
          <w:cantSplit/>
          <w:jc w:val="center"/>
        </w:trPr>
        <w:tc>
          <w:tcPr>
            <w:tcW w:w="1247" w:type="dxa"/>
            <w:vAlign w:val="center"/>
          </w:tcPr>
          <w:p w14:paraId="540141E4" w14:textId="77777777" w:rsidR="00B8619C" w:rsidRDefault="00000000">
            <w:pPr>
              <w:spacing w:after="0" w:line="240" w:lineRule="auto"/>
            </w:pPr>
            <w:r>
              <w:rPr>
                <w:rFonts w:ascii="宋体" w:hAnsi="宋体"/>
                <w:sz w:val="15"/>
              </w:rPr>
              <w:t>种类头 p_s</w:t>
            </w:r>
          </w:p>
        </w:tc>
        <w:tc>
          <w:tcPr>
            <w:tcW w:w="1247" w:type="dxa"/>
            <w:vAlign w:val="center"/>
          </w:tcPr>
          <w:p w14:paraId="4F499D65" w14:textId="77777777" w:rsidR="00B8619C" w:rsidRDefault="00000000">
            <w:pPr>
              <w:spacing w:after="0" w:line="240" w:lineRule="auto"/>
            </w:pPr>
            <w:r>
              <w:rPr>
                <w:rFonts w:ascii="宋体" w:hAnsi="宋体"/>
                <w:sz w:val="15"/>
              </w:rPr>
              <w:t>h∈R^1280</w:t>
            </w:r>
          </w:p>
        </w:tc>
        <w:tc>
          <w:tcPr>
            <w:tcW w:w="2494" w:type="dxa"/>
            <w:vAlign w:val="center"/>
          </w:tcPr>
          <w:p w14:paraId="5628162A" w14:textId="77777777" w:rsidR="00B8619C" w:rsidRDefault="00000000">
            <w:pPr>
              <w:spacing w:after="0" w:line="240" w:lineRule="auto"/>
            </w:pPr>
            <w:r>
              <w:rPr>
                <w:rFonts w:ascii="宋体" w:hAnsi="宋体"/>
                <w:sz w:val="15"/>
              </w:rPr>
              <w:t>Dropout(0.2) → Linear(1280,17)</w:t>
            </w:r>
          </w:p>
        </w:tc>
        <w:tc>
          <w:tcPr>
            <w:tcW w:w="2041" w:type="dxa"/>
            <w:vAlign w:val="center"/>
          </w:tcPr>
          <w:p w14:paraId="5AE7275E" w14:textId="77777777" w:rsidR="00B8619C" w:rsidRDefault="00000000">
            <w:pPr>
              <w:spacing w:after="0" w:line="240" w:lineRule="auto"/>
            </w:pPr>
            <w:r>
              <w:rPr>
                <w:rFonts w:ascii="宋体" w:hAnsi="宋体"/>
                <w:sz w:val="15"/>
              </w:rPr>
              <w:t>17 类矿物 logits / 概率</w:t>
            </w:r>
          </w:p>
        </w:tc>
        <w:tc>
          <w:tcPr>
            <w:tcW w:w="2268" w:type="dxa"/>
            <w:vAlign w:val="center"/>
          </w:tcPr>
          <w:p w14:paraId="70DE2061" w14:textId="77777777" w:rsidR="00B8619C" w:rsidRDefault="00000000">
            <w:pPr>
              <w:spacing w:after="0" w:line="240" w:lineRule="auto"/>
            </w:pPr>
            <w:r>
              <w:rPr>
                <w:rFonts w:ascii="宋体" w:hAnsi="宋体"/>
                <w:sz w:val="15"/>
              </w:rPr>
              <w:t>加权种类交叉熵 L_species；经 A 聚合为四类角色概率</w:t>
            </w:r>
          </w:p>
        </w:tc>
      </w:tr>
      <w:tr w:rsidR="00B8619C" w14:paraId="57319F83" w14:textId="77777777">
        <w:trPr>
          <w:cantSplit/>
          <w:jc w:val="center"/>
        </w:trPr>
        <w:tc>
          <w:tcPr>
            <w:tcW w:w="1247" w:type="dxa"/>
            <w:vAlign w:val="center"/>
          </w:tcPr>
          <w:p w14:paraId="05B54ECD" w14:textId="77777777" w:rsidR="00B8619C" w:rsidRDefault="00000000">
            <w:pPr>
              <w:spacing w:after="0" w:line="240" w:lineRule="auto"/>
            </w:pPr>
            <w:r>
              <w:rPr>
                <w:rFonts w:ascii="宋体" w:hAnsi="宋体"/>
                <w:sz w:val="15"/>
              </w:rPr>
              <w:t>目标代理头 p_b</w:t>
            </w:r>
          </w:p>
        </w:tc>
        <w:tc>
          <w:tcPr>
            <w:tcW w:w="1247" w:type="dxa"/>
            <w:vAlign w:val="center"/>
          </w:tcPr>
          <w:p w14:paraId="179CB8E3" w14:textId="77777777" w:rsidR="00B8619C" w:rsidRDefault="00000000">
            <w:pPr>
              <w:spacing w:after="0" w:line="240" w:lineRule="auto"/>
            </w:pPr>
            <w:r>
              <w:rPr>
                <w:rFonts w:ascii="宋体" w:hAnsi="宋体"/>
                <w:sz w:val="15"/>
              </w:rPr>
              <w:t>h∈R^1280</w:t>
            </w:r>
          </w:p>
        </w:tc>
        <w:tc>
          <w:tcPr>
            <w:tcW w:w="2494" w:type="dxa"/>
            <w:vAlign w:val="center"/>
          </w:tcPr>
          <w:p w14:paraId="726D8898" w14:textId="77777777" w:rsidR="00B8619C" w:rsidRDefault="00000000">
            <w:pPr>
              <w:spacing w:after="0" w:line="240" w:lineRule="auto"/>
            </w:pPr>
            <w:r>
              <w:rPr>
                <w:rFonts w:ascii="宋体" w:hAnsi="宋体"/>
                <w:sz w:val="15"/>
              </w:rPr>
              <w:t>Linear(1280,2)</w:t>
            </w:r>
          </w:p>
        </w:tc>
        <w:tc>
          <w:tcPr>
            <w:tcW w:w="2041" w:type="dxa"/>
            <w:vAlign w:val="center"/>
          </w:tcPr>
          <w:p w14:paraId="6F1E2EE5" w14:textId="77777777" w:rsidR="00B8619C" w:rsidRDefault="00000000">
            <w:pPr>
              <w:spacing w:after="0" w:line="240" w:lineRule="auto"/>
            </w:pPr>
            <w:r>
              <w:rPr>
                <w:rFonts w:ascii="宋体" w:hAnsi="宋体"/>
                <w:sz w:val="15"/>
              </w:rPr>
              <w:t>目标代理/非目标代理 logits</w:t>
            </w:r>
          </w:p>
        </w:tc>
        <w:tc>
          <w:tcPr>
            <w:tcW w:w="2268" w:type="dxa"/>
            <w:vAlign w:val="center"/>
          </w:tcPr>
          <w:p w14:paraId="73F9F4CF" w14:textId="77777777" w:rsidR="00B8619C" w:rsidRDefault="00000000">
            <w:pPr>
              <w:spacing w:after="0" w:line="240" w:lineRule="auto"/>
            </w:pPr>
            <w:r>
              <w:rPr>
                <w:rFonts w:ascii="宋体" w:hAnsi="宋体"/>
                <w:sz w:val="15"/>
              </w:rPr>
              <w:t>加权二分类损失 L_binary，强化目标—非目标边界</w:t>
            </w:r>
          </w:p>
        </w:tc>
      </w:tr>
      <w:tr w:rsidR="00B8619C" w14:paraId="733F8013" w14:textId="77777777">
        <w:trPr>
          <w:cantSplit/>
          <w:jc w:val="center"/>
        </w:trPr>
        <w:tc>
          <w:tcPr>
            <w:tcW w:w="1247" w:type="dxa"/>
            <w:vAlign w:val="center"/>
          </w:tcPr>
          <w:p w14:paraId="25C1373D" w14:textId="77777777" w:rsidR="00B8619C" w:rsidRDefault="00000000">
            <w:pPr>
              <w:spacing w:after="0" w:line="240" w:lineRule="auto"/>
            </w:pPr>
            <w:r>
              <w:rPr>
                <w:rFonts w:ascii="宋体" w:hAnsi="宋体"/>
                <w:sz w:val="15"/>
              </w:rPr>
              <w:t>投影头 e</w:t>
            </w:r>
          </w:p>
        </w:tc>
        <w:tc>
          <w:tcPr>
            <w:tcW w:w="1247" w:type="dxa"/>
            <w:vAlign w:val="center"/>
          </w:tcPr>
          <w:p w14:paraId="0070E00D" w14:textId="77777777" w:rsidR="00B8619C" w:rsidRDefault="00000000">
            <w:pPr>
              <w:spacing w:after="0" w:line="240" w:lineRule="auto"/>
            </w:pPr>
            <w:r>
              <w:rPr>
                <w:rFonts w:ascii="宋体" w:hAnsi="宋体"/>
                <w:sz w:val="15"/>
              </w:rPr>
              <w:t>h∈R^1280</w:t>
            </w:r>
          </w:p>
        </w:tc>
        <w:tc>
          <w:tcPr>
            <w:tcW w:w="2494" w:type="dxa"/>
            <w:vAlign w:val="center"/>
          </w:tcPr>
          <w:p w14:paraId="055011BE" w14:textId="77777777" w:rsidR="00B8619C" w:rsidRDefault="00000000">
            <w:pPr>
              <w:spacing w:after="0" w:line="240" w:lineRule="auto"/>
            </w:pPr>
            <w:r>
              <w:rPr>
                <w:rFonts w:ascii="宋体" w:hAnsi="宋体"/>
                <w:sz w:val="15"/>
              </w:rPr>
              <w:t>Linear(1280,1280) → ReLU → Linear(1280,128) → L2 归一化</w:t>
            </w:r>
          </w:p>
        </w:tc>
        <w:tc>
          <w:tcPr>
            <w:tcW w:w="2041" w:type="dxa"/>
            <w:vAlign w:val="center"/>
          </w:tcPr>
          <w:p w14:paraId="6BC55048" w14:textId="77777777" w:rsidR="00B8619C" w:rsidRDefault="00000000">
            <w:pPr>
              <w:spacing w:after="0" w:line="240" w:lineRule="auto"/>
            </w:pPr>
            <w:r>
              <w:rPr>
                <w:rFonts w:ascii="宋体" w:hAnsi="宋体"/>
                <w:sz w:val="15"/>
              </w:rPr>
              <w:t>128 维单位向量</w:t>
            </w:r>
          </w:p>
        </w:tc>
        <w:tc>
          <w:tcPr>
            <w:tcW w:w="2268" w:type="dxa"/>
            <w:vAlign w:val="center"/>
          </w:tcPr>
          <w:p w14:paraId="0BA5D094" w14:textId="77777777" w:rsidR="00B8619C" w:rsidRDefault="00000000">
            <w:pPr>
              <w:spacing w:after="0" w:line="240" w:lineRule="auto"/>
            </w:pPr>
            <w:r>
              <w:rPr>
                <w:rFonts w:ascii="宋体" w:hAnsi="宋体"/>
                <w:sz w:val="15"/>
              </w:rPr>
              <w:t>困难负样本约束 L_hard，重点分离目标—含钛和目标—金属光泽关系</w:t>
            </w:r>
          </w:p>
        </w:tc>
      </w:tr>
    </w:tbl>
    <w:p w14:paraId="66214F96" w14:textId="77777777" w:rsidR="00B8619C" w:rsidRDefault="00000000">
      <w:r>
        <w:t>参考文献</w:t>
      </w:r>
      <w:r>
        <w:t>[9]</w:t>
      </w:r>
      <w:r>
        <w:t>的图</w:t>
      </w:r>
      <w:r>
        <w:t xml:space="preserve"> 1 </w:t>
      </w:r>
      <w:r>
        <w:t>和图</w:t>
      </w:r>
      <w:r>
        <w:t xml:space="preserve"> 5 </w:t>
      </w:r>
      <w:r>
        <w:t>采用了</w:t>
      </w:r>
      <w:r>
        <w:t>“</w:t>
      </w:r>
      <w:r>
        <w:t>数据输入</w:t>
      </w:r>
      <w:r>
        <w:t>—</w:t>
      </w:r>
      <w:r>
        <w:t>特征提取</w:t>
      </w:r>
      <w:r>
        <w:t>—</w:t>
      </w:r>
      <w:r>
        <w:t>融合</w:t>
      </w:r>
      <w:r>
        <w:t>/</w:t>
      </w:r>
      <w:r>
        <w:t>分类输出</w:t>
      </w:r>
      <w:r>
        <w:t>”</w:t>
      </w:r>
      <w:r>
        <w:t>的清晰呈现方式，本报告仅借鉴其信息组织思路。当前模型并未采用该文的八网络多视图特征、</w:t>
      </w:r>
      <w:r>
        <w:t>NSGA-II</w:t>
      </w:r>
      <w:r>
        <w:t>、差分进化或融合树；本节内容严格对应本项目训练代码中的单一</w:t>
      </w:r>
      <w:r>
        <w:t xml:space="preserve"> EfficientNet-B0 </w:t>
      </w:r>
      <w:r>
        <w:t>共享主干、四个并列输出头和固定种类</w:t>
      </w:r>
      <w:r>
        <w:t>—</w:t>
      </w:r>
      <w:r>
        <w:t>角色聚合。</w:t>
      </w:r>
    </w:p>
    <w:tbl>
      <w:tblPr>
        <w:tblStyle w:val="aff1"/>
        <w:tblW w:w="0" w:type="auto"/>
        <w:jc w:val="center"/>
        <w:tblLayout w:type="fixed"/>
        <w:tblLook w:val="04A0" w:firstRow="1" w:lastRow="0" w:firstColumn="1" w:lastColumn="0" w:noHBand="0" w:noVBand="1"/>
      </w:tblPr>
      <w:tblGrid>
        <w:gridCol w:w="1701"/>
        <w:gridCol w:w="7370"/>
      </w:tblGrid>
      <w:tr w:rsidR="00B8619C" w14:paraId="74D64760" w14:textId="77777777">
        <w:trPr>
          <w:cantSplit/>
          <w:tblHeader/>
          <w:jc w:val="center"/>
        </w:trPr>
        <w:tc>
          <w:tcPr>
            <w:tcW w:w="1701" w:type="dxa"/>
            <w:shd w:val="clear" w:color="auto" w:fill="D9EAF7"/>
            <w:tcMar>
              <w:top w:w="80" w:type="dxa"/>
              <w:left w:w="90" w:type="dxa"/>
              <w:bottom w:w="80" w:type="dxa"/>
              <w:right w:w="90" w:type="dxa"/>
            </w:tcMar>
            <w:vAlign w:val="center"/>
          </w:tcPr>
          <w:p w14:paraId="26F722E8" w14:textId="77777777" w:rsidR="00B8619C" w:rsidRDefault="00000000">
            <w:pPr>
              <w:spacing w:after="0" w:line="264" w:lineRule="auto"/>
              <w:jc w:val="center"/>
            </w:pPr>
            <w:r>
              <w:rPr>
                <w:rFonts w:eastAsia="黑体"/>
                <w:b/>
                <w:sz w:val="17"/>
              </w:rPr>
              <w:t>符号</w:t>
            </w:r>
          </w:p>
        </w:tc>
        <w:tc>
          <w:tcPr>
            <w:tcW w:w="7370" w:type="dxa"/>
            <w:shd w:val="clear" w:color="auto" w:fill="D9EAF7"/>
            <w:tcMar>
              <w:top w:w="80" w:type="dxa"/>
              <w:left w:w="90" w:type="dxa"/>
              <w:bottom w:w="80" w:type="dxa"/>
              <w:right w:w="90" w:type="dxa"/>
            </w:tcMar>
            <w:vAlign w:val="center"/>
          </w:tcPr>
          <w:p w14:paraId="7202E9F5" w14:textId="77777777" w:rsidR="00B8619C" w:rsidRDefault="00000000">
            <w:pPr>
              <w:spacing w:after="0" w:line="264" w:lineRule="auto"/>
              <w:jc w:val="center"/>
            </w:pPr>
            <w:r>
              <w:rPr>
                <w:rFonts w:eastAsia="黑体"/>
                <w:b/>
                <w:sz w:val="17"/>
              </w:rPr>
              <w:t>定义</w:t>
            </w:r>
          </w:p>
        </w:tc>
      </w:tr>
      <w:tr w:rsidR="00B8619C" w14:paraId="6B7FA206" w14:textId="77777777">
        <w:trPr>
          <w:cantSplit/>
          <w:jc w:val="center"/>
        </w:trPr>
        <w:tc>
          <w:tcPr>
            <w:tcW w:w="1701" w:type="dxa"/>
            <w:tcMar>
              <w:top w:w="80" w:type="dxa"/>
              <w:left w:w="90" w:type="dxa"/>
              <w:bottom w:w="80" w:type="dxa"/>
              <w:right w:w="90" w:type="dxa"/>
            </w:tcMar>
            <w:vAlign w:val="center"/>
          </w:tcPr>
          <w:p w14:paraId="5B7D12F4" w14:textId="77777777" w:rsidR="00B8619C" w:rsidRDefault="00000000">
            <w:pPr>
              <w:spacing w:after="0" w:line="264" w:lineRule="auto"/>
            </w:pPr>
            <w:r>
              <w:rPr>
                <w:sz w:val="17"/>
              </w:rPr>
              <w:t>x</w:t>
            </w:r>
          </w:p>
        </w:tc>
        <w:tc>
          <w:tcPr>
            <w:tcW w:w="7370" w:type="dxa"/>
            <w:tcMar>
              <w:top w:w="80" w:type="dxa"/>
              <w:left w:w="90" w:type="dxa"/>
              <w:bottom w:w="80" w:type="dxa"/>
              <w:right w:w="90" w:type="dxa"/>
            </w:tcMar>
            <w:vAlign w:val="center"/>
          </w:tcPr>
          <w:p w14:paraId="684CF5D4" w14:textId="77777777" w:rsidR="00B8619C" w:rsidRDefault="00000000">
            <w:pPr>
              <w:spacing w:after="0" w:line="264" w:lineRule="auto"/>
            </w:pPr>
            <w:r>
              <w:rPr>
                <w:sz w:val="17"/>
              </w:rPr>
              <w:t>输入矿物图像</w:t>
            </w:r>
          </w:p>
        </w:tc>
      </w:tr>
      <w:tr w:rsidR="00B8619C" w14:paraId="09B768A2" w14:textId="77777777">
        <w:trPr>
          <w:cantSplit/>
          <w:jc w:val="center"/>
        </w:trPr>
        <w:tc>
          <w:tcPr>
            <w:tcW w:w="1701" w:type="dxa"/>
            <w:tcMar>
              <w:top w:w="80" w:type="dxa"/>
              <w:left w:w="90" w:type="dxa"/>
              <w:bottom w:w="80" w:type="dxa"/>
              <w:right w:w="90" w:type="dxa"/>
            </w:tcMar>
            <w:vAlign w:val="center"/>
          </w:tcPr>
          <w:p w14:paraId="1A77C27C" w14:textId="77777777" w:rsidR="00B8619C" w:rsidRDefault="00000000">
            <w:pPr>
              <w:spacing w:after="0" w:line="264" w:lineRule="auto"/>
            </w:pPr>
            <w:r>
              <w:rPr>
                <w:sz w:val="17"/>
              </w:rPr>
              <w:t>S</w:t>
            </w:r>
          </w:p>
        </w:tc>
        <w:tc>
          <w:tcPr>
            <w:tcW w:w="7370" w:type="dxa"/>
            <w:tcMar>
              <w:top w:w="80" w:type="dxa"/>
              <w:left w:w="90" w:type="dxa"/>
              <w:bottom w:w="80" w:type="dxa"/>
              <w:right w:w="90" w:type="dxa"/>
            </w:tcMar>
            <w:vAlign w:val="center"/>
          </w:tcPr>
          <w:p w14:paraId="7F6CBDB9" w14:textId="77777777" w:rsidR="00B8619C" w:rsidRDefault="00000000">
            <w:pPr>
              <w:spacing w:after="0" w:line="264" w:lineRule="auto"/>
            </w:pPr>
            <w:r>
              <w:rPr>
                <w:sz w:val="17"/>
              </w:rPr>
              <w:t>细粒度矿物种类集合，当前包含</w:t>
            </w:r>
            <w:r>
              <w:rPr>
                <w:sz w:val="17"/>
              </w:rPr>
              <w:t xml:space="preserve"> 17 </w:t>
            </w:r>
            <w:r>
              <w:rPr>
                <w:sz w:val="17"/>
              </w:rPr>
              <w:t>类</w:t>
            </w:r>
          </w:p>
        </w:tc>
      </w:tr>
      <w:tr w:rsidR="00B8619C" w14:paraId="427A0443" w14:textId="77777777">
        <w:trPr>
          <w:cantSplit/>
          <w:jc w:val="center"/>
        </w:trPr>
        <w:tc>
          <w:tcPr>
            <w:tcW w:w="1701" w:type="dxa"/>
            <w:tcMar>
              <w:top w:w="80" w:type="dxa"/>
              <w:left w:w="90" w:type="dxa"/>
              <w:bottom w:w="80" w:type="dxa"/>
              <w:right w:w="90" w:type="dxa"/>
            </w:tcMar>
            <w:vAlign w:val="center"/>
          </w:tcPr>
          <w:p w14:paraId="5C35BD3B" w14:textId="77777777" w:rsidR="00B8619C" w:rsidRDefault="00000000">
            <w:pPr>
              <w:spacing w:after="0" w:line="264" w:lineRule="auto"/>
            </w:pPr>
            <w:r>
              <w:rPr>
                <w:sz w:val="17"/>
              </w:rPr>
              <w:t>R</w:t>
            </w:r>
          </w:p>
        </w:tc>
        <w:tc>
          <w:tcPr>
            <w:tcW w:w="7370" w:type="dxa"/>
            <w:tcMar>
              <w:top w:w="80" w:type="dxa"/>
              <w:left w:w="90" w:type="dxa"/>
              <w:bottom w:w="80" w:type="dxa"/>
              <w:right w:w="90" w:type="dxa"/>
            </w:tcMar>
            <w:vAlign w:val="center"/>
          </w:tcPr>
          <w:p w14:paraId="14A96AFC" w14:textId="77777777" w:rsidR="00B8619C" w:rsidRDefault="00000000">
            <w:pPr>
              <w:spacing w:after="0" w:line="264" w:lineRule="auto"/>
            </w:pPr>
            <w:r>
              <w:rPr>
                <w:sz w:val="17"/>
              </w:rPr>
              <w:t>四类角色集合：目标、含钛干扰、脉石</w:t>
            </w:r>
            <w:r>
              <w:rPr>
                <w:sz w:val="17"/>
              </w:rPr>
              <w:t>/</w:t>
            </w:r>
            <w:r>
              <w:rPr>
                <w:sz w:val="17"/>
              </w:rPr>
              <w:t>废石、金属光泽干扰</w:t>
            </w:r>
          </w:p>
        </w:tc>
      </w:tr>
      <w:tr w:rsidR="00B8619C" w14:paraId="63C4C721" w14:textId="77777777">
        <w:trPr>
          <w:cantSplit/>
          <w:jc w:val="center"/>
        </w:trPr>
        <w:tc>
          <w:tcPr>
            <w:tcW w:w="1701" w:type="dxa"/>
            <w:tcMar>
              <w:top w:w="80" w:type="dxa"/>
              <w:left w:w="90" w:type="dxa"/>
              <w:bottom w:w="80" w:type="dxa"/>
              <w:right w:w="90" w:type="dxa"/>
            </w:tcMar>
            <w:vAlign w:val="center"/>
          </w:tcPr>
          <w:p w14:paraId="5E025973" w14:textId="77777777" w:rsidR="00B8619C" w:rsidRDefault="00000000">
            <w:pPr>
              <w:spacing w:after="0" w:line="264" w:lineRule="auto"/>
            </w:pPr>
            <w:r>
              <w:rPr>
                <w:sz w:val="17"/>
              </w:rPr>
              <w:t>A</w:t>
            </w:r>
          </w:p>
        </w:tc>
        <w:tc>
          <w:tcPr>
            <w:tcW w:w="7370" w:type="dxa"/>
            <w:tcMar>
              <w:top w:w="80" w:type="dxa"/>
              <w:left w:w="90" w:type="dxa"/>
              <w:bottom w:w="80" w:type="dxa"/>
              <w:right w:w="90" w:type="dxa"/>
            </w:tcMar>
            <w:vAlign w:val="center"/>
          </w:tcPr>
          <w:p w14:paraId="1B2E8C30" w14:textId="77777777" w:rsidR="00B8619C" w:rsidRDefault="00000000">
            <w:pPr>
              <w:spacing w:after="0" w:line="264" w:lineRule="auto"/>
            </w:pPr>
            <w:r>
              <w:rPr>
                <w:sz w:val="17"/>
              </w:rPr>
              <w:t>固定种类</w:t>
            </w:r>
            <w:r>
              <w:rPr>
                <w:sz w:val="17"/>
              </w:rPr>
              <w:t>—</w:t>
            </w:r>
            <w:r>
              <w:rPr>
                <w:sz w:val="17"/>
              </w:rPr>
              <w:t>角色映射矩阵，每一列仅对应一个角色</w:t>
            </w:r>
          </w:p>
        </w:tc>
      </w:tr>
      <w:tr w:rsidR="00B8619C" w14:paraId="0A57D101" w14:textId="77777777">
        <w:trPr>
          <w:cantSplit/>
          <w:jc w:val="center"/>
        </w:trPr>
        <w:tc>
          <w:tcPr>
            <w:tcW w:w="1701" w:type="dxa"/>
            <w:tcMar>
              <w:top w:w="80" w:type="dxa"/>
              <w:left w:w="90" w:type="dxa"/>
              <w:bottom w:w="80" w:type="dxa"/>
              <w:right w:w="90" w:type="dxa"/>
            </w:tcMar>
            <w:vAlign w:val="center"/>
          </w:tcPr>
          <w:p w14:paraId="0F1837F3" w14:textId="77777777" w:rsidR="00B8619C" w:rsidRDefault="00000000">
            <w:pPr>
              <w:spacing w:after="0" w:line="264" w:lineRule="auto"/>
            </w:pPr>
            <w:r>
              <w:rPr>
                <w:sz w:val="17"/>
              </w:rPr>
              <w:t>p_s</w:t>
            </w:r>
          </w:p>
        </w:tc>
        <w:tc>
          <w:tcPr>
            <w:tcW w:w="7370" w:type="dxa"/>
            <w:tcMar>
              <w:top w:w="80" w:type="dxa"/>
              <w:left w:w="90" w:type="dxa"/>
              <w:bottom w:w="80" w:type="dxa"/>
              <w:right w:w="90" w:type="dxa"/>
            </w:tcMar>
            <w:vAlign w:val="center"/>
          </w:tcPr>
          <w:p w14:paraId="2F271B87" w14:textId="77777777" w:rsidR="00B8619C" w:rsidRDefault="00000000">
            <w:pPr>
              <w:spacing w:after="0" w:line="264" w:lineRule="auto"/>
            </w:pPr>
            <w:r>
              <w:rPr>
                <w:sz w:val="17"/>
              </w:rPr>
              <w:t>种类头输出的种类概率向量</w:t>
            </w:r>
          </w:p>
        </w:tc>
      </w:tr>
      <w:tr w:rsidR="00B8619C" w14:paraId="60144BEA" w14:textId="77777777">
        <w:trPr>
          <w:cantSplit/>
          <w:jc w:val="center"/>
        </w:trPr>
        <w:tc>
          <w:tcPr>
            <w:tcW w:w="1701" w:type="dxa"/>
            <w:tcMar>
              <w:top w:w="80" w:type="dxa"/>
              <w:left w:w="90" w:type="dxa"/>
              <w:bottom w:w="80" w:type="dxa"/>
              <w:right w:w="90" w:type="dxa"/>
            </w:tcMar>
            <w:vAlign w:val="center"/>
          </w:tcPr>
          <w:p w14:paraId="65F9C75D" w14:textId="77777777" w:rsidR="00B8619C" w:rsidRDefault="00000000">
            <w:pPr>
              <w:spacing w:after="0" w:line="264" w:lineRule="auto"/>
            </w:pPr>
            <w:r>
              <w:rPr>
                <w:sz w:val="17"/>
              </w:rPr>
              <w:t>p_r</w:t>
            </w:r>
          </w:p>
        </w:tc>
        <w:tc>
          <w:tcPr>
            <w:tcW w:w="7370" w:type="dxa"/>
            <w:tcMar>
              <w:top w:w="80" w:type="dxa"/>
              <w:left w:w="90" w:type="dxa"/>
              <w:bottom w:w="80" w:type="dxa"/>
              <w:right w:w="90" w:type="dxa"/>
            </w:tcMar>
            <w:vAlign w:val="center"/>
          </w:tcPr>
          <w:p w14:paraId="3A6216DF" w14:textId="77777777" w:rsidR="00B8619C" w:rsidRDefault="00000000">
            <w:pPr>
              <w:spacing w:after="0" w:line="264" w:lineRule="auto"/>
            </w:pPr>
            <w:r>
              <w:rPr>
                <w:sz w:val="17"/>
              </w:rPr>
              <w:t>角色头直接输出的角色概率向量</w:t>
            </w:r>
          </w:p>
        </w:tc>
      </w:tr>
      <w:tr w:rsidR="00B8619C" w14:paraId="6B8CC264" w14:textId="77777777">
        <w:trPr>
          <w:cantSplit/>
          <w:jc w:val="center"/>
        </w:trPr>
        <w:tc>
          <w:tcPr>
            <w:tcW w:w="1701" w:type="dxa"/>
            <w:tcMar>
              <w:top w:w="80" w:type="dxa"/>
              <w:left w:w="90" w:type="dxa"/>
              <w:bottom w:w="80" w:type="dxa"/>
              <w:right w:w="90" w:type="dxa"/>
            </w:tcMar>
            <w:vAlign w:val="center"/>
          </w:tcPr>
          <w:p w14:paraId="05B14739" w14:textId="77777777" w:rsidR="00B8619C" w:rsidRDefault="00000000">
            <w:pPr>
              <w:spacing w:after="0" w:line="264" w:lineRule="auto"/>
            </w:pPr>
            <w:r>
              <w:rPr>
                <w:sz w:val="17"/>
              </w:rPr>
              <w:t>p_tilde_r</w:t>
            </w:r>
          </w:p>
        </w:tc>
        <w:tc>
          <w:tcPr>
            <w:tcW w:w="7370" w:type="dxa"/>
            <w:tcMar>
              <w:top w:w="80" w:type="dxa"/>
              <w:left w:w="90" w:type="dxa"/>
              <w:bottom w:w="80" w:type="dxa"/>
              <w:right w:w="90" w:type="dxa"/>
            </w:tcMar>
            <w:vAlign w:val="center"/>
          </w:tcPr>
          <w:p w14:paraId="7D0608CE" w14:textId="77777777" w:rsidR="00B8619C" w:rsidRDefault="00000000">
            <w:pPr>
              <w:spacing w:after="0" w:line="264" w:lineRule="auto"/>
            </w:pPr>
            <w:r>
              <w:rPr>
                <w:sz w:val="17"/>
              </w:rPr>
              <w:t>由</w:t>
            </w:r>
            <w:r>
              <w:rPr>
                <w:sz w:val="17"/>
              </w:rPr>
              <w:t xml:space="preserve"> A </w:t>
            </w:r>
            <w:r>
              <w:rPr>
                <w:sz w:val="17"/>
              </w:rPr>
              <w:t>对</w:t>
            </w:r>
            <w:r>
              <w:rPr>
                <w:sz w:val="17"/>
              </w:rPr>
              <w:t xml:space="preserve"> p_s </w:t>
            </w:r>
            <w:r>
              <w:rPr>
                <w:sz w:val="17"/>
              </w:rPr>
              <w:t>聚合得到的角色概率向量</w:t>
            </w:r>
          </w:p>
        </w:tc>
      </w:tr>
      <w:tr w:rsidR="00B8619C" w14:paraId="1278CBFD" w14:textId="77777777">
        <w:trPr>
          <w:cantSplit/>
          <w:jc w:val="center"/>
        </w:trPr>
        <w:tc>
          <w:tcPr>
            <w:tcW w:w="1701" w:type="dxa"/>
            <w:tcMar>
              <w:top w:w="80" w:type="dxa"/>
              <w:left w:w="90" w:type="dxa"/>
              <w:bottom w:w="80" w:type="dxa"/>
              <w:right w:w="90" w:type="dxa"/>
            </w:tcMar>
            <w:vAlign w:val="center"/>
          </w:tcPr>
          <w:p w14:paraId="120A6467" w14:textId="77777777" w:rsidR="00B8619C" w:rsidRDefault="00000000">
            <w:pPr>
              <w:spacing w:after="0" w:line="264" w:lineRule="auto"/>
            </w:pPr>
            <w:r>
              <w:rPr>
                <w:sz w:val="17"/>
              </w:rPr>
              <w:t>q(x)</w:t>
            </w:r>
          </w:p>
        </w:tc>
        <w:tc>
          <w:tcPr>
            <w:tcW w:w="7370" w:type="dxa"/>
            <w:tcMar>
              <w:top w:w="80" w:type="dxa"/>
              <w:left w:w="90" w:type="dxa"/>
              <w:bottom w:w="80" w:type="dxa"/>
              <w:right w:w="90" w:type="dxa"/>
            </w:tcMar>
            <w:vAlign w:val="center"/>
          </w:tcPr>
          <w:p w14:paraId="33BA7073" w14:textId="77777777" w:rsidR="00B8619C" w:rsidRDefault="00000000">
            <w:pPr>
              <w:spacing w:after="0" w:line="264" w:lineRule="auto"/>
            </w:pPr>
            <w:r>
              <w:rPr>
                <w:sz w:val="17"/>
              </w:rPr>
              <w:t>角色头最大</w:t>
            </w:r>
            <w:r>
              <w:rPr>
                <w:sz w:val="17"/>
              </w:rPr>
              <w:t xml:space="preserve"> Softmax </w:t>
            </w:r>
            <w:r>
              <w:rPr>
                <w:sz w:val="17"/>
              </w:rPr>
              <w:t>概率，用于描述性选择性识别</w:t>
            </w:r>
          </w:p>
        </w:tc>
      </w:tr>
    </w:tbl>
    <w:p w14:paraId="3F366514" w14:textId="77777777" w:rsidR="00B8619C" w:rsidRDefault="00000000">
      <w:pPr>
        <w:pStyle w:val="af7"/>
        <w:keepNext/>
        <w:spacing w:after="100"/>
        <w:jc w:val="center"/>
      </w:pPr>
      <w:r>
        <w:t>表</w:t>
      </w:r>
      <w:r>
        <w:t xml:space="preserve"> 9 </w:t>
      </w:r>
      <w:r>
        <w:t>分层模型主要符号</w:t>
      </w:r>
    </w:p>
    <w:p w14:paraId="24D084A3" w14:textId="77777777" w:rsidR="00B8619C" w:rsidRDefault="00000000">
      <w:pPr>
        <w:jc w:val="both"/>
      </w:pPr>
      <w:r>
        <w:t>种类头产生的角色聚合概率定义为：</w:t>
      </w:r>
    </w:p>
    <w:p w14:paraId="6E7D28EB" w14:textId="77777777" w:rsidR="00B8619C" w:rsidRDefault="00000000">
      <w:pPr>
        <w:keepNext/>
        <w:jc w:val="center"/>
      </w:pPr>
      <w:r>
        <w:rPr>
          <w:noProof/>
        </w:rPr>
        <w:lastRenderedPageBreak/>
        <w:drawing>
          <wp:inline distT="0" distB="0" distL="0" distR="0" wp14:anchorId="51B22FA8" wp14:editId="3BDB2243">
            <wp:extent cx="2160000" cy="4520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aggregation.png"/>
                    <pic:cNvPicPr/>
                  </pic:nvPicPr>
                  <pic:blipFill>
                    <a:blip r:embed="rId12"/>
                    <a:stretch>
                      <a:fillRect/>
                    </a:stretch>
                  </pic:blipFill>
                  <pic:spPr>
                    <a:xfrm>
                      <a:off x="0" y="0"/>
                      <a:ext cx="2160000" cy="452093"/>
                    </a:xfrm>
                    <a:prstGeom prst="rect">
                      <a:avLst/>
                    </a:prstGeom>
                  </pic:spPr>
                </pic:pic>
              </a:graphicData>
            </a:graphic>
          </wp:inline>
        </w:drawing>
      </w:r>
    </w:p>
    <w:p w14:paraId="5297B90E" w14:textId="77777777" w:rsidR="00B8619C" w:rsidRDefault="00000000">
      <w:pPr>
        <w:pStyle w:val="af7"/>
        <w:keepNext/>
        <w:spacing w:after="100"/>
        <w:jc w:val="center"/>
      </w:pPr>
      <w:r>
        <w:t>式（</w:t>
      </w:r>
      <w:r>
        <w:t>1</w:t>
      </w:r>
      <w:r>
        <w:t>）种类概率到角色概率的固定映射聚合</w:t>
      </w:r>
    </w:p>
    <w:p w14:paraId="21A32754" w14:textId="77777777" w:rsidR="00B8619C" w:rsidRDefault="00000000">
      <w:pPr>
        <w:jc w:val="both"/>
      </w:pPr>
      <w:r>
        <w:t>完整训练目标为：</w:t>
      </w:r>
    </w:p>
    <w:p w14:paraId="0B2881CF" w14:textId="77777777" w:rsidR="00B8619C" w:rsidRDefault="00000000">
      <w:pPr>
        <w:keepNext/>
        <w:jc w:val="center"/>
      </w:pPr>
      <w:r>
        <w:rPr>
          <w:noProof/>
        </w:rPr>
        <w:drawing>
          <wp:inline distT="0" distB="0" distL="0" distR="0" wp14:anchorId="60BE4333" wp14:editId="7E24D3B7">
            <wp:extent cx="5580000" cy="4972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total_loss.png"/>
                    <pic:cNvPicPr/>
                  </pic:nvPicPr>
                  <pic:blipFill>
                    <a:blip r:embed="rId13"/>
                    <a:stretch>
                      <a:fillRect/>
                    </a:stretch>
                  </pic:blipFill>
                  <pic:spPr>
                    <a:xfrm>
                      <a:off x="0" y="0"/>
                      <a:ext cx="5580000" cy="497228"/>
                    </a:xfrm>
                    <a:prstGeom prst="rect">
                      <a:avLst/>
                    </a:prstGeom>
                  </pic:spPr>
                </pic:pic>
              </a:graphicData>
            </a:graphic>
          </wp:inline>
        </w:drawing>
      </w:r>
    </w:p>
    <w:p w14:paraId="2C088FD5" w14:textId="77777777" w:rsidR="00B8619C" w:rsidRDefault="00000000">
      <w:pPr>
        <w:pStyle w:val="af7"/>
        <w:keepNext/>
        <w:spacing w:after="100"/>
        <w:jc w:val="center"/>
      </w:pPr>
      <w:r>
        <w:t>式（</w:t>
      </w:r>
      <w:r>
        <w:t>2</w:t>
      </w:r>
      <w:r>
        <w:t>）分层模型联合训练目标</w:t>
      </w:r>
    </w:p>
    <w:p w14:paraId="5F82A99B" w14:textId="77777777" w:rsidR="00B8619C" w:rsidRDefault="00000000">
      <w:pPr>
        <w:ind w:firstLine="420"/>
        <w:jc w:val="both"/>
      </w:pPr>
      <w:r>
        <w:t>其中</w:t>
      </w:r>
      <w:r>
        <w:t xml:space="preserve"> alpha=0.50</w:t>
      </w:r>
      <w:r>
        <w:t>、</w:t>
      </w:r>
      <w:r>
        <w:t>beta=0.10</w:t>
      </w:r>
      <w:r>
        <w:t>、</w:t>
      </w:r>
      <w:r>
        <w:t>gamma=0.25</w:t>
      </w:r>
      <w:r>
        <w:t>、</w:t>
      </w:r>
      <w:r>
        <w:t>eta=0.10</w:t>
      </w:r>
      <w:r>
        <w:t>。困难负样本项仅约束两组预定义关系。</w:t>
      </w:r>
    </w:p>
    <w:p w14:paraId="32B1873C" w14:textId="77777777" w:rsidR="00B8619C" w:rsidRDefault="00000000">
      <w:pPr>
        <w:jc w:val="both"/>
      </w:pPr>
      <w:r>
        <w:t>重要实现对应：当前训练代码调用</w:t>
      </w:r>
      <w:r>
        <w:t xml:space="preserve"> PyTorch F.kl_div(log_softmax(role_logits), mapped_role_probabilities)</w:t>
      </w:r>
      <w:r>
        <w:t>，其数值方向等价于由种类聚合分布到直接角色分布的</w:t>
      </w:r>
      <w:r>
        <w:t xml:space="preserve"> KL </w:t>
      </w:r>
      <w:r>
        <w:t>散度：</w:t>
      </w:r>
    </w:p>
    <w:p w14:paraId="5F9DE029" w14:textId="77777777" w:rsidR="00B8619C" w:rsidRDefault="00000000">
      <w:pPr>
        <w:keepNext/>
        <w:jc w:val="center"/>
      </w:pPr>
      <w:r>
        <w:rPr>
          <w:noProof/>
        </w:rPr>
        <w:drawing>
          <wp:inline distT="0" distB="0" distL="0" distR="0" wp14:anchorId="65DB0BAA" wp14:editId="1F5B6016">
            <wp:extent cx="3168000" cy="452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kl_corrected.png"/>
                    <pic:cNvPicPr/>
                  </pic:nvPicPr>
                  <pic:blipFill>
                    <a:blip r:embed="rId14"/>
                    <a:stretch>
                      <a:fillRect/>
                    </a:stretch>
                  </pic:blipFill>
                  <pic:spPr>
                    <a:xfrm>
                      <a:off x="0" y="0"/>
                      <a:ext cx="3168000" cy="452571"/>
                    </a:xfrm>
                    <a:prstGeom prst="rect">
                      <a:avLst/>
                    </a:prstGeom>
                  </pic:spPr>
                </pic:pic>
              </a:graphicData>
            </a:graphic>
          </wp:inline>
        </w:drawing>
      </w:r>
    </w:p>
    <w:p w14:paraId="46AD7D28" w14:textId="77777777" w:rsidR="00B8619C" w:rsidRDefault="00000000">
      <w:pPr>
        <w:pStyle w:val="af7"/>
        <w:keepNext/>
        <w:spacing w:after="100"/>
        <w:jc w:val="center"/>
      </w:pPr>
      <w:r>
        <w:t>式（</w:t>
      </w:r>
      <w:r>
        <w:t>3</w:t>
      </w:r>
      <w:r>
        <w:t>）当前代码实际实现的层级一致性方向</w:t>
      </w:r>
    </w:p>
    <w:tbl>
      <w:tblPr>
        <w:tblW w:w="0" w:type="auto"/>
        <w:jc w:val="center"/>
        <w:tblLook w:val="04A0" w:firstRow="1" w:lastRow="0" w:firstColumn="1" w:lastColumn="0" w:noHBand="0" w:noVBand="1"/>
      </w:tblPr>
      <w:tblGrid>
        <w:gridCol w:w="9185"/>
      </w:tblGrid>
      <w:tr w:rsidR="00B8619C" w14:paraId="10D4AA18" w14:textId="77777777">
        <w:trPr>
          <w:cantSplit/>
          <w:jc w:val="center"/>
        </w:trPr>
        <w:tc>
          <w:tcPr>
            <w:tcW w:w="9185" w:type="dxa"/>
            <w:shd w:val="clear" w:color="auto" w:fill="EAF2F8"/>
            <w:tcMar>
              <w:top w:w="130" w:type="dxa"/>
              <w:left w:w="150" w:type="dxa"/>
              <w:bottom w:w="130" w:type="dxa"/>
              <w:right w:w="150" w:type="dxa"/>
            </w:tcMar>
          </w:tcPr>
          <w:p w14:paraId="08A72F77" w14:textId="77777777" w:rsidR="00B8619C" w:rsidRDefault="00000000">
            <w:pPr>
              <w:spacing w:after="0"/>
            </w:pPr>
            <w:r>
              <w:rPr>
                <w:sz w:val="17"/>
              </w:rPr>
              <w:t>实现说明：本修订稿已将报告公式和架构图改为与当前训练代码一致的</w:t>
            </w:r>
            <w:r>
              <w:rPr>
                <w:sz w:val="17"/>
              </w:rPr>
              <w:t xml:space="preserve"> D_KL(A p_s || p_r)</w:t>
            </w:r>
            <w:r>
              <w:rPr>
                <w:sz w:val="17"/>
              </w:rPr>
              <w:t>。当前代码没有对</w:t>
            </w:r>
            <w:r>
              <w:rPr>
                <w:sz w:val="17"/>
              </w:rPr>
              <w:t xml:space="preserve"> p_tilde_r </w:t>
            </w:r>
            <w:r>
              <w:rPr>
                <w:sz w:val="17"/>
              </w:rPr>
              <w:t>使用停止梯度，因此一致性项会同时更新种类头和角色头。论文投稿前应比较反向</w:t>
            </w:r>
            <w:r>
              <w:rPr>
                <w:sz w:val="17"/>
              </w:rPr>
              <w:t xml:space="preserve"> KL</w:t>
            </w:r>
            <w:r>
              <w:rPr>
                <w:sz w:val="17"/>
              </w:rPr>
              <w:t>、正向</w:t>
            </w:r>
            <w:r>
              <w:rPr>
                <w:sz w:val="17"/>
              </w:rPr>
              <w:t xml:space="preserve"> KL</w:t>
            </w:r>
            <w:r>
              <w:rPr>
                <w:sz w:val="17"/>
              </w:rPr>
              <w:t>、对称</w:t>
            </w:r>
            <w:r>
              <w:rPr>
                <w:sz w:val="17"/>
              </w:rPr>
              <w:t xml:space="preserve"> JS </w:t>
            </w:r>
            <w:r>
              <w:rPr>
                <w:sz w:val="17"/>
              </w:rPr>
              <w:t>散度及停止梯度教师</w:t>
            </w:r>
            <w:r>
              <w:rPr>
                <w:sz w:val="17"/>
              </w:rPr>
              <w:t>—</w:t>
            </w:r>
            <w:r>
              <w:rPr>
                <w:sz w:val="17"/>
              </w:rPr>
              <w:t>学生设置；在未重跑这些对照前，不应宣称现有方向为理论最优。</w:t>
            </w:r>
          </w:p>
        </w:tc>
      </w:tr>
    </w:tbl>
    <w:p>
      <w:pPr>
        <w:spacing w:line="360" w:lineRule="auto" w:after="80"/>
      </w:pPr>
      <w:r>
        <w:rPr>
          <w:rFonts w:ascii="宋体" w:hAnsi="宋体" w:eastAsia="宋体"/>
          <w:sz w:val="21"/>
        </w:rPr>
        <w:t>图5在 EfficientNet-B0 基线主干上明确给出四个任务头、固定种类—角色映射、DKL(p̃r||pr) 一致性约束以及推理期温度校准和风险认证。网络训练与选择性决策分开：训练阶段学习视觉表征和层级关系，推理阶段使用独立验证数据确定温度与风险阈值。</w:t>
      </w:r>
    </w:p>
    <w:p>
      <w:pPr>
        <w:pStyle w:val="21"/>
      </w:pPr>
      <w:r>
        <w:t>4.6 层级风险门控验证网络（HRGV-Net）</w:t>
      </w:r>
    </w:p>
    <w:p>
      <w:pPr>
        <w:spacing w:line="360" w:lineRule="auto" w:after="80"/>
      </w:pPr>
      <w:r>
        <w:rPr>
          <w:rFonts w:ascii="宋体" w:hAnsi="宋体" w:eastAsia="宋体"/>
          <w:sz w:val="21"/>
        </w:rPr>
        <w:t>既有分层模型能够利用17类矿物种类监督提升目标召回，但固定测试集的成对分析表明，两类困难负样本误入目标的比例也随之上升。为直接处理这一失效模式，本研究在 HRGV-Net 的层级双专家、双验证器与中性区残差校正基础上，引入后悔监督门控，形成 RSG-HRGV-Net。网络以 EfficientNet-B0 为共享主干，设置直接角色专家和矿物种类专家；后者经固定映射矩阵 A 聚合为角色后验。可靠性门控根据共享特征、两个专家的熵及 Jensen-Shannon 分歧进行逐图融合，训练期再使用真实类别下的专家相对损失给予门控方向性监督。随后由“目标—含钛干扰”和“目标—金属光泽干扰”两个验证器对目标后验进行中性区残差校正。本方法仍是公开矿物标本图像上的视觉代理任务，不等同于工业分选回收率验证。</w:t>
      </w:r>
    </w:p>
    <w:p>
      <w:pPr>
        <w:spacing w:line="360" w:lineRule="auto" w:after="80"/>
      </w:pPr>
      <w:r>
        <w:rPr>
          <w:rFonts w:ascii="宋体" w:hAnsi="宋体" w:eastAsia="宋体"/>
          <w:sz w:val="21"/>
        </w:rPr>
        <w:t>设共享特征为 h，直接角色后验、17类种类后验及其角色映射分别为 pd、ps 和 pm，学习门控为 g，则层级证据融合为：</w:t>
      </w:r>
    </w:p>
    <w:p>
      <w:pPr>
        <w:keepNext/>
        <w:jc w:val="center"/>
      </w:pPr>
      <w:r>
        <w:drawing>
          <wp:inline xmlns:a="http://schemas.openxmlformats.org/drawingml/2006/main" xmlns:pic="http://schemas.openxmlformats.org/drawingml/2006/picture">
            <wp:extent cx="5760000" cy="305814"/>
            <wp:docPr id="29" name="Picture 29"/>
            <wp:cNvGraphicFramePr>
              <a:graphicFrameLocks noChangeAspect="1"/>
            </wp:cNvGraphicFramePr>
            <a:graphic>
              <a:graphicData uri="http://schemas.openxmlformats.org/drawingml/2006/picture">
                <pic:pic>
                  <pic:nvPicPr>
                    <pic:cNvPr id="0" name="hrgv_fusion.png"/>
                    <pic:cNvPicPr/>
                  </pic:nvPicPr>
                  <pic:blipFill>
                    <a:blip r:embed="rId40"/>
                    <a:stretch>
                      <a:fillRect/>
                    </a:stretch>
                  </pic:blipFill>
                  <pic:spPr>
                    <a:xfrm>
                      <a:off x="0" y="0"/>
                      <a:ext cx="5760000" cy="305814"/>
                    </a:xfrm>
                    <a:prstGeom prst="rect"/>
                  </pic:spPr>
                </pic:pic>
              </a:graphicData>
            </a:graphic>
          </wp:inline>
        </w:drawing>
      </w:r>
    </w:p>
    <w:p>
      <w:pPr>
        <w:pStyle w:val="af7"/>
        <w:jc w:val="center"/>
      </w:pPr>
      <w:r>
        <w:rPr>
          <w:rFonts w:ascii="宋体" w:hAnsi="宋体" w:eastAsia="宋体"/>
          <w:sz w:val="19"/>
        </w:rPr>
        <w:t>式（12） HRGV-Net 的双专家可靠性融合</w:t>
      </w:r>
    </w:p>
    <w:p>
      <w:pPr>
        <w:spacing w:line="360" w:lineRule="auto" w:after="80"/>
      </w:pPr>
      <w:r>
        <w:rPr>
          <w:rFonts w:ascii="宋体" w:hAnsi="宋体" w:eastAsia="宋体"/>
          <w:sz w:val="21"/>
        </w:rPr>
        <w:t>对验证器 h∈{Ti,Met}，当验证分数不低于阈值 τh 时不修改融合后验；只有反对证据进入中性区以下时，才按强度 βh 单调降低目标相对赔率：</w:t>
      </w:r>
    </w:p>
    <w:p>
      <w:pPr>
        <w:keepNext/>
        <w:jc w:val="center"/>
      </w:pPr>
      <w:r>
        <w:drawing>
          <wp:inline xmlns:a="http://schemas.openxmlformats.org/drawingml/2006/main" xmlns:pic="http://schemas.openxmlformats.org/drawingml/2006/picture">
            <wp:extent cx="5760000" cy="327066"/>
            <wp:docPr id="30" name="Picture 30"/>
            <wp:cNvGraphicFramePr>
              <a:graphicFrameLocks noChangeAspect="1"/>
            </wp:cNvGraphicFramePr>
            <a:graphic>
              <a:graphicData uri="http://schemas.openxmlformats.org/drawingml/2006/picture">
                <pic:pic>
                  <pic:nvPicPr>
                    <pic:cNvPr id="0" name="hrgv_correction.png"/>
                    <pic:cNvPicPr/>
                  </pic:nvPicPr>
                  <pic:blipFill>
                    <a:blip r:embed="rId41"/>
                    <a:stretch>
                      <a:fillRect/>
                    </a:stretch>
                  </pic:blipFill>
                  <pic:spPr>
                    <a:xfrm>
                      <a:off x="0" y="0"/>
                      <a:ext cx="5760000" cy="327066"/>
                    </a:xfrm>
                    <a:prstGeom prst="rect"/>
                  </pic:spPr>
                </pic:pic>
              </a:graphicData>
            </a:graphic>
          </wp:inline>
        </w:drawing>
      </w:r>
    </w:p>
    <w:p>
      <w:pPr>
        <w:pStyle w:val="af7"/>
        <w:jc w:val="center"/>
      </w:pPr>
      <w:r>
        <w:rPr>
          <w:rFonts w:ascii="宋体" w:hAnsi="宋体" w:eastAsia="宋体"/>
          <w:sz w:val="19"/>
        </w:rPr>
        <w:t>式（13） 中性区残差后验校正</w:t>
      </w:r>
    </w:p>
    <w:p>
      <w:pPr>
        <w:spacing w:line="360" w:lineRule="auto" w:after="80"/>
      </w:pPr>
      <w:r>
        <w:rPr>
          <w:rFonts w:ascii="宋体" w:hAnsi="宋体" w:eastAsia="宋体"/>
          <w:sz w:val="21"/>
        </w:rPr>
        <w:t>主任务、双专家、层级一致性、双验证器和角色感知对比约束的完整目标函数为：</w:t>
      </w:r>
    </w:p>
    <w:p>
      <w:pPr>
        <w:keepNext/>
        <w:jc w:val="center"/>
      </w:pPr>
      <w:r>
        <w:drawing>
          <wp:inline xmlns:a="http://schemas.openxmlformats.org/drawingml/2006/main" xmlns:pic="http://schemas.openxmlformats.org/drawingml/2006/picture">
            <wp:extent cx="5760000" cy="358099"/>
            <wp:docPr id="31" name="Picture 31"/>
            <wp:cNvGraphicFramePr>
              <a:graphicFrameLocks noChangeAspect="1"/>
            </wp:cNvGraphicFramePr>
            <a:graphic>
              <a:graphicData uri="http://schemas.openxmlformats.org/drawingml/2006/picture">
                <pic:pic>
                  <pic:nvPicPr>
                    <pic:cNvPr id="0" name="hrgv_objective.png"/>
                    <pic:cNvPicPr/>
                  </pic:nvPicPr>
                  <pic:blipFill>
                    <a:blip r:embed="rId42"/>
                    <a:stretch>
                      <a:fillRect/>
                    </a:stretch>
                  </pic:blipFill>
                  <pic:spPr>
                    <a:xfrm>
                      <a:off x="0" y="0"/>
                      <a:ext cx="5760000" cy="358099"/>
                    </a:xfrm>
                    <a:prstGeom prst="rect"/>
                  </pic:spPr>
                </pic:pic>
              </a:graphicData>
            </a:graphic>
          </wp:inline>
        </w:drawing>
      </w:r>
    </w:p>
    <w:p>
      <w:pPr>
        <w:pStyle w:val="af7"/>
        <w:jc w:val="center"/>
      </w:pPr>
      <w:r>
        <w:rPr>
          <w:rFonts w:ascii="宋体" w:hAnsi="宋体" w:eastAsia="宋体"/>
          <w:sz w:val="19"/>
        </w:rPr>
        <w:t>式（14） HRGV-Net 的完整训练目标</w:t>
      </w:r>
    </w:p>
    <w:p>
      <w:pPr>
        <w:spacing w:line="360" w:lineRule="auto" w:after="80"/>
      </w:pPr>
      <w:r>
        <w:rPr>
          <w:rFonts w:ascii="黑体" w:hAnsi="黑体" w:eastAsia="黑体"/>
          <w:b/>
          <w:sz w:val="21"/>
        </w:rPr>
        <w:t>命题1（凸融合对数损失上界）</w:t>
      </w:r>
      <w:r>
        <w:rPr>
          <w:rFonts w:ascii="宋体" w:hAnsi="宋体" w:eastAsia="宋体"/>
          <w:sz w:val="21"/>
        </w:rPr>
      </w:r>
    </w:p>
    <w:p>
      <w:pPr>
        <w:spacing w:line="360" w:lineRule="auto" w:after="80"/>
      </w:pPr>
      <w:r>
        <w:rPr>
          <w:rFonts w:ascii="宋体" w:hAnsi="宋体" w:eastAsia="宋体"/>
          <w:sz w:val="21"/>
        </w:rPr>
        <w:t>对任意真实角色 y 和 g∈[0,1]，融合后验的负对数损失不大于两个专家负对数损失的同权凸组合。证明直接来自 −log 在正数域上的凸性与 Jensen 不等式。该性质说明概率空间融合具有确定的上界，但不意味着学习门控必然显著优于等权融合。</w:t>
      </w:r>
    </w:p>
    <w:p>
      <w:pPr>
        <w:spacing w:line="360" w:lineRule="auto" w:after="80"/>
      </w:pPr>
      <w:r>
        <w:rPr>
          <w:rFonts w:ascii="黑体" w:hAnsi="黑体" w:eastAsia="黑体"/>
          <w:b/>
          <w:sz w:val="21"/>
        </w:rPr>
        <w:t>命题2（中性区残差校正的恒等性与单调性）</w:t>
      </w:r>
      <w:r>
        <w:rPr>
          <w:rFonts w:ascii="宋体" w:hAnsi="宋体" w:eastAsia="宋体"/>
          <w:sz w:val="21"/>
        </w:rPr>
      </w:r>
    </w:p>
    <w:p>
      <w:pPr>
        <w:spacing w:line="360" w:lineRule="auto" w:after="80"/>
      </w:pPr>
      <w:r>
        <w:rPr>
          <w:rFonts w:ascii="宋体" w:hAnsi="宋体" w:eastAsia="宋体"/>
          <w:sz w:val="21"/>
        </w:rPr>
        <w:t>若两个验证器均给出支持或中性证据，则残差项为0且最终后验 q 与融合后验 pf 完全相同；当任一反对残差增加时，目标对任意非目标类的对数赔率以斜率 −βh 单调下降，非目标类之间的相对赔率保持不变。该性质由式（13）的后验比值直接得到。</w:t>
      </w:r>
    </w:p>
    <w:p>
      <w:pPr>
        <w:spacing w:line="360" w:lineRule="auto" w:after="80"/>
      </w:pPr>
      <w:r>
        <w:rPr>
          <w:rFonts w:ascii="黑体" w:hAnsi="黑体" w:eastAsia="黑体"/>
          <w:b/>
          <w:sz w:val="21"/>
        </w:rPr>
        <w:t>命题3（验证式目标接纳的误收上界）</w:t>
      </w:r>
      <w:r>
        <w:rPr>
          <w:rFonts w:ascii="宋体" w:hAnsi="宋体" w:eastAsia="宋体"/>
          <w:sz w:val="21"/>
        </w:rPr>
      </w:r>
    </w:p>
    <w:p>
      <w:pPr>
        <w:spacing w:line="360" w:lineRule="auto" w:after="80"/>
      </w:pPr>
      <w:r>
        <w:rPr>
          <w:rFonts w:ascii="宋体" w:hAnsi="宋体" w:eastAsia="宋体"/>
          <w:sz w:val="21"/>
        </w:rPr>
        <w:t>若部署时要求基础分类器判为目标且相关困难负样本验证器同时通过，则最终误收事件是两事件的交集，其概率不超过任一组成事件的概率；只有在给定真实类别与来源后条件独立时才能进一步写成概率乘积。该结论适用于严格阈值接纳层，不能被扩大解释为软校正必然降低所有误收。</w:t>
      </w:r>
    </w:p>
    <w:p>
      <w:pPr>
        <w:spacing w:line="360" w:lineRule="auto" w:after="80"/>
      </w:pPr>
      <w:r>
        <w:rPr>
          <w:rFonts w:ascii="黑体" w:hAnsi="黑体" w:eastAsia="黑体"/>
          <w:b/>
          <w:sz w:val="21"/>
        </w:rPr>
        <w:t>命题4（带拒识的贝叶斯最优选择性决策）</w:t>
      </w:r>
      <w:r>
        <w:rPr>
          <w:rFonts w:ascii="宋体" w:hAnsi="宋体" w:eastAsia="宋体"/>
          <w:sz w:val="21"/>
        </w:rPr>
      </w:r>
    </w:p>
    <w:p>
      <w:pPr>
        <w:spacing w:line="360" w:lineRule="auto" w:after="80"/>
      </w:pPr>
      <w:r>
        <w:rPr>
          <w:rFonts w:ascii="宋体" w:hAnsi="宋体" w:eastAsia="宋体"/>
          <w:sz w:val="21"/>
        </w:rPr>
        <w:t>给定真实条件后验 q、已知错误代价矩阵 C，且拒识后的总损失为常数 crej 时，逐图比较所有直接动作的最小条件风险与 crej，可得贝叶斯最优选择性决策。使用网络估计后验时，该规则仅最小化估计后验下的风险；概率校准本身不足以保证真实条件风险最优。若拒识意味着送检，其风险还应包含检测后的残余决策损失。本研究仅验证公开标本图像上的选择性识别，不声称真实 XRF 送检成本已得到验证。</w:t>
      </w:r>
    </w:p>
    <w:p>
      <w:pPr>
        <w:spacing w:line="360" w:lineRule="auto" w:after="80"/>
      </w:pPr>
      <w:r>
        <w:rPr>
          <w:rFonts w:ascii="黑体" w:hAnsi="黑体" w:eastAsia="黑体"/>
          <w:b/>
          <w:sz w:val="21"/>
        </w:rPr>
        <w:t>命题5（验证器梯度隔离）</w:t>
      </w:r>
      <w:r>
        <w:rPr>
          <w:rFonts w:ascii="宋体" w:hAnsi="宋体" w:eastAsia="宋体"/>
          <w:sz w:val="21"/>
        </w:rPr>
      </w:r>
    </w:p>
    <w:p>
      <w:pPr>
        <w:spacing w:line="360" w:lineRule="auto" w:after="80"/>
      </w:pPr>
      <w:r>
        <w:rPr>
          <w:rFonts w:ascii="宋体" w:hAnsi="宋体" w:eastAsia="宋体"/>
          <w:sz w:val="21"/>
        </w:rPr>
        <w:t>若验证器输入采用 stopgrad(h)，则验证器损失通过该路径对共享主干参数 θ 的梯度严格为0，而验证器自身参数仍正常更新。命题本身是计算图上的确定性性质；是否有利于分类性能必须通过消融实验判断。</w:t>
      </w:r>
    </w:p>
    <w:p>
      <w:pPr>
        <w:keepNext/>
        <w:jc w:val="center"/>
      </w:pPr>
      <w:r>
        <w:drawing>
          <wp:inline xmlns:a="http://schemas.openxmlformats.org/drawingml/2006/main" xmlns:pic="http://schemas.openxmlformats.org/drawingml/2006/picture">
            <wp:extent cx="5760000" cy="412647"/>
            <wp:docPr id="32" name="Picture 32"/>
            <wp:cNvGraphicFramePr>
              <a:graphicFrameLocks noChangeAspect="1"/>
            </wp:cNvGraphicFramePr>
            <a:graphic>
              <a:graphicData uri="http://schemas.openxmlformats.org/drawingml/2006/picture">
                <pic:pic>
                  <pic:nvPicPr>
                    <pic:cNvPr id="0" name="hrgv_properties.png"/>
                    <pic:cNvPicPr/>
                  </pic:nvPicPr>
                  <pic:blipFill>
                    <a:blip r:embed="rId43"/>
                    <a:stretch>
                      <a:fillRect/>
                    </a:stretch>
                  </pic:blipFill>
                  <pic:spPr>
                    <a:xfrm>
                      <a:off x="0" y="0"/>
                      <a:ext cx="5760000" cy="412647"/>
                    </a:xfrm>
                    <a:prstGeom prst="rect"/>
                  </pic:spPr>
                </pic:pic>
              </a:graphicData>
            </a:graphic>
          </wp:inline>
        </w:drawing>
      </w:r>
    </w:p>
    <w:p>
      <w:pPr>
        <w:pStyle w:val="af7"/>
        <w:jc w:val="center"/>
      </w:pPr>
      <w:r>
        <w:rPr>
          <w:rFonts w:ascii="宋体" w:hAnsi="宋体" w:eastAsia="宋体"/>
          <w:sz w:val="19"/>
        </w:rPr>
        <w:t>式（15） 凸融合上界与残差校正单调性</w:t>
      </w:r>
    </w:p>
    <w:p>
      <w:pPr>
        <w:keepNext/>
        <w:jc w:val="center"/>
      </w:pPr>
      <w:r>
        <w:drawing>
          <wp:inline xmlns:a="http://schemas.openxmlformats.org/drawingml/2006/main" xmlns:pic="http://schemas.openxmlformats.org/drawingml/2006/picture">
            <wp:extent cx="5760000" cy="368372"/>
            <wp:docPr id="33" name="Picture 33"/>
            <wp:cNvGraphicFramePr>
              <a:graphicFrameLocks noChangeAspect="1"/>
            </wp:cNvGraphicFramePr>
            <a:graphic>
              <a:graphicData uri="http://schemas.openxmlformats.org/drawingml/2006/picture">
                <pic:pic>
                  <pic:nvPicPr>
                    <pic:cNvPr id="0" name="hrgv_selection.png"/>
                    <pic:cNvPicPr/>
                  </pic:nvPicPr>
                  <pic:blipFill>
                    <a:blip r:embed="rId44"/>
                    <a:stretch>
                      <a:fillRect/>
                    </a:stretch>
                  </pic:blipFill>
                  <pic:spPr>
                    <a:xfrm>
                      <a:off x="0" y="0"/>
                      <a:ext cx="5760000" cy="368372"/>
                    </a:xfrm>
                    <a:prstGeom prst="rect"/>
                  </pic:spPr>
                </pic:pic>
              </a:graphicData>
            </a:graphic>
          </wp:inline>
        </w:drawing>
      </w:r>
    </w:p>
    <w:p>
      <w:pPr>
        <w:pStyle w:val="af7"/>
        <w:jc w:val="center"/>
      </w:pPr>
      <w:r>
        <w:rPr>
          <w:rFonts w:ascii="宋体" w:hAnsi="宋体" w:eastAsia="宋体"/>
          <w:sz w:val="19"/>
        </w:rPr>
        <w:t>式（16） 选择性风险规则与梯度隔离性质</w:t>
      </w:r>
    </w:p>
    <w:p>
      <w:pPr>
        <w:spacing w:line="360" w:lineRule="auto" w:after="80"/>
      </w:pPr>
      <w:r>
        <w:rPr>
          <w:rFonts w:ascii="宋体" w:hAnsi="宋体" w:eastAsia="宋体"/>
          <w:sz w:val="21"/>
        </w:rPr>
        <w:t>上述五条中，命题1、2和5是网络结构产生的确定性数学性质；命题3依赖严格阈值接纳规则及可选的条件独立假设；命题4是标准选择性决策性质。报告把这些性质与对应消融分开陈述，避免把数学恒等式、经验趋势和统计显著性混为一谈。</w:t>
      </w:r>
    </w:p>
    <w:p>
      <w:pPr>
        <w:keepNext/>
        <w:jc w:val="center"/>
      </w:pPr>
      <w:r>
        <w:drawing>
          <wp:inline xmlns:a="http://schemas.openxmlformats.org/drawingml/2006/main" xmlns:pic="http://schemas.openxmlformats.org/drawingml/2006/picture">
            <wp:extent cx="5796000" cy="3403595"/>
            <wp:docPr id="35" name="Picture 35"/>
            <wp:cNvGraphicFramePr>
              <a:graphicFrameLocks noChangeAspect="1"/>
            </wp:cNvGraphicFramePr>
            <a:graphic>
              <a:graphicData uri="http://schemas.openxmlformats.org/drawingml/2006/picture">
                <pic:pic>
                  <pic:nvPicPr>
                    <pic:cNvPr id="0" name="fig_hrgv_architecture.png"/>
                    <pic:cNvPicPr/>
                  </pic:nvPicPr>
                  <pic:blipFill>
                    <a:blip r:embed="rId46"/>
                    <a:stretch>
                      <a:fillRect/>
                    </a:stretch>
                  </pic:blipFill>
                  <pic:spPr>
                    <a:xfrm>
                      <a:off x="0" y="0"/>
                      <a:ext cx="5796000" cy="3403595"/>
                    </a:xfrm>
                    <a:prstGeom prst="rect"/>
                  </pic:spPr>
                </pic:pic>
              </a:graphicData>
            </a:graphic>
          </wp:inline>
        </w:drawing>
      </w:r>
    </w:p>
    <w:p>
      <w:pPr>
        <w:pStyle w:val="af7"/>
        <w:jc w:val="center"/>
      </w:pPr>
      <w:r>
        <w:rPr>
          <w:rFonts w:ascii="宋体" w:hAnsi="宋体" w:eastAsia="宋体"/>
          <w:sz w:val="19"/>
        </w:rPr>
        <w:t>图 5 RSG-HRGV-Net 的分层证据、后悔监督门控与困难负样本风险验证结构</w:t>
      </w:r>
    </w:p>
    <w:p>
      <w:pPr>
        <w:pStyle w:val="31"/>
      </w:pPr>
      <w:r>
        <w:t>4.6.1 后悔监督门控（RSG）</w:t>
      </w:r>
    </w:p>
    <w:p>
      <w:pPr>
        <w:spacing w:line="360" w:lineRule="auto" w:after="80"/>
      </w:pPr>
      <w:r>
        <w:rPr>
          <w:rFonts w:ascii="宋体" w:hAnsi="宋体" w:eastAsia="宋体"/>
          <w:sz w:val="21"/>
        </w:rPr>
        <w:t>常规融合损失只要求融合后验正确，却不会直接告诉门控“本图像更应信任哪一位专家”。RSG 以真实角色 y 下的直接角色专家与种类映射专家的负对数损失差为可观测的训练期证据，构造连续门控目标。令 g 表示直接角色专家的融合权重，则：</w:t>
      </w:r>
    </w:p>
    <w:p>
      <w:pPr>
        <w:keepNext/>
        <w:jc w:val="center"/>
      </w:pPr>
      <w:r>
        <w:drawing>
          <wp:inline xmlns:a="http://schemas.openxmlformats.org/drawingml/2006/main" xmlns:pic="http://schemas.openxmlformats.org/drawingml/2006/picture">
            <wp:extent cx="5760000" cy="243775"/>
            <wp:docPr id="36" name="Picture 36"/>
            <wp:cNvGraphicFramePr>
              <a:graphicFrameLocks noChangeAspect="1"/>
            </wp:cNvGraphicFramePr>
            <a:graphic>
              <a:graphicData uri="http://schemas.openxmlformats.org/drawingml/2006/picture">
                <pic:pic>
                  <pic:nvPicPr>
                    <pic:cNvPr id="0" name="rsg_regret.png"/>
                    <pic:cNvPicPr/>
                  </pic:nvPicPr>
                  <pic:blipFill>
                    <a:blip r:embed="rId47"/>
                    <a:stretch>
                      <a:fillRect/>
                    </a:stretch>
                  </pic:blipFill>
                  <pic:spPr>
                    <a:xfrm>
                      <a:off x="0" y="0"/>
                      <a:ext cx="5760000" cy="243775"/>
                    </a:xfrm>
                    <a:prstGeom prst="rect"/>
                  </pic:spPr>
                </pic:pic>
              </a:graphicData>
            </a:graphic>
          </wp:inline>
        </w:drawing>
      </w:r>
    </w:p>
    <w:p>
      <w:pPr>
        <w:pStyle w:val="af7"/>
        <w:jc w:val="center"/>
      </w:pPr>
      <w:r>
        <w:rPr>
          <w:rFonts w:ascii="宋体" w:hAnsi="宋体" w:eastAsia="宋体"/>
          <w:sz w:val="19"/>
        </w:rPr>
        <w:t>式（17） RSG 的样本级后悔差、软门控目标与加权监督</w:t>
      </w:r>
    </w:p>
    <w:p>
      <w:pPr>
        <w:spacing w:line="360" w:lineRule="auto" w:after="80"/>
      </w:pPr>
      <w:r>
        <w:rPr>
          <w:rFonts w:ascii="宋体" w:hAnsi="宋体" w:eastAsia="宋体"/>
          <w:sz w:val="21"/>
        </w:rPr>
        <w:t>当直接角色专家更可靠时，Δ 为正且 g* 趋近 1；当种类映射专家更可靠时，g* 趋近 0。差距权重 w 使两位专家几乎等价的样本不会主导门控学习。正式配置取 λg=0.1、Tr=0.2、Tw=0.5；为防止专家通过人为改变后验迎合门控标签，g* 与 w 由停止梯度的专家后验构造。该隔离只作用于后悔监督分支，双验证器仍通过原有耦合路径参与共享表征训练。</w:t>
      </w:r>
    </w:p>
    <w:p>
      <w:pPr>
        <w:spacing w:line="360" w:lineRule="auto" w:after="80"/>
      </w:pPr>
      <w:r>
        <w:rPr>
          <w:rFonts w:ascii="黑体" w:hAnsi="黑体" w:eastAsia="黑体"/>
          <w:b/>
          <w:sz w:val="21"/>
        </w:rPr>
        <w:t>命题6（门控误差的路由后悔上界）</w:t>
      </w:r>
      <w:r>
        <w:rPr>
          <w:rFonts w:ascii="宋体" w:hAnsi="宋体" w:eastAsia="宋体"/>
          <w:sz w:val="21"/>
        </w:rPr>
      </w:r>
    </w:p>
    <w:p>
      <w:pPr>
        <w:spacing w:line="360" w:lineRule="auto" w:after="80"/>
      </w:pPr>
      <w:r>
        <w:rPr>
          <w:rFonts w:ascii="宋体" w:hAnsi="宋体" w:eastAsia="宋体"/>
          <w:sz w:val="21"/>
        </w:rPr>
        <w:t>令 a=pd(y|x)、b=pm(y|x)，且 a,b≥ε&gt;0；令 go=I(a≥b) 为硬最优门控，pg=ga+(1−g)b。则融合相对选择真实类别概率更大专家的对数后悔由式（18）上界。证明使用 −log 在 [ε,1] 上的 Lipschitz 性质。它说明，门控误差仅在专家对真实类别的证据差距较大时造成较高后悔，因此差距加权具有明确的优化含义。</w:t>
      </w:r>
    </w:p>
    <w:p>
      <w:pPr>
        <w:spacing w:line="360" w:lineRule="auto" w:after="80"/>
      </w:pPr>
      <w:r>
        <w:rPr>
          <w:rFonts w:ascii="黑体" w:hAnsi="黑体" w:eastAsia="黑体"/>
          <w:b/>
          <w:sz w:val="21"/>
        </w:rPr>
        <w:t>命题7（软目标对硬门控的指数逼近）</w:t>
      </w:r>
      <w:r>
        <w:rPr>
          <w:rFonts w:ascii="宋体" w:hAnsi="宋体" w:eastAsia="宋体"/>
          <w:sz w:val="21"/>
        </w:rPr>
      </w:r>
    </w:p>
    <w:p>
      <w:pPr>
        <w:spacing w:line="360" w:lineRule="auto" w:after="80"/>
      </w:pPr>
      <w:r>
        <w:rPr>
          <w:rFonts w:ascii="宋体" w:hAnsi="宋体" w:eastAsia="宋体"/>
          <w:sz w:val="21"/>
        </w:rPr>
        <w:t>对 Δ≠0，软目标 g* 与硬最优门控 go 的距离不超过 exp(−|Δ|/Tr)。因此，当两专家明显分出优劣时，连续目标逼近硬选择；当它们接近时，目标保持不确定性而非制造过强监督。该命题对应软目标、硬目标和无差距加权的受控预实验设计。</w:t>
      </w:r>
    </w:p>
    <w:p>
      <w:pPr>
        <w:spacing w:line="360" w:lineRule="auto" w:after="80"/>
      </w:pPr>
      <w:r>
        <w:rPr>
          <w:rFonts w:ascii="黑体" w:hAnsi="黑体" w:eastAsia="黑体"/>
          <w:b/>
          <w:sz w:val="21"/>
        </w:rPr>
        <w:t>命题8（后悔监督的局部梯度隔离）</w:t>
      </w:r>
      <w:r>
        <w:rPr>
          <w:rFonts w:ascii="宋体" w:hAnsi="宋体" w:eastAsia="宋体"/>
          <w:sz w:val="21"/>
        </w:rPr>
      </w:r>
    </w:p>
    <w:p>
      <w:pPr>
        <w:spacing w:line="360" w:lineRule="auto" w:after="80"/>
      </w:pPr>
      <w:r>
        <w:rPr>
          <w:rFonts w:ascii="宋体" w:hAnsi="宋体" w:eastAsia="宋体"/>
          <w:sz w:val="21"/>
        </w:rPr>
        <w:t>设门控输入 z 包含共享特征、两专家熵与专家分歧。只有对完整输入 z、软目标 g* 和权重 w 同时停止梯度，且门控参数与专家参数不共享时，后悔监督关于共享主干和专家参数的梯度才严格为零，门控自身参数梯度仍可非零。仅停止目标与权重的梯度不足以切断经门控输入反传的路径。实现中的 detach_gate_features=True 切断该路径。结论仅限 Lreg 分支，不中断角色、种类、验证器和对比损失对共享主干的训练。</w:t>
      </w:r>
    </w:p>
    <w:p>
      <w:pPr>
        <w:keepNext/>
        <w:jc w:val="center"/>
      </w:pPr>
      <w:r>
        <w:drawing>
          <wp:inline xmlns:a="http://schemas.openxmlformats.org/drawingml/2006/main" xmlns:pic="http://schemas.openxmlformats.org/drawingml/2006/picture">
            <wp:extent cx="5760000" cy="327914"/>
            <wp:docPr id="37" name="Picture 37"/>
            <wp:cNvGraphicFramePr>
              <a:graphicFrameLocks noChangeAspect="1"/>
            </wp:cNvGraphicFramePr>
            <a:graphic>
              <a:graphicData uri="http://schemas.openxmlformats.org/drawingml/2006/picture">
                <pic:pic>
                  <pic:nvPicPr>
                    <pic:cNvPr id="0" name="rsg_bounds.png"/>
                    <pic:cNvPicPr/>
                  </pic:nvPicPr>
                  <pic:blipFill>
                    <a:blip r:embed="rId48"/>
                    <a:stretch>
                      <a:fillRect/>
                    </a:stretch>
                  </pic:blipFill>
                  <pic:spPr>
                    <a:xfrm>
                      <a:off x="0" y="0"/>
                      <a:ext cx="5760000" cy="327914"/>
                    </a:xfrm>
                    <a:prstGeom prst="rect"/>
                  </pic:spPr>
                </pic:pic>
              </a:graphicData>
            </a:graphic>
          </wp:inline>
        </w:drawing>
      </w:r>
    </w:p>
    <w:p>
      <w:pPr>
        <w:pStyle w:val="af7"/>
        <w:jc w:val="center"/>
      </w:pPr>
      <w:r>
        <w:rPr>
          <w:rFonts w:ascii="宋体" w:hAnsi="宋体" w:eastAsia="宋体"/>
          <w:sz w:val="19"/>
        </w:rPr>
        <w:t>式（18） RSG 的路由后悔上界、软目标逼近与局部梯度隔离</w:t>
      </w:r>
    </w:p>
    <w:p>
      <w:pPr>
        <w:spacing w:line="360" w:lineRule="auto" w:after="80"/>
      </w:pPr>
      <w:r>
        <w:rPr>
          <w:rFonts w:ascii="宋体" w:hAnsi="宋体" w:eastAsia="宋体"/>
          <w:sz w:val="21"/>
        </w:rPr>
        <w:t>命题6至8分别给出门控应优化何种风险、连续目标为何合理以及梯度如何受控；它们不等价于“任何门控网络均会提高总体准确率”。因此，后续实验同时报告常规四分类指标和以真实类别专家后验定义的路由指标，并用成对簇 Bootstrap 区间区分机制证据与总体任务分数。</w:t>
      </w:r>
    </w:p>
    <w:p w14:paraId="498E2798" w14:textId="77777777" w:rsidR="00B8619C" w:rsidRDefault="00000000">
      <w:pPr>
        <w:pStyle w:val="21"/>
        <w:spacing w:line="360" w:lineRule="auto"/>
      </w:pPr>
      <w:r>
        <w:rPr>
          <w:rFonts w:ascii="宋体" w:hAnsi="宋体" w:eastAsia="宋体"/>
          <w:sz w:val="21"/>
        </w:rPr>
        <w:t>4.7 固定映射下的角色可识别性命题</w:t>
      </w:r>
    </w:p>
    <w:p w14:paraId="6D91D9FE" w14:textId="77777777" w:rsidR="00B8619C" w:rsidRDefault="00000000">
      <w:pPr>
        <w:ind w:firstLine="420"/>
        <w:jc w:val="both"/>
      </w:pPr>
      <w:r>
        <w:t>命题</w:t>
      </w:r>
      <w:r>
        <w:t xml:space="preserve"> 1</w:t>
      </w:r>
      <w:r>
        <w:t>：对候选种类集合</w:t>
      </w:r>
      <w:r>
        <w:t xml:space="preserve"> S_i</w:t>
      </w:r>
      <w:r>
        <w:t>，若集合内每一种类经固定映射</w:t>
      </w:r>
      <w:r>
        <w:t xml:space="preserve"> A </w:t>
      </w:r>
      <w:r>
        <w:t>均对应同一角色</w:t>
      </w:r>
      <w:r>
        <w:t xml:space="preserve"> r</w:t>
      </w:r>
      <w:r>
        <w:t>，即对所有</w:t>
      </w:r>
      <w:r>
        <w:t xml:space="preserve"> s∈S_i </w:t>
      </w:r>
      <w:r>
        <w:t>均有</w:t>
      </w:r>
      <w:r>
        <w:t xml:space="preserve"> A e_s=e_r</w:t>
      </w:r>
      <w:r>
        <w:t>，则角色</w:t>
      </w:r>
      <w:r>
        <w:t xml:space="preserve"> r </w:t>
      </w:r>
      <w:r>
        <w:t>在该映射下唯一确定，即使具体种类仍不能唯一确定。</w:t>
      </w:r>
    </w:p>
    <w:p w14:paraId="0F64D512" w14:textId="77777777" w:rsidR="00B8619C" w:rsidRDefault="00000000">
      <w:pPr>
        <w:ind w:firstLine="420"/>
        <w:jc w:val="both"/>
      </w:pPr>
      <w:r>
        <w:t>证明要点：固定映射</w:t>
      </w:r>
      <w:r>
        <w:t xml:space="preserve"> A </w:t>
      </w:r>
      <w:r>
        <w:t>将候选集合中的每个种类独热向量映射为同一角色独热向量，因此种类层歧义在角色层被消去。该命题是当前标签体系下的集合映射性质，不主张一般层级学习的新理论，也不说明模型已经从图像中正确识别了候选种类或角色。</w:t>
      </w:r>
    </w:p>
    <w:p w14:paraId="2A4EC751" w14:textId="77777777" w:rsidR="00B8619C" w:rsidRDefault="00000000">
      <w:pPr>
        <w:pStyle w:val="21"/>
        <w:spacing w:line="360" w:lineRule="auto"/>
      </w:pPr>
      <w:r>
        <w:rPr>
          <w:rFonts w:ascii="宋体" w:hAnsi="宋体" w:eastAsia="宋体"/>
          <w:sz w:val="21"/>
        </w:rPr>
        <w:t>4.8 选择性识别规则</w:t>
      </w:r>
    </w:p>
    <w:p w14:paraId="2B41359C" w14:textId="77777777" w:rsidR="00B8619C" w:rsidRDefault="00000000">
      <w:pPr>
        <w:jc w:val="both"/>
      </w:pPr>
      <w:r>
        <w:t>对角色头输出，以最大</w:t>
      </w:r>
      <w:r>
        <w:t xml:space="preserve"> Softmax </w:t>
      </w:r>
      <w:r>
        <w:t>概率定义描述性置信度：</w:t>
      </w:r>
    </w:p>
    <w:p w14:paraId="7FB26A93" w14:textId="77777777" w:rsidR="00B8619C" w:rsidRDefault="00000000">
      <w:pPr>
        <w:keepNext/>
        <w:jc w:val="center"/>
      </w:pPr>
      <w:r>
        <w:rPr>
          <w:noProof/>
        </w:rPr>
        <w:drawing>
          <wp:inline distT="0" distB="0" distL="0" distR="0" wp14:anchorId="0F81F1FA" wp14:editId="072CD053">
            <wp:extent cx="2520000" cy="427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confidence.png"/>
                    <pic:cNvPicPr/>
                  </pic:nvPicPr>
                  <pic:blipFill>
                    <a:blip r:embed="rId15"/>
                    <a:stretch>
                      <a:fillRect/>
                    </a:stretch>
                  </pic:blipFill>
                  <pic:spPr>
                    <a:xfrm>
                      <a:off x="0" y="0"/>
                      <a:ext cx="2520000" cy="427925"/>
                    </a:xfrm>
                    <a:prstGeom prst="rect">
                      <a:avLst/>
                    </a:prstGeom>
                  </pic:spPr>
                </pic:pic>
              </a:graphicData>
            </a:graphic>
          </wp:inline>
        </w:drawing>
      </w:r>
    </w:p>
    <w:p w14:paraId="7AAF7F7C" w14:textId="77777777" w:rsidR="00B8619C" w:rsidRDefault="00000000">
      <w:pPr>
        <w:pStyle w:val="af7"/>
        <w:keepNext/>
        <w:spacing w:after="100"/>
        <w:jc w:val="center"/>
      </w:pPr>
      <w:r>
        <w:t>式（</w:t>
      </w:r>
      <w:r>
        <w:t>4</w:t>
      </w:r>
      <w:r>
        <w:t>）最大</w:t>
      </w:r>
      <w:r>
        <w:t xml:space="preserve"> Softmax </w:t>
      </w:r>
      <w:r>
        <w:t>置信度</w:t>
      </w:r>
    </w:p>
    <w:p w14:paraId="39BAC271" w14:textId="77777777" w:rsidR="00B8619C" w:rsidRDefault="00000000">
      <w:pPr>
        <w:ind w:firstLine="420"/>
        <w:jc w:val="both"/>
      </w:pPr>
      <w:r>
        <w:t>当</w:t>
      </w:r>
      <w:r>
        <w:t xml:space="preserve"> q(x) </w:t>
      </w:r>
      <w:r>
        <w:t>不低于阈值</w:t>
      </w:r>
      <w:r>
        <w:t xml:space="preserve"> tau </w:t>
      </w:r>
      <w:r>
        <w:t>时保留角色预测，否则标记为</w:t>
      </w:r>
      <w:r>
        <w:t xml:space="preserve"> defer</w:t>
      </w:r>
      <w:r>
        <w:t>。</w:t>
      </w:r>
      <w:r>
        <w:t xml:space="preserve">defer </w:t>
      </w:r>
      <w:r>
        <w:t>仅表示建议后续人工复核或传感确认，不是已验证的工业动作。覆盖率和保留样本错误率定义为：</w:t>
      </w:r>
    </w:p>
    <w:p w14:paraId="4CC22F68" w14:textId="77777777" w:rsidR="00B8619C" w:rsidRDefault="00000000">
      <w:pPr>
        <w:keepNext/>
        <w:jc w:val="center"/>
      </w:pPr>
      <w:r>
        <w:rPr>
          <w:noProof/>
        </w:rPr>
        <w:lastRenderedPageBreak/>
        <w:drawing>
          <wp:inline distT="0" distB="0" distL="0" distR="0" wp14:anchorId="5D40C516" wp14:editId="18D5BB08">
            <wp:extent cx="3960000" cy="5437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coverage.png"/>
                    <pic:cNvPicPr/>
                  </pic:nvPicPr>
                  <pic:blipFill>
                    <a:blip r:embed="rId16"/>
                    <a:stretch>
                      <a:fillRect/>
                    </a:stretch>
                  </pic:blipFill>
                  <pic:spPr>
                    <a:xfrm>
                      <a:off x="0" y="0"/>
                      <a:ext cx="3960000" cy="543701"/>
                    </a:xfrm>
                    <a:prstGeom prst="rect">
                      <a:avLst/>
                    </a:prstGeom>
                  </pic:spPr>
                </pic:pic>
              </a:graphicData>
            </a:graphic>
          </wp:inline>
        </w:drawing>
      </w:r>
    </w:p>
    <w:p w14:paraId="50A19820" w14:textId="77777777" w:rsidR="00B8619C" w:rsidRDefault="00000000">
      <w:pPr>
        <w:pStyle w:val="af7"/>
        <w:keepNext/>
        <w:spacing w:after="100"/>
        <w:jc w:val="center"/>
      </w:pPr>
      <w:r>
        <w:t>式（</w:t>
      </w:r>
      <w:r>
        <w:t>5</w:t>
      </w:r>
      <w:r>
        <w:t>）选择性识别覆盖率</w:t>
      </w:r>
    </w:p>
    <w:p w14:paraId="6255DA51" w14:textId="77777777" w:rsidR="00B8619C" w:rsidRDefault="00000000">
      <w:pPr>
        <w:keepNext/>
        <w:jc w:val="center"/>
      </w:pPr>
      <w:r>
        <w:rPr>
          <w:noProof/>
        </w:rPr>
        <w:drawing>
          <wp:inline distT="0" distB="0" distL="0" distR="0" wp14:anchorId="5A74D3CF" wp14:editId="4EEE84FD">
            <wp:extent cx="4860000" cy="5696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risk.png"/>
                    <pic:cNvPicPr/>
                  </pic:nvPicPr>
                  <pic:blipFill>
                    <a:blip r:embed="rId17"/>
                    <a:stretch>
                      <a:fillRect/>
                    </a:stretch>
                  </pic:blipFill>
                  <pic:spPr>
                    <a:xfrm>
                      <a:off x="0" y="0"/>
                      <a:ext cx="4860000" cy="569670"/>
                    </a:xfrm>
                    <a:prstGeom prst="rect">
                      <a:avLst/>
                    </a:prstGeom>
                  </pic:spPr>
                </pic:pic>
              </a:graphicData>
            </a:graphic>
          </wp:inline>
        </w:drawing>
      </w:r>
    </w:p>
    <w:p w14:paraId="12A53556" w14:textId="77777777" w:rsidR="00B8619C" w:rsidRDefault="00000000">
      <w:pPr>
        <w:pStyle w:val="af7"/>
        <w:keepNext/>
        <w:spacing w:after="100"/>
        <w:jc w:val="center"/>
      </w:pPr>
      <w:r>
        <w:t>式（</w:t>
      </w:r>
      <w:r>
        <w:t>6</w:t>
      </w:r>
      <w:r>
        <w:t>）保留样本错误率</w:t>
      </w:r>
    </w:p>
    <w:p w14:paraId="66FBEAE6" w14:textId="77777777" w:rsidR="00B8619C" w:rsidRDefault="00000000">
      <w:pPr>
        <w:ind w:firstLine="420"/>
        <w:jc w:val="both"/>
      </w:pPr>
      <w:r>
        <w:t>最大</w:t>
      </w:r>
      <w:r>
        <w:t xml:space="preserve"> Softmax </w:t>
      </w:r>
      <w:r>
        <w:t>概率尚未通过温度缩放等方法进行校准，当前阈值也未按预先设定的验证集目标选择。因此，第</w:t>
      </w:r>
      <w:r>
        <w:t xml:space="preserve"> 5.10 </w:t>
      </w:r>
      <w:r>
        <w:t>节只报告固定测试划分上的风险</w:t>
      </w:r>
      <w:r>
        <w:t>—</w:t>
      </w:r>
      <w:r>
        <w:t>覆盖率描述，不把</w:t>
      </w:r>
      <w:r>
        <w:t xml:space="preserve"> 0.90 </w:t>
      </w:r>
      <w:r>
        <w:t>等阈值解释为推荐运行点。</w:t>
      </w:r>
    </w:p>
    <w:p w14:paraId="696F5E68" w14:textId="77777777" w:rsidR="00B8619C" w:rsidRDefault="00000000">
      <w:pPr>
        <w:pStyle w:val="1"/>
      </w:pPr>
      <w:r>
        <w:t xml:space="preserve">5 </w:t>
      </w:r>
      <w:r>
        <w:t>实验结果与讨论</w:t>
      </w:r>
    </w:p>
    <w:p w14:paraId="7085A85A" w14:textId="77777777" w:rsidR="00B8619C" w:rsidRDefault="00000000">
      <w:pPr>
        <w:pStyle w:val="21"/>
      </w:pPr>
      <w:r>
        <w:t xml:space="preserve">5.1 </w:t>
      </w:r>
      <w:r>
        <w:t>总体性能比较</w:t>
      </w:r>
    </w:p>
    <w:tbl>
      <w:tblPr>
        <w:tblStyle w:val="aff1"/>
        <w:tblW w:w="0" w:type="auto"/>
        <w:jc w:val="center"/>
        <w:tblLayout w:type="fixed"/>
        <w:tblLook w:val="04A0" w:firstRow="1" w:lastRow="0" w:firstColumn="1" w:lastColumn="0" w:noHBand="0" w:noVBand="1"/>
      </w:tblPr>
      <w:tblGrid>
        <w:gridCol w:w="2381"/>
        <w:gridCol w:w="1587"/>
        <w:gridCol w:w="1814"/>
        <w:gridCol w:w="1701"/>
        <w:gridCol w:w="1587"/>
      </w:tblGrid>
      <w:tr w:rsidR="00B8619C" w14:paraId="544E7B63" w14:textId="77777777">
        <w:trPr>
          <w:cantSplit/>
          <w:tblHeader/>
          <w:jc w:val="center"/>
        </w:trPr>
        <w:tc>
          <w:tcPr>
            <w:tcW w:w="2381" w:type="dxa"/>
            <w:shd w:val="clear" w:color="auto" w:fill="D9EAF7"/>
            <w:tcMar>
              <w:top w:w="80" w:type="dxa"/>
              <w:left w:w="90" w:type="dxa"/>
              <w:bottom w:w="80" w:type="dxa"/>
              <w:right w:w="90" w:type="dxa"/>
            </w:tcMar>
            <w:vAlign w:val="center"/>
          </w:tcPr>
          <w:p w14:paraId="5298661A" w14:textId="77777777" w:rsidR="00B8619C" w:rsidRDefault="00000000">
            <w:pPr>
              <w:spacing w:after="0" w:line="264" w:lineRule="auto"/>
              <w:jc w:val="center"/>
            </w:pPr>
            <w:r>
              <w:rPr>
                <w:rFonts w:eastAsia="黑体"/>
                <w:b/>
                <w:sz w:val="16"/>
              </w:rPr>
              <w:t>模型</w:t>
            </w:r>
          </w:p>
        </w:tc>
        <w:tc>
          <w:tcPr>
            <w:tcW w:w="1587" w:type="dxa"/>
            <w:shd w:val="clear" w:color="auto" w:fill="D9EAF7"/>
            <w:tcMar>
              <w:top w:w="80" w:type="dxa"/>
              <w:left w:w="90" w:type="dxa"/>
              <w:bottom w:w="80" w:type="dxa"/>
              <w:right w:w="90" w:type="dxa"/>
            </w:tcMar>
            <w:vAlign w:val="center"/>
          </w:tcPr>
          <w:p w14:paraId="3B91D261" w14:textId="77777777" w:rsidR="00B8619C" w:rsidRDefault="00000000">
            <w:pPr>
              <w:spacing w:after="0" w:line="264" w:lineRule="auto"/>
              <w:jc w:val="center"/>
            </w:pPr>
            <w:r>
              <w:rPr>
                <w:rFonts w:eastAsia="黑体"/>
                <w:b/>
                <w:sz w:val="16"/>
              </w:rPr>
              <w:t>Accuracy</w:t>
            </w:r>
            <w:r>
              <w:rPr>
                <w:rFonts w:eastAsia="黑体"/>
                <w:b/>
                <w:sz w:val="16"/>
              </w:rPr>
              <w:t>（</w:t>
            </w:r>
            <w:r>
              <w:rPr>
                <w:rFonts w:eastAsia="黑体"/>
                <w:b/>
                <w:sz w:val="16"/>
              </w:rPr>
              <w:t>%</w:t>
            </w:r>
            <w:r>
              <w:rPr>
                <w:rFonts w:eastAsia="黑体"/>
                <w:b/>
                <w:sz w:val="16"/>
              </w:rPr>
              <w:t>）</w:t>
            </w:r>
          </w:p>
        </w:tc>
        <w:tc>
          <w:tcPr>
            <w:tcW w:w="1814" w:type="dxa"/>
            <w:shd w:val="clear" w:color="auto" w:fill="D9EAF7"/>
            <w:tcMar>
              <w:top w:w="80" w:type="dxa"/>
              <w:left w:w="90" w:type="dxa"/>
              <w:bottom w:w="80" w:type="dxa"/>
              <w:right w:w="90" w:type="dxa"/>
            </w:tcMar>
            <w:vAlign w:val="center"/>
          </w:tcPr>
          <w:p w14:paraId="6440B265" w14:textId="77777777" w:rsidR="00B8619C" w:rsidRDefault="00000000">
            <w:pPr>
              <w:spacing w:after="0" w:line="264" w:lineRule="auto"/>
              <w:jc w:val="center"/>
            </w:pPr>
            <w:r>
              <w:rPr>
                <w:rFonts w:eastAsia="黑体"/>
                <w:b/>
                <w:sz w:val="16"/>
              </w:rPr>
              <w:t>Macro Precision</w:t>
            </w:r>
            <w:r>
              <w:rPr>
                <w:rFonts w:eastAsia="黑体"/>
                <w:b/>
                <w:sz w:val="16"/>
              </w:rPr>
              <w:t>（</w:t>
            </w:r>
            <w:r>
              <w:rPr>
                <w:rFonts w:eastAsia="黑体"/>
                <w:b/>
                <w:sz w:val="16"/>
              </w:rPr>
              <w:t>%</w:t>
            </w:r>
            <w:r>
              <w:rPr>
                <w:rFonts w:eastAsia="黑体"/>
                <w:b/>
                <w:sz w:val="16"/>
              </w:rPr>
              <w:t>）</w:t>
            </w:r>
          </w:p>
        </w:tc>
        <w:tc>
          <w:tcPr>
            <w:tcW w:w="1701" w:type="dxa"/>
            <w:shd w:val="clear" w:color="auto" w:fill="D9EAF7"/>
            <w:tcMar>
              <w:top w:w="80" w:type="dxa"/>
              <w:left w:w="90" w:type="dxa"/>
              <w:bottom w:w="80" w:type="dxa"/>
              <w:right w:w="90" w:type="dxa"/>
            </w:tcMar>
            <w:vAlign w:val="center"/>
          </w:tcPr>
          <w:p w14:paraId="2108C0C2" w14:textId="77777777" w:rsidR="00B8619C" w:rsidRDefault="00000000">
            <w:pPr>
              <w:spacing w:after="0" w:line="264" w:lineRule="auto"/>
              <w:jc w:val="center"/>
            </w:pPr>
            <w:r>
              <w:rPr>
                <w:rFonts w:eastAsia="黑体"/>
                <w:b/>
                <w:sz w:val="16"/>
              </w:rPr>
              <w:t>Macro Recall</w:t>
            </w:r>
            <w:r>
              <w:rPr>
                <w:rFonts w:eastAsia="黑体"/>
                <w:b/>
                <w:sz w:val="16"/>
              </w:rPr>
              <w:t>（</w:t>
            </w:r>
            <w:r>
              <w:rPr>
                <w:rFonts w:eastAsia="黑体"/>
                <w:b/>
                <w:sz w:val="16"/>
              </w:rPr>
              <w:t>%</w:t>
            </w:r>
            <w:r>
              <w:rPr>
                <w:rFonts w:eastAsia="黑体"/>
                <w:b/>
                <w:sz w:val="16"/>
              </w:rPr>
              <w:t>）</w:t>
            </w:r>
          </w:p>
        </w:tc>
        <w:tc>
          <w:tcPr>
            <w:tcW w:w="1587" w:type="dxa"/>
            <w:shd w:val="clear" w:color="auto" w:fill="D9EAF7"/>
            <w:tcMar>
              <w:top w:w="80" w:type="dxa"/>
              <w:left w:w="90" w:type="dxa"/>
              <w:bottom w:w="80" w:type="dxa"/>
              <w:right w:w="90" w:type="dxa"/>
            </w:tcMar>
            <w:vAlign w:val="center"/>
          </w:tcPr>
          <w:p w14:paraId="67D793D0" w14:textId="77777777" w:rsidR="00B8619C" w:rsidRDefault="00000000">
            <w:pPr>
              <w:spacing w:after="0" w:line="264" w:lineRule="auto"/>
              <w:jc w:val="center"/>
            </w:pPr>
            <w:r>
              <w:rPr>
                <w:rFonts w:eastAsia="黑体"/>
                <w:b/>
                <w:sz w:val="16"/>
              </w:rPr>
              <w:t>Macro F1</w:t>
            </w:r>
            <w:r>
              <w:rPr>
                <w:rFonts w:eastAsia="黑体"/>
                <w:b/>
                <w:sz w:val="16"/>
              </w:rPr>
              <w:t>（</w:t>
            </w:r>
            <w:r>
              <w:rPr>
                <w:rFonts w:eastAsia="黑体"/>
                <w:b/>
                <w:sz w:val="16"/>
              </w:rPr>
              <w:t>%</w:t>
            </w:r>
            <w:r>
              <w:rPr>
                <w:rFonts w:eastAsia="黑体"/>
                <w:b/>
                <w:sz w:val="16"/>
              </w:rPr>
              <w:t>）</w:t>
            </w:r>
          </w:p>
        </w:tc>
      </w:tr>
      <w:tr w:rsidR="00B8619C" w14:paraId="2D4878B3" w14:textId="77777777">
        <w:trPr>
          <w:cantSplit/>
          <w:jc w:val="center"/>
        </w:trPr>
        <w:tc>
          <w:tcPr>
            <w:tcW w:w="2381" w:type="dxa"/>
            <w:tcMar>
              <w:top w:w="80" w:type="dxa"/>
              <w:left w:w="90" w:type="dxa"/>
              <w:bottom w:w="80" w:type="dxa"/>
              <w:right w:w="90" w:type="dxa"/>
            </w:tcMar>
            <w:vAlign w:val="center"/>
          </w:tcPr>
          <w:p w14:paraId="61E06339" w14:textId="77777777" w:rsidR="00B8619C" w:rsidRDefault="00000000">
            <w:pPr>
              <w:spacing w:after="0" w:line="264" w:lineRule="auto"/>
            </w:pPr>
            <w:r>
              <w:rPr>
                <w:sz w:val="16"/>
              </w:rPr>
              <w:t>ResNet50</w:t>
            </w:r>
          </w:p>
        </w:tc>
        <w:tc>
          <w:tcPr>
            <w:tcW w:w="1587" w:type="dxa"/>
            <w:tcMar>
              <w:top w:w="80" w:type="dxa"/>
              <w:left w:w="90" w:type="dxa"/>
              <w:bottom w:w="80" w:type="dxa"/>
              <w:right w:w="90" w:type="dxa"/>
            </w:tcMar>
            <w:vAlign w:val="center"/>
          </w:tcPr>
          <w:p w14:paraId="784B6EE0" w14:textId="77777777" w:rsidR="00B8619C" w:rsidRDefault="00000000">
            <w:pPr>
              <w:spacing w:after="0" w:line="264" w:lineRule="auto"/>
            </w:pPr>
            <w:r>
              <w:rPr>
                <w:sz w:val="16"/>
              </w:rPr>
              <w:t>74.84 ± 1.56</w:t>
            </w:r>
          </w:p>
        </w:tc>
        <w:tc>
          <w:tcPr>
            <w:tcW w:w="1814" w:type="dxa"/>
            <w:tcMar>
              <w:top w:w="80" w:type="dxa"/>
              <w:left w:w="90" w:type="dxa"/>
              <w:bottom w:w="80" w:type="dxa"/>
              <w:right w:w="90" w:type="dxa"/>
            </w:tcMar>
            <w:vAlign w:val="center"/>
          </w:tcPr>
          <w:p w14:paraId="00E97A2B" w14:textId="77777777" w:rsidR="00B8619C" w:rsidRDefault="00000000">
            <w:pPr>
              <w:spacing w:after="0" w:line="264" w:lineRule="auto"/>
            </w:pPr>
            <w:r>
              <w:rPr>
                <w:sz w:val="16"/>
              </w:rPr>
              <w:t>73.32 ± 1.87</w:t>
            </w:r>
          </w:p>
        </w:tc>
        <w:tc>
          <w:tcPr>
            <w:tcW w:w="1701" w:type="dxa"/>
            <w:tcMar>
              <w:top w:w="80" w:type="dxa"/>
              <w:left w:w="90" w:type="dxa"/>
              <w:bottom w:w="80" w:type="dxa"/>
              <w:right w:w="90" w:type="dxa"/>
            </w:tcMar>
            <w:vAlign w:val="center"/>
          </w:tcPr>
          <w:p w14:paraId="18008197" w14:textId="77777777" w:rsidR="00B8619C" w:rsidRDefault="00000000">
            <w:pPr>
              <w:spacing w:after="0" w:line="264" w:lineRule="auto"/>
            </w:pPr>
            <w:r>
              <w:rPr>
                <w:sz w:val="16"/>
              </w:rPr>
              <w:t>71.63 ± 0.78</w:t>
            </w:r>
          </w:p>
        </w:tc>
        <w:tc>
          <w:tcPr>
            <w:tcW w:w="1587" w:type="dxa"/>
            <w:tcMar>
              <w:top w:w="80" w:type="dxa"/>
              <w:left w:w="90" w:type="dxa"/>
              <w:bottom w:w="80" w:type="dxa"/>
              <w:right w:w="90" w:type="dxa"/>
            </w:tcMar>
            <w:vAlign w:val="center"/>
          </w:tcPr>
          <w:p w14:paraId="667839A6" w14:textId="77777777" w:rsidR="00B8619C" w:rsidRDefault="00000000">
            <w:pPr>
              <w:spacing w:after="0" w:line="264" w:lineRule="auto"/>
            </w:pPr>
            <w:r>
              <w:rPr>
                <w:sz w:val="16"/>
              </w:rPr>
              <w:t>72.06 ± 0.92</w:t>
            </w:r>
          </w:p>
        </w:tc>
      </w:tr>
      <w:tr w:rsidR="00B8619C" w14:paraId="7A029BC9" w14:textId="77777777">
        <w:trPr>
          <w:cantSplit/>
          <w:jc w:val="center"/>
        </w:trPr>
        <w:tc>
          <w:tcPr>
            <w:tcW w:w="2381" w:type="dxa"/>
            <w:tcMar>
              <w:top w:w="80" w:type="dxa"/>
              <w:left w:w="90" w:type="dxa"/>
              <w:bottom w:w="80" w:type="dxa"/>
              <w:right w:w="90" w:type="dxa"/>
            </w:tcMar>
            <w:vAlign w:val="center"/>
          </w:tcPr>
          <w:p w14:paraId="504B2FA9" w14:textId="77777777" w:rsidR="00B8619C" w:rsidRDefault="00000000">
            <w:pPr>
              <w:spacing w:after="0" w:line="264" w:lineRule="auto"/>
            </w:pPr>
            <w:r>
              <w:rPr>
                <w:sz w:val="16"/>
              </w:rPr>
              <w:t>EfficientNet-B0</w:t>
            </w:r>
          </w:p>
        </w:tc>
        <w:tc>
          <w:tcPr>
            <w:tcW w:w="1587" w:type="dxa"/>
            <w:tcMar>
              <w:top w:w="80" w:type="dxa"/>
              <w:left w:w="90" w:type="dxa"/>
              <w:bottom w:w="80" w:type="dxa"/>
              <w:right w:w="90" w:type="dxa"/>
            </w:tcMar>
            <w:vAlign w:val="center"/>
          </w:tcPr>
          <w:p w14:paraId="6F704EEB" w14:textId="77777777" w:rsidR="00B8619C" w:rsidRDefault="00000000">
            <w:pPr>
              <w:spacing w:after="0" w:line="264" w:lineRule="auto"/>
            </w:pPr>
            <w:r>
              <w:rPr>
                <w:sz w:val="16"/>
              </w:rPr>
              <w:t>74.69 ± 1.28</w:t>
            </w:r>
          </w:p>
        </w:tc>
        <w:tc>
          <w:tcPr>
            <w:tcW w:w="1814" w:type="dxa"/>
            <w:tcMar>
              <w:top w:w="80" w:type="dxa"/>
              <w:left w:w="90" w:type="dxa"/>
              <w:bottom w:w="80" w:type="dxa"/>
              <w:right w:w="90" w:type="dxa"/>
            </w:tcMar>
            <w:vAlign w:val="center"/>
          </w:tcPr>
          <w:p w14:paraId="4290761F" w14:textId="77777777" w:rsidR="00B8619C" w:rsidRDefault="00000000">
            <w:pPr>
              <w:spacing w:after="0" w:line="264" w:lineRule="auto"/>
            </w:pPr>
            <w:r>
              <w:rPr>
                <w:sz w:val="16"/>
              </w:rPr>
              <w:t>72.71 ± 1.28</w:t>
            </w:r>
          </w:p>
        </w:tc>
        <w:tc>
          <w:tcPr>
            <w:tcW w:w="1701" w:type="dxa"/>
            <w:tcMar>
              <w:top w:w="80" w:type="dxa"/>
              <w:left w:w="90" w:type="dxa"/>
              <w:bottom w:w="80" w:type="dxa"/>
              <w:right w:w="90" w:type="dxa"/>
            </w:tcMar>
            <w:vAlign w:val="center"/>
          </w:tcPr>
          <w:p w14:paraId="3B105AB4" w14:textId="77777777" w:rsidR="00B8619C" w:rsidRDefault="00000000">
            <w:pPr>
              <w:spacing w:after="0" w:line="264" w:lineRule="auto"/>
            </w:pPr>
            <w:r>
              <w:rPr>
                <w:sz w:val="16"/>
              </w:rPr>
              <w:t>73.17 ± 1.12</w:t>
            </w:r>
          </w:p>
        </w:tc>
        <w:tc>
          <w:tcPr>
            <w:tcW w:w="1587" w:type="dxa"/>
            <w:tcMar>
              <w:top w:w="80" w:type="dxa"/>
              <w:left w:w="90" w:type="dxa"/>
              <w:bottom w:w="80" w:type="dxa"/>
              <w:right w:w="90" w:type="dxa"/>
            </w:tcMar>
            <w:vAlign w:val="center"/>
          </w:tcPr>
          <w:p w14:paraId="7D748441" w14:textId="77777777" w:rsidR="00B8619C" w:rsidRDefault="00000000">
            <w:pPr>
              <w:spacing w:after="0" w:line="264" w:lineRule="auto"/>
            </w:pPr>
            <w:r>
              <w:rPr>
                <w:sz w:val="16"/>
              </w:rPr>
              <w:t>72.87 ± 1.21</w:t>
            </w:r>
          </w:p>
        </w:tc>
      </w:tr>
      <w:tr w:rsidR="00B8619C" w14:paraId="2957A286" w14:textId="77777777">
        <w:trPr>
          <w:cantSplit/>
          <w:jc w:val="center"/>
        </w:trPr>
        <w:tc>
          <w:tcPr>
            <w:tcW w:w="2381" w:type="dxa"/>
            <w:tcMar>
              <w:top w:w="80" w:type="dxa"/>
              <w:left w:w="90" w:type="dxa"/>
              <w:bottom w:w="80" w:type="dxa"/>
              <w:right w:w="90" w:type="dxa"/>
            </w:tcMar>
            <w:vAlign w:val="center"/>
          </w:tcPr>
          <w:p w14:paraId="511F56B2" w14:textId="77777777" w:rsidR="00B8619C" w:rsidRDefault="00000000">
            <w:pPr>
              <w:spacing w:after="0" w:line="264" w:lineRule="auto"/>
            </w:pPr>
            <w:r>
              <w:rPr>
                <w:sz w:val="16"/>
              </w:rPr>
              <w:t>角色感知</w:t>
            </w:r>
            <w:r>
              <w:rPr>
                <w:sz w:val="16"/>
              </w:rPr>
              <w:t xml:space="preserve"> EfficientNet-B0</w:t>
            </w:r>
          </w:p>
        </w:tc>
        <w:tc>
          <w:tcPr>
            <w:tcW w:w="1587" w:type="dxa"/>
            <w:tcMar>
              <w:top w:w="80" w:type="dxa"/>
              <w:left w:w="90" w:type="dxa"/>
              <w:bottom w:w="80" w:type="dxa"/>
              <w:right w:w="90" w:type="dxa"/>
            </w:tcMar>
            <w:vAlign w:val="center"/>
          </w:tcPr>
          <w:p w14:paraId="3A4DBB10" w14:textId="77777777" w:rsidR="00B8619C" w:rsidRDefault="00000000">
            <w:pPr>
              <w:spacing w:after="0" w:line="264" w:lineRule="auto"/>
            </w:pPr>
            <w:r>
              <w:rPr>
                <w:sz w:val="16"/>
              </w:rPr>
              <w:t>74.79 ± 0.84</w:t>
            </w:r>
          </w:p>
        </w:tc>
        <w:tc>
          <w:tcPr>
            <w:tcW w:w="1814" w:type="dxa"/>
            <w:tcMar>
              <w:top w:w="80" w:type="dxa"/>
              <w:left w:w="90" w:type="dxa"/>
              <w:bottom w:w="80" w:type="dxa"/>
              <w:right w:w="90" w:type="dxa"/>
            </w:tcMar>
            <w:vAlign w:val="center"/>
          </w:tcPr>
          <w:p w14:paraId="530E2AD4" w14:textId="77777777" w:rsidR="00B8619C" w:rsidRDefault="00000000">
            <w:pPr>
              <w:spacing w:after="0" w:line="264" w:lineRule="auto"/>
            </w:pPr>
            <w:r>
              <w:rPr>
                <w:sz w:val="16"/>
              </w:rPr>
              <w:t>73.28 ± 1.18</w:t>
            </w:r>
          </w:p>
        </w:tc>
        <w:tc>
          <w:tcPr>
            <w:tcW w:w="1701" w:type="dxa"/>
            <w:tcMar>
              <w:top w:w="80" w:type="dxa"/>
              <w:left w:w="90" w:type="dxa"/>
              <w:bottom w:w="80" w:type="dxa"/>
              <w:right w:w="90" w:type="dxa"/>
            </w:tcMar>
            <w:vAlign w:val="center"/>
          </w:tcPr>
          <w:p w14:paraId="618DF4EF" w14:textId="77777777" w:rsidR="00B8619C" w:rsidRDefault="00000000">
            <w:pPr>
              <w:spacing w:after="0" w:line="264" w:lineRule="auto"/>
            </w:pPr>
            <w:r>
              <w:rPr>
                <w:sz w:val="16"/>
              </w:rPr>
              <w:t>72.87 ± 1.00</w:t>
            </w:r>
          </w:p>
        </w:tc>
        <w:tc>
          <w:tcPr>
            <w:tcW w:w="1587" w:type="dxa"/>
            <w:tcMar>
              <w:top w:w="80" w:type="dxa"/>
              <w:left w:w="90" w:type="dxa"/>
              <w:bottom w:w="80" w:type="dxa"/>
              <w:right w:w="90" w:type="dxa"/>
            </w:tcMar>
            <w:vAlign w:val="center"/>
          </w:tcPr>
          <w:p w14:paraId="1DFA6093" w14:textId="77777777" w:rsidR="00B8619C" w:rsidRDefault="00000000">
            <w:pPr>
              <w:spacing w:after="0" w:line="264" w:lineRule="auto"/>
            </w:pPr>
            <w:r>
              <w:rPr>
                <w:sz w:val="16"/>
              </w:rPr>
              <w:t>73.02 ± 1.09</w:t>
            </w:r>
          </w:p>
        </w:tc>
      </w:tr>
      <w:tr w:rsidR="00B8619C" w14:paraId="306187F9" w14:textId="77777777">
        <w:trPr>
          <w:cantSplit/>
          <w:jc w:val="center"/>
        </w:trPr>
        <w:tc>
          <w:tcPr>
            <w:tcW w:w="2381" w:type="dxa"/>
            <w:tcMar>
              <w:top w:w="80" w:type="dxa"/>
              <w:left w:w="90" w:type="dxa"/>
              <w:bottom w:w="80" w:type="dxa"/>
              <w:right w:w="90" w:type="dxa"/>
            </w:tcMar>
            <w:vAlign w:val="center"/>
          </w:tcPr>
          <w:p w14:paraId="2202AE39" w14:textId="77777777" w:rsidR="00B8619C" w:rsidRDefault="00000000">
            <w:pPr>
              <w:spacing w:after="0" w:line="264" w:lineRule="auto"/>
            </w:pPr>
            <w:r>
              <w:rPr>
                <w:sz w:val="16"/>
              </w:rPr>
              <w:t>分层一致性</w:t>
            </w:r>
            <w:r>
              <w:rPr>
                <w:sz w:val="16"/>
              </w:rPr>
              <w:t xml:space="preserve"> EfficientNet-B0</w:t>
            </w:r>
          </w:p>
        </w:tc>
        <w:tc>
          <w:tcPr>
            <w:tcW w:w="1587" w:type="dxa"/>
            <w:tcMar>
              <w:top w:w="80" w:type="dxa"/>
              <w:left w:w="90" w:type="dxa"/>
              <w:bottom w:w="80" w:type="dxa"/>
              <w:right w:w="90" w:type="dxa"/>
            </w:tcMar>
            <w:vAlign w:val="center"/>
          </w:tcPr>
          <w:p w14:paraId="5BE27561" w14:textId="77777777" w:rsidR="00B8619C" w:rsidRDefault="00000000">
            <w:pPr>
              <w:spacing w:after="0" w:line="264" w:lineRule="auto"/>
            </w:pPr>
            <w:r>
              <w:rPr>
                <w:sz w:val="16"/>
              </w:rPr>
              <w:t>75.42 ± 2.59</w:t>
            </w:r>
          </w:p>
        </w:tc>
        <w:tc>
          <w:tcPr>
            <w:tcW w:w="1814" w:type="dxa"/>
            <w:tcMar>
              <w:top w:w="80" w:type="dxa"/>
              <w:left w:w="90" w:type="dxa"/>
              <w:bottom w:w="80" w:type="dxa"/>
              <w:right w:w="90" w:type="dxa"/>
            </w:tcMar>
            <w:vAlign w:val="center"/>
          </w:tcPr>
          <w:p w14:paraId="19BDFEAE" w14:textId="77777777" w:rsidR="00B8619C" w:rsidRDefault="00000000">
            <w:pPr>
              <w:spacing w:after="0" w:line="264" w:lineRule="auto"/>
            </w:pPr>
            <w:r>
              <w:rPr>
                <w:sz w:val="16"/>
              </w:rPr>
              <w:t>73.71 ± 2.85</w:t>
            </w:r>
          </w:p>
        </w:tc>
        <w:tc>
          <w:tcPr>
            <w:tcW w:w="1701" w:type="dxa"/>
            <w:tcMar>
              <w:top w:w="80" w:type="dxa"/>
              <w:left w:w="90" w:type="dxa"/>
              <w:bottom w:w="80" w:type="dxa"/>
              <w:right w:w="90" w:type="dxa"/>
            </w:tcMar>
            <w:vAlign w:val="center"/>
          </w:tcPr>
          <w:p w14:paraId="28E01707" w14:textId="77777777" w:rsidR="00B8619C" w:rsidRDefault="00000000">
            <w:pPr>
              <w:spacing w:after="0" w:line="264" w:lineRule="auto"/>
            </w:pPr>
            <w:r>
              <w:rPr>
                <w:sz w:val="16"/>
              </w:rPr>
              <w:t>73.61 ± 1.78</w:t>
            </w:r>
          </w:p>
        </w:tc>
        <w:tc>
          <w:tcPr>
            <w:tcW w:w="1587" w:type="dxa"/>
            <w:tcMar>
              <w:top w:w="80" w:type="dxa"/>
              <w:left w:w="90" w:type="dxa"/>
              <w:bottom w:w="80" w:type="dxa"/>
              <w:right w:w="90" w:type="dxa"/>
            </w:tcMar>
            <w:vAlign w:val="center"/>
          </w:tcPr>
          <w:p w14:paraId="37E03BC3" w14:textId="77777777" w:rsidR="00B8619C" w:rsidRDefault="00000000">
            <w:pPr>
              <w:spacing w:after="0" w:line="264" w:lineRule="auto"/>
            </w:pPr>
            <w:r>
              <w:rPr>
                <w:sz w:val="16"/>
              </w:rPr>
              <w:t>73.41 ± 2.40</w:t>
            </w:r>
          </w:p>
        </w:tc>
      </w:tr>
    </w:tbl>
    <w:p w14:paraId="28AA3705" w14:textId="77777777" w:rsidR="00B8619C" w:rsidRDefault="00000000">
      <w:pPr>
        <w:pStyle w:val="af7"/>
        <w:keepNext/>
        <w:spacing w:after="100"/>
        <w:jc w:val="center"/>
      </w:pPr>
      <w:r>
        <w:t>表</w:t>
      </w:r>
      <w:r>
        <w:t xml:space="preserve"> 10 </w:t>
      </w:r>
      <w:r>
        <w:t>四种模型的三随机种子总体性能</w:t>
      </w:r>
    </w:p>
    <w:p w14:paraId="250D934F" w14:textId="77777777" w:rsidR="00B8619C" w:rsidRDefault="00000000">
      <w:pPr>
        <w:ind w:firstLine="420"/>
        <w:jc w:val="both"/>
      </w:pPr>
      <w:r>
        <w:t xml:space="preserve">EfficientNet-B0 </w:t>
      </w:r>
      <w:r>
        <w:t>的平均</w:t>
      </w:r>
      <w:r>
        <w:t xml:space="preserve"> Macro F1 </w:t>
      </w:r>
      <w:r>
        <w:t>比</w:t>
      </w:r>
      <w:r>
        <w:t xml:space="preserve"> ResNet50 </w:t>
      </w:r>
      <w:r>
        <w:t>高</w:t>
      </w:r>
      <w:r>
        <w:t xml:space="preserve"> 0.67 </w:t>
      </w:r>
      <w:r>
        <w:t>个百分点，平均</w:t>
      </w:r>
      <w:r>
        <w:t xml:space="preserve"> Accuracy </w:t>
      </w:r>
      <w:r>
        <w:t>基本相当。角色感知模型较普通</w:t>
      </w:r>
      <w:r>
        <w:t xml:space="preserve"> EfficientNet-B0 </w:t>
      </w:r>
      <w:r>
        <w:t>提高</w:t>
      </w:r>
      <w:r>
        <w:t xml:space="preserve"> 0.15 </w:t>
      </w:r>
      <w:r>
        <w:t>个百分点；分层模型提高</w:t>
      </w:r>
      <w:r>
        <w:t xml:space="preserve"> 0.54 </w:t>
      </w:r>
      <w:r>
        <w:t>个百分点，但其</w:t>
      </w:r>
      <w:r>
        <w:t xml:space="preserve"> Macro F1 </w:t>
      </w:r>
      <w:r>
        <w:t>标准差达到</w:t>
      </w:r>
      <w:r>
        <w:t xml:space="preserve"> 2.40 </w:t>
      </w:r>
      <w:r>
        <w:t>个百分点。两种改进的均值差均小于或接近种子间波动，因此不能表述为总体性能稳定提升。</w:t>
      </w:r>
    </w:p>
    <w:p w14:paraId="14D90509" w14:textId="77777777" w:rsidR="00B8619C" w:rsidRDefault="00000000">
      <w:pPr>
        <w:keepNext/>
        <w:jc w:val="center"/>
      </w:pPr>
      <w:r>
        <w:rPr>
          <w:noProof/>
        </w:rPr>
        <w:lastRenderedPageBreak/>
        <w:drawing>
          <wp:inline distT="0" distB="0" distL="0" distR="0" wp14:anchorId="2F70C11E" wp14:editId="13AD6242">
            <wp:extent cx="5580000" cy="20698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5580000" cy="2069805"/>
                    </a:xfrm>
                    <a:prstGeom prst="rect">
                      <a:avLst/>
                    </a:prstGeom>
                  </pic:spPr>
                </pic:pic>
              </a:graphicData>
            </a:graphic>
          </wp:inline>
        </w:drawing>
      </w:r>
    </w:p>
    <w:p w14:paraId="64A2DABF" w14:textId="77777777" w:rsidR="00B8619C" w:rsidRDefault="00000000">
      <w:pPr>
        <w:pStyle w:val="af7"/>
        <w:keepNext/>
        <w:spacing w:after="100" w:line="360" w:lineRule="auto"/>
        <w:jc w:val="center"/>
      </w:pPr>
      <w:r>
        <w:rPr>
          <w:rFonts w:ascii="宋体" w:hAnsi="宋体" w:eastAsia="宋体"/>
          <w:sz w:val="21"/>
        </w:rPr>
        <w:t>图 6 四种模型的总体性能对比（均值±样本标准差，n=3）</w:t>
      </w:r>
    </w:p>
    <w:p w14:paraId="56AEBF3B" w14:textId="77777777" w:rsidR="00B8619C" w:rsidRDefault="00000000">
      <w:pPr>
        <w:pStyle w:val="21"/>
      </w:pPr>
      <w:r>
        <w:t xml:space="preserve">5.2 </w:t>
      </w:r>
      <w:r>
        <w:t>各类别召回率分析</w:t>
      </w:r>
    </w:p>
    <w:tbl>
      <w:tblPr>
        <w:tblStyle w:val="aff1"/>
        <w:tblW w:w="0" w:type="auto"/>
        <w:jc w:val="center"/>
        <w:tblLayout w:type="fixed"/>
        <w:tblLook w:val="04A0" w:firstRow="1" w:lastRow="0" w:firstColumn="1" w:lastColumn="0" w:noHBand="0" w:noVBand="1"/>
      </w:tblPr>
      <w:tblGrid>
        <w:gridCol w:w="2381"/>
        <w:gridCol w:w="1587"/>
        <w:gridCol w:w="1701"/>
        <w:gridCol w:w="1701"/>
        <w:gridCol w:w="1701"/>
      </w:tblGrid>
      <w:tr w:rsidR="00B8619C" w14:paraId="19C74A27" w14:textId="77777777">
        <w:trPr>
          <w:cantSplit/>
          <w:tblHeader/>
          <w:jc w:val="center"/>
        </w:trPr>
        <w:tc>
          <w:tcPr>
            <w:tcW w:w="2381" w:type="dxa"/>
            <w:shd w:val="clear" w:color="auto" w:fill="D9EAF7"/>
            <w:tcMar>
              <w:top w:w="80" w:type="dxa"/>
              <w:left w:w="90" w:type="dxa"/>
              <w:bottom w:w="80" w:type="dxa"/>
              <w:right w:w="90" w:type="dxa"/>
            </w:tcMar>
            <w:vAlign w:val="center"/>
          </w:tcPr>
          <w:p w14:paraId="08EB1F37" w14:textId="77777777" w:rsidR="00B8619C" w:rsidRDefault="00000000">
            <w:pPr>
              <w:spacing w:after="0" w:line="264" w:lineRule="auto"/>
              <w:jc w:val="center"/>
            </w:pPr>
            <w:r>
              <w:rPr>
                <w:rFonts w:eastAsia="黑体"/>
                <w:b/>
                <w:sz w:val="16"/>
              </w:rPr>
              <w:t>模型</w:t>
            </w:r>
          </w:p>
        </w:tc>
        <w:tc>
          <w:tcPr>
            <w:tcW w:w="1587" w:type="dxa"/>
            <w:shd w:val="clear" w:color="auto" w:fill="D9EAF7"/>
            <w:tcMar>
              <w:top w:w="80" w:type="dxa"/>
              <w:left w:w="90" w:type="dxa"/>
              <w:bottom w:w="80" w:type="dxa"/>
              <w:right w:w="90" w:type="dxa"/>
            </w:tcMar>
            <w:vAlign w:val="center"/>
          </w:tcPr>
          <w:p w14:paraId="3F194038" w14:textId="77777777" w:rsidR="00B8619C" w:rsidRDefault="00000000">
            <w:pPr>
              <w:spacing w:after="0" w:line="264" w:lineRule="auto"/>
              <w:jc w:val="center"/>
            </w:pPr>
            <w:r>
              <w:rPr>
                <w:rFonts w:eastAsia="黑体"/>
                <w:b/>
                <w:sz w:val="16"/>
              </w:rPr>
              <w:t>目标矿物</w:t>
            </w:r>
          </w:p>
        </w:tc>
        <w:tc>
          <w:tcPr>
            <w:tcW w:w="1701" w:type="dxa"/>
            <w:shd w:val="clear" w:color="auto" w:fill="D9EAF7"/>
            <w:tcMar>
              <w:top w:w="80" w:type="dxa"/>
              <w:left w:w="90" w:type="dxa"/>
              <w:bottom w:w="80" w:type="dxa"/>
              <w:right w:w="90" w:type="dxa"/>
            </w:tcMar>
            <w:vAlign w:val="center"/>
          </w:tcPr>
          <w:p w14:paraId="46C189DF" w14:textId="77777777" w:rsidR="00B8619C" w:rsidRDefault="00000000">
            <w:pPr>
              <w:spacing w:after="0" w:line="264" w:lineRule="auto"/>
              <w:jc w:val="center"/>
            </w:pPr>
            <w:r>
              <w:rPr>
                <w:rFonts w:eastAsia="黑体"/>
                <w:b/>
                <w:sz w:val="16"/>
              </w:rPr>
              <w:t>含钛干扰</w:t>
            </w:r>
          </w:p>
        </w:tc>
        <w:tc>
          <w:tcPr>
            <w:tcW w:w="1701" w:type="dxa"/>
            <w:shd w:val="clear" w:color="auto" w:fill="D9EAF7"/>
            <w:tcMar>
              <w:top w:w="80" w:type="dxa"/>
              <w:left w:w="90" w:type="dxa"/>
              <w:bottom w:w="80" w:type="dxa"/>
              <w:right w:w="90" w:type="dxa"/>
            </w:tcMar>
            <w:vAlign w:val="center"/>
          </w:tcPr>
          <w:p w14:paraId="09D30E93" w14:textId="77777777" w:rsidR="00B8619C" w:rsidRDefault="00000000">
            <w:pPr>
              <w:spacing w:after="0" w:line="264" w:lineRule="auto"/>
              <w:jc w:val="center"/>
            </w:pPr>
            <w:r>
              <w:rPr>
                <w:rFonts w:eastAsia="黑体"/>
                <w:b/>
                <w:sz w:val="16"/>
              </w:rPr>
              <w:t>脉石</w:t>
            </w:r>
            <w:r>
              <w:rPr>
                <w:rFonts w:eastAsia="黑体"/>
                <w:b/>
                <w:sz w:val="16"/>
              </w:rPr>
              <w:t>/</w:t>
            </w:r>
            <w:r>
              <w:rPr>
                <w:rFonts w:eastAsia="黑体"/>
                <w:b/>
                <w:sz w:val="16"/>
              </w:rPr>
              <w:t>废石</w:t>
            </w:r>
          </w:p>
        </w:tc>
        <w:tc>
          <w:tcPr>
            <w:tcW w:w="1701" w:type="dxa"/>
            <w:shd w:val="clear" w:color="auto" w:fill="D9EAF7"/>
            <w:tcMar>
              <w:top w:w="80" w:type="dxa"/>
              <w:left w:w="90" w:type="dxa"/>
              <w:bottom w:w="80" w:type="dxa"/>
              <w:right w:w="90" w:type="dxa"/>
            </w:tcMar>
            <w:vAlign w:val="center"/>
          </w:tcPr>
          <w:p w14:paraId="00E2D9B9" w14:textId="77777777" w:rsidR="00B8619C" w:rsidRDefault="00000000">
            <w:pPr>
              <w:spacing w:after="0" w:line="264" w:lineRule="auto"/>
              <w:jc w:val="center"/>
            </w:pPr>
            <w:r>
              <w:rPr>
                <w:rFonts w:eastAsia="黑体"/>
                <w:b/>
                <w:sz w:val="16"/>
              </w:rPr>
              <w:t>金属光泽干扰</w:t>
            </w:r>
          </w:p>
        </w:tc>
      </w:tr>
      <w:tr w:rsidR="00B8619C" w14:paraId="2E4ECBE0" w14:textId="77777777">
        <w:trPr>
          <w:cantSplit/>
          <w:jc w:val="center"/>
        </w:trPr>
        <w:tc>
          <w:tcPr>
            <w:tcW w:w="2381" w:type="dxa"/>
            <w:tcMar>
              <w:top w:w="80" w:type="dxa"/>
              <w:left w:w="90" w:type="dxa"/>
              <w:bottom w:w="80" w:type="dxa"/>
              <w:right w:w="90" w:type="dxa"/>
            </w:tcMar>
            <w:vAlign w:val="center"/>
          </w:tcPr>
          <w:p w14:paraId="0D7479A3" w14:textId="77777777" w:rsidR="00B8619C" w:rsidRDefault="00000000">
            <w:pPr>
              <w:spacing w:after="0" w:line="264" w:lineRule="auto"/>
            </w:pPr>
            <w:r>
              <w:rPr>
                <w:sz w:val="16"/>
              </w:rPr>
              <w:t>ResNet50</w:t>
            </w:r>
          </w:p>
        </w:tc>
        <w:tc>
          <w:tcPr>
            <w:tcW w:w="1587" w:type="dxa"/>
            <w:tcMar>
              <w:top w:w="80" w:type="dxa"/>
              <w:left w:w="90" w:type="dxa"/>
              <w:bottom w:w="80" w:type="dxa"/>
              <w:right w:w="90" w:type="dxa"/>
            </w:tcMar>
            <w:vAlign w:val="center"/>
          </w:tcPr>
          <w:p w14:paraId="486B1B6C" w14:textId="77777777" w:rsidR="00B8619C" w:rsidRDefault="00000000">
            <w:pPr>
              <w:spacing w:after="0" w:line="264" w:lineRule="auto"/>
            </w:pPr>
            <w:r>
              <w:rPr>
                <w:sz w:val="16"/>
              </w:rPr>
              <w:t>71.58 ± 5.18</w:t>
            </w:r>
          </w:p>
        </w:tc>
        <w:tc>
          <w:tcPr>
            <w:tcW w:w="1701" w:type="dxa"/>
            <w:tcMar>
              <w:top w:w="80" w:type="dxa"/>
              <w:left w:w="90" w:type="dxa"/>
              <w:bottom w:w="80" w:type="dxa"/>
              <w:right w:w="90" w:type="dxa"/>
            </w:tcMar>
            <w:vAlign w:val="center"/>
          </w:tcPr>
          <w:p w14:paraId="5007DF14" w14:textId="77777777" w:rsidR="00B8619C" w:rsidRDefault="00000000">
            <w:pPr>
              <w:spacing w:after="0" w:line="264" w:lineRule="auto"/>
            </w:pPr>
            <w:r>
              <w:rPr>
                <w:sz w:val="16"/>
              </w:rPr>
              <w:t>77.53 ± 8.32</w:t>
            </w:r>
          </w:p>
        </w:tc>
        <w:tc>
          <w:tcPr>
            <w:tcW w:w="1701" w:type="dxa"/>
            <w:tcMar>
              <w:top w:w="80" w:type="dxa"/>
              <w:left w:w="90" w:type="dxa"/>
              <w:bottom w:w="80" w:type="dxa"/>
              <w:right w:w="90" w:type="dxa"/>
            </w:tcMar>
            <w:vAlign w:val="center"/>
          </w:tcPr>
          <w:p w14:paraId="5905E685" w14:textId="77777777" w:rsidR="00B8619C" w:rsidRDefault="00000000">
            <w:pPr>
              <w:spacing w:after="0" w:line="264" w:lineRule="auto"/>
            </w:pPr>
            <w:r>
              <w:rPr>
                <w:sz w:val="16"/>
              </w:rPr>
              <w:t>83.61 ± 0.82</w:t>
            </w:r>
          </w:p>
        </w:tc>
        <w:tc>
          <w:tcPr>
            <w:tcW w:w="1701" w:type="dxa"/>
            <w:tcMar>
              <w:top w:w="80" w:type="dxa"/>
              <w:left w:w="90" w:type="dxa"/>
              <w:bottom w:w="80" w:type="dxa"/>
              <w:right w:w="90" w:type="dxa"/>
            </w:tcMar>
            <w:vAlign w:val="center"/>
          </w:tcPr>
          <w:p w14:paraId="52695781" w14:textId="77777777" w:rsidR="00B8619C" w:rsidRDefault="00000000">
            <w:pPr>
              <w:spacing w:after="0" w:line="264" w:lineRule="auto"/>
            </w:pPr>
            <w:r>
              <w:rPr>
                <w:sz w:val="16"/>
              </w:rPr>
              <w:t>53.79 ± 4.26</w:t>
            </w:r>
          </w:p>
        </w:tc>
      </w:tr>
      <w:tr w:rsidR="00B8619C" w14:paraId="6144BF4D" w14:textId="77777777">
        <w:trPr>
          <w:cantSplit/>
          <w:jc w:val="center"/>
        </w:trPr>
        <w:tc>
          <w:tcPr>
            <w:tcW w:w="2381" w:type="dxa"/>
            <w:tcMar>
              <w:top w:w="80" w:type="dxa"/>
              <w:left w:w="90" w:type="dxa"/>
              <w:bottom w:w="80" w:type="dxa"/>
              <w:right w:w="90" w:type="dxa"/>
            </w:tcMar>
            <w:vAlign w:val="center"/>
          </w:tcPr>
          <w:p w14:paraId="1FF02C50" w14:textId="77777777" w:rsidR="00B8619C" w:rsidRDefault="00000000">
            <w:pPr>
              <w:spacing w:after="0" w:line="264" w:lineRule="auto"/>
            </w:pPr>
            <w:r>
              <w:rPr>
                <w:sz w:val="16"/>
              </w:rPr>
              <w:t>EfficientNet-B0</w:t>
            </w:r>
          </w:p>
        </w:tc>
        <w:tc>
          <w:tcPr>
            <w:tcW w:w="1587" w:type="dxa"/>
            <w:tcMar>
              <w:top w:w="80" w:type="dxa"/>
              <w:left w:w="90" w:type="dxa"/>
              <w:bottom w:w="80" w:type="dxa"/>
              <w:right w:w="90" w:type="dxa"/>
            </w:tcMar>
            <w:vAlign w:val="center"/>
          </w:tcPr>
          <w:p w14:paraId="5BE0CE08" w14:textId="77777777" w:rsidR="00B8619C" w:rsidRDefault="00000000">
            <w:pPr>
              <w:spacing w:after="0" w:line="264" w:lineRule="auto"/>
            </w:pPr>
            <w:r>
              <w:rPr>
                <w:sz w:val="16"/>
              </w:rPr>
              <w:t>71.98 ± 0.83</w:t>
            </w:r>
          </w:p>
        </w:tc>
        <w:tc>
          <w:tcPr>
            <w:tcW w:w="1701" w:type="dxa"/>
            <w:tcMar>
              <w:top w:w="80" w:type="dxa"/>
              <w:left w:w="90" w:type="dxa"/>
              <w:bottom w:w="80" w:type="dxa"/>
              <w:right w:w="90" w:type="dxa"/>
            </w:tcMar>
            <w:vAlign w:val="center"/>
          </w:tcPr>
          <w:p w14:paraId="5A4CE1FF" w14:textId="77777777" w:rsidR="00B8619C" w:rsidRDefault="00000000">
            <w:pPr>
              <w:spacing w:after="0" w:line="264" w:lineRule="auto"/>
            </w:pPr>
            <w:r>
              <w:rPr>
                <w:sz w:val="16"/>
              </w:rPr>
              <w:t>74.34 ± 2.15</w:t>
            </w:r>
          </w:p>
        </w:tc>
        <w:tc>
          <w:tcPr>
            <w:tcW w:w="1701" w:type="dxa"/>
            <w:tcMar>
              <w:top w:w="80" w:type="dxa"/>
              <w:left w:w="90" w:type="dxa"/>
              <w:bottom w:w="80" w:type="dxa"/>
              <w:right w:w="90" w:type="dxa"/>
            </w:tcMar>
            <w:vAlign w:val="center"/>
          </w:tcPr>
          <w:p w14:paraId="5286CC5A" w14:textId="77777777" w:rsidR="00B8619C" w:rsidRDefault="00000000">
            <w:pPr>
              <w:spacing w:after="0" w:line="264" w:lineRule="auto"/>
            </w:pPr>
            <w:r>
              <w:rPr>
                <w:sz w:val="16"/>
              </w:rPr>
              <w:t>81.97 ± 2.85</w:t>
            </w:r>
          </w:p>
        </w:tc>
        <w:tc>
          <w:tcPr>
            <w:tcW w:w="1701" w:type="dxa"/>
            <w:tcMar>
              <w:top w:w="80" w:type="dxa"/>
              <w:left w:w="90" w:type="dxa"/>
              <w:bottom w:w="80" w:type="dxa"/>
              <w:right w:w="90" w:type="dxa"/>
            </w:tcMar>
            <w:vAlign w:val="center"/>
          </w:tcPr>
          <w:p w14:paraId="185A74EF" w14:textId="77777777" w:rsidR="00B8619C" w:rsidRDefault="00000000">
            <w:pPr>
              <w:spacing w:after="0" w:line="264" w:lineRule="auto"/>
            </w:pPr>
            <w:r>
              <w:rPr>
                <w:sz w:val="16"/>
              </w:rPr>
              <w:t>64.39 ± 3.47</w:t>
            </w:r>
          </w:p>
        </w:tc>
      </w:tr>
      <w:tr w:rsidR="00B8619C" w14:paraId="5A29772F" w14:textId="77777777">
        <w:trPr>
          <w:cantSplit/>
          <w:jc w:val="center"/>
        </w:trPr>
        <w:tc>
          <w:tcPr>
            <w:tcW w:w="2381" w:type="dxa"/>
            <w:tcMar>
              <w:top w:w="80" w:type="dxa"/>
              <w:left w:w="90" w:type="dxa"/>
              <w:bottom w:w="80" w:type="dxa"/>
              <w:right w:w="90" w:type="dxa"/>
            </w:tcMar>
            <w:vAlign w:val="center"/>
          </w:tcPr>
          <w:p w14:paraId="256BDBF2" w14:textId="77777777" w:rsidR="00B8619C" w:rsidRDefault="00000000">
            <w:pPr>
              <w:spacing w:after="0" w:line="264" w:lineRule="auto"/>
            </w:pPr>
            <w:r>
              <w:rPr>
                <w:sz w:val="16"/>
              </w:rPr>
              <w:t>角色感知</w:t>
            </w:r>
            <w:r>
              <w:rPr>
                <w:sz w:val="16"/>
              </w:rPr>
              <w:t xml:space="preserve"> EfficientNet-B0</w:t>
            </w:r>
          </w:p>
        </w:tc>
        <w:tc>
          <w:tcPr>
            <w:tcW w:w="1587" w:type="dxa"/>
            <w:tcMar>
              <w:top w:w="80" w:type="dxa"/>
              <w:left w:w="90" w:type="dxa"/>
              <w:bottom w:w="80" w:type="dxa"/>
              <w:right w:w="90" w:type="dxa"/>
            </w:tcMar>
            <w:vAlign w:val="center"/>
          </w:tcPr>
          <w:p w14:paraId="35E186C4" w14:textId="77777777" w:rsidR="00B8619C" w:rsidRDefault="00000000">
            <w:pPr>
              <w:spacing w:after="0" w:line="264" w:lineRule="auto"/>
            </w:pPr>
            <w:r>
              <w:rPr>
                <w:sz w:val="16"/>
              </w:rPr>
              <w:t>68.39 ± 3.34</w:t>
            </w:r>
          </w:p>
        </w:tc>
        <w:tc>
          <w:tcPr>
            <w:tcW w:w="1701" w:type="dxa"/>
            <w:tcMar>
              <w:top w:w="80" w:type="dxa"/>
              <w:left w:w="90" w:type="dxa"/>
              <w:bottom w:w="80" w:type="dxa"/>
              <w:right w:w="90" w:type="dxa"/>
            </w:tcMar>
            <w:vAlign w:val="center"/>
          </w:tcPr>
          <w:p w14:paraId="27FBDB5B" w14:textId="77777777" w:rsidR="00B8619C" w:rsidRDefault="00000000">
            <w:pPr>
              <w:spacing w:after="0" w:line="264" w:lineRule="auto"/>
            </w:pPr>
            <w:r>
              <w:rPr>
                <w:sz w:val="16"/>
              </w:rPr>
              <w:t>76.71 ± 0.31</w:t>
            </w:r>
          </w:p>
        </w:tc>
        <w:tc>
          <w:tcPr>
            <w:tcW w:w="1701" w:type="dxa"/>
            <w:tcMar>
              <w:top w:w="80" w:type="dxa"/>
              <w:left w:w="90" w:type="dxa"/>
              <w:bottom w:w="80" w:type="dxa"/>
              <w:right w:w="90" w:type="dxa"/>
            </w:tcMar>
            <w:vAlign w:val="center"/>
          </w:tcPr>
          <w:p w14:paraId="041AF6D9" w14:textId="77777777" w:rsidR="00B8619C" w:rsidRDefault="00000000">
            <w:pPr>
              <w:spacing w:after="0" w:line="264" w:lineRule="auto"/>
            </w:pPr>
            <w:r>
              <w:rPr>
                <w:sz w:val="16"/>
              </w:rPr>
              <w:t>81.24 ± 0.42</w:t>
            </w:r>
          </w:p>
        </w:tc>
        <w:tc>
          <w:tcPr>
            <w:tcW w:w="1701" w:type="dxa"/>
            <w:tcMar>
              <w:top w:w="80" w:type="dxa"/>
              <w:left w:w="90" w:type="dxa"/>
              <w:bottom w:w="80" w:type="dxa"/>
              <w:right w:w="90" w:type="dxa"/>
            </w:tcMar>
            <w:vAlign w:val="center"/>
          </w:tcPr>
          <w:p w14:paraId="197C8C92" w14:textId="77777777" w:rsidR="00B8619C" w:rsidRDefault="00000000">
            <w:pPr>
              <w:spacing w:after="0" w:line="264" w:lineRule="auto"/>
            </w:pPr>
            <w:r>
              <w:rPr>
                <w:sz w:val="16"/>
              </w:rPr>
              <w:t>65.15 ± 1.43</w:t>
            </w:r>
          </w:p>
        </w:tc>
      </w:tr>
      <w:tr w:rsidR="00B8619C" w14:paraId="141512E3" w14:textId="77777777">
        <w:trPr>
          <w:cantSplit/>
          <w:jc w:val="center"/>
        </w:trPr>
        <w:tc>
          <w:tcPr>
            <w:tcW w:w="2381" w:type="dxa"/>
            <w:tcMar>
              <w:top w:w="80" w:type="dxa"/>
              <w:left w:w="90" w:type="dxa"/>
              <w:bottom w:w="80" w:type="dxa"/>
              <w:right w:w="90" w:type="dxa"/>
            </w:tcMar>
            <w:vAlign w:val="center"/>
          </w:tcPr>
          <w:p w14:paraId="03CE1E1E" w14:textId="77777777" w:rsidR="00B8619C" w:rsidRDefault="00000000">
            <w:pPr>
              <w:spacing w:after="0" w:line="264" w:lineRule="auto"/>
            </w:pPr>
            <w:r>
              <w:rPr>
                <w:sz w:val="16"/>
              </w:rPr>
              <w:t>分层一致性</w:t>
            </w:r>
            <w:r>
              <w:rPr>
                <w:sz w:val="16"/>
              </w:rPr>
              <w:t xml:space="preserve"> EfficientNet-B0</w:t>
            </w:r>
          </w:p>
        </w:tc>
        <w:tc>
          <w:tcPr>
            <w:tcW w:w="1587" w:type="dxa"/>
            <w:tcMar>
              <w:top w:w="80" w:type="dxa"/>
              <w:left w:w="90" w:type="dxa"/>
              <w:bottom w:w="80" w:type="dxa"/>
              <w:right w:w="90" w:type="dxa"/>
            </w:tcMar>
            <w:vAlign w:val="center"/>
          </w:tcPr>
          <w:p w14:paraId="156628C9" w14:textId="77777777" w:rsidR="00B8619C" w:rsidRDefault="00000000">
            <w:pPr>
              <w:spacing w:after="0" w:line="264" w:lineRule="auto"/>
            </w:pPr>
            <w:r>
              <w:rPr>
                <w:sz w:val="16"/>
              </w:rPr>
              <w:t>77.56 ± 2.19</w:t>
            </w:r>
          </w:p>
        </w:tc>
        <w:tc>
          <w:tcPr>
            <w:tcW w:w="1701" w:type="dxa"/>
            <w:tcMar>
              <w:top w:w="80" w:type="dxa"/>
              <w:left w:w="90" w:type="dxa"/>
              <w:bottom w:w="80" w:type="dxa"/>
              <w:right w:w="90" w:type="dxa"/>
            </w:tcMar>
            <w:vAlign w:val="center"/>
          </w:tcPr>
          <w:p w14:paraId="0B37703A" w14:textId="77777777" w:rsidR="00B8619C" w:rsidRDefault="00000000">
            <w:pPr>
              <w:spacing w:after="0" w:line="264" w:lineRule="auto"/>
            </w:pPr>
            <w:r>
              <w:rPr>
                <w:sz w:val="16"/>
              </w:rPr>
              <w:t>75.15 ± 5.54</w:t>
            </w:r>
          </w:p>
        </w:tc>
        <w:tc>
          <w:tcPr>
            <w:tcW w:w="1701" w:type="dxa"/>
            <w:tcMar>
              <w:top w:w="80" w:type="dxa"/>
              <w:left w:w="90" w:type="dxa"/>
              <w:bottom w:w="80" w:type="dxa"/>
              <w:right w:w="90" w:type="dxa"/>
            </w:tcMar>
            <w:vAlign w:val="center"/>
          </w:tcPr>
          <w:p w14:paraId="68D9264D" w14:textId="77777777" w:rsidR="00B8619C" w:rsidRDefault="00000000">
            <w:pPr>
              <w:spacing w:after="0" w:line="264" w:lineRule="auto"/>
            </w:pPr>
            <w:r>
              <w:rPr>
                <w:sz w:val="16"/>
              </w:rPr>
              <w:t>81.69 ± 2.84</w:t>
            </w:r>
          </w:p>
        </w:tc>
        <w:tc>
          <w:tcPr>
            <w:tcW w:w="1701" w:type="dxa"/>
            <w:tcMar>
              <w:top w:w="80" w:type="dxa"/>
              <w:left w:w="90" w:type="dxa"/>
              <w:bottom w:w="80" w:type="dxa"/>
              <w:right w:w="90" w:type="dxa"/>
            </w:tcMar>
            <w:vAlign w:val="center"/>
          </w:tcPr>
          <w:p w14:paraId="6D9F51E1" w14:textId="77777777" w:rsidR="00B8619C" w:rsidRDefault="00000000">
            <w:pPr>
              <w:spacing w:after="0" w:line="264" w:lineRule="auto"/>
            </w:pPr>
            <w:r>
              <w:rPr>
                <w:sz w:val="16"/>
              </w:rPr>
              <w:t>60.04 ± 2.15</w:t>
            </w:r>
          </w:p>
        </w:tc>
      </w:tr>
    </w:tbl>
    <w:p w14:paraId="0782428B" w14:textId="77777777" w:rsidR="00B8619C" w:rsidRDefault="00000000">
      <w:pPr>
        <w:pStyle w:val="af7"/>
        <w:keepNext/>
        <w:spacing w:after="100"/>
        <w:jc w:val="center"/>
      </w:pPr>
      <w:r>
        <w:t>表</w:t>
      </w:r>
      <w:r>
        <w:t xml:space="preserve"> 11 </w:t>
      </w:r>
      <w:r>
        <w:t>四类角色的测试集召回率（均值</w:t>
      </w:r>
      <w:r>
        <w:t>±</w:t>
      </w:r>
      <w:r>
        <w:t>样本标准差，</w:t>
      </w:r>
      <w:r>
        <w:t>n=3</w:t>
      </w:r>
      <w:r>
        <w:t>）</w:t>
      </w:r>
    </w:p>
    <w:p w14:paraId="2B3F8B31" w14:textId="77777777" w:rsidR="00B8619C" w:rsidRDefault="00000000">
      <w:pPr>
        <w:ind w:firstLine="420"/>
        <w:jc w:val="both"/>
      </w:pPr>
      <w:r>
        <w:t>脉石</w:t>
      </w:r>
      <w:r>
        <w:t>/</w:t>
      </w:r>
      <w:r>
        <w:t>废石在各模型中均具有较高召回率。金属光泽干扰更具挑战：黄铁矿、赤铁矿、针铁矿和黄铜矿等可能呈现暗色、反光或块状外观，与目标矿物形成视觉混淆。角色感知模型提高两类困难干扰召回，但降低目标召回；分层模型提高目标召回，却降低金属光泽干扰召回，体现为边界重分配而非所有类别同步改善。</w:t>
      </w:r>
    </w:p>
    <w:p w14:paraId="3FCB8F39" w14:textId="77777777" w:rsidR="00B8619C" w:rsidRDefault="00000000">
      <w:pPr>
        <w:keepNext/>
        <w:jc w:val="center"/>
      </w:pPr>
      <w:r>
        <w:rPr>
          <w:noProof/>
        </w:rPr>
        <w:lastRenderedPageBreak/>
        <w:drawing>
          <wp:inline distT="0" distB="0" distL="0" distR="0" wp14:anchorId="7D9F46F4" wp14:editId="6271FBB2">
            <wp:extent cx="5760000" cy="26780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9"/>
                    <a:stretch>
                      <a:fillRect/>
                    </a:stretch>
                  </pic:blipFill>
                  <pic:spPr>
                    <a:xfrm>
                      <a:off x="0" y="0"/>
                      <a:ext cx="5760000" cy="2678004"/>
                    </a:xfrm>
                    <a:prstGeom prst="rect">
                      <a:avLst/>
                    </a:prstGeom>
                  </pic:spPr>
                </pic:pic>
              </a:graphicData>
            </a:graphic>
          </wp:inline>
        </w:drawing>
      </w:r>
    </w:p>
    <w:p w14:paraId="7F424EED" w14:textId="77777777" w:rsidR="00B8619C" w:rsidRDefault="00000000">
      <w:pPr>
        <w:pStyle w:val="af7"/>
        <w:keepNext/>
        <w:spacing w:after="100" w:line="360" w:lineRule="auto"/>
        <w:jc w:val="center"/>
      </w:pPr>
      <w:r>
        <w:rPr>
          <w:rFonts w:ascii="宋体" w:hAnsi="宋体" w:eastAsia="宋体"/>
          <w:sz w:val="21"/>
        </w:rPr>
        <w:t>图 7 四类矿物在四种模型上的召回率</w:t>
      </w:r>
    </w:p>
    <w:p w14:paraId="2DDAD668" w14:textId="77777777" w:rsidR="00B8619C" w:rsidRDefault="00000000">
      <w:pPr>
        <w:pStyle w:val="21"/>
      </w:pPr>
      <w:r>
        <w:t xml:space="preserve">5.3 </w:t>
      </w:r>
      <w:r>
        <w:t>目标代理风险指标</w:t>
      </w:r>
    </w:p>
    <w:tbl>
      <w:tblPr>
        <w:tblStyle w:val="aff1"/>
        <w:tblW w:w="0" w:type="auto"/>
        <w:jc w:val="center"/>
        <w:tblLayout w:type="fixed"/>
        <w:tblLook w:val="04A0" w:firstRow="1" w:lastRow="0" w:firstColumn="1" w:lastColumn="0" w:noHBand="0" w:noVBand="1"/>
      </w:tblPr>
      <w:tblGrid>
        <w:gridCol w:w="2551"/>
        <w:gridCol w:w="1531"/>
        <w:gridCol w:w="1587"/>
        <w:gridCol w:w="1871"/>
        <w:gridCol w:w="1871"/>
      </w:tblGrid>
      <w:tr w:rsidR="00B8619C" w14:paraId="05C13BA6" w14:textId="77777777">
        <w:trPr>
          <w:cantSplit/>
          <w:tblHeader/>
          <w:jc w:val="center"/>
        </w:trPr>
        <w:tc>
          <w:tcPr>
            <w:tcW w:w="2551" w:type="dxa"/>
            <w:shd w:val="clear" w:color="auto" w:fill="D9EAF7"/>
            <w:tcMar>
              <w:top w:w="80" w:type="dxa"/>
              <w:left w:w="90" w:type="dxa"/>
              <w:bottom w:w="80" w:type="dxa"/>
              <w:right w:w="90" w:type="dxa"/>
            </w:tcMar>
            <w:vAlign w:val="center"/>
          </w:tcPr>
          <w:p w14:paraId="3F601472" w14:textId="77777777" w:rsidR="00B8619C" w:rsidRDefault="00000000">
            <w:pPr>
              <w:spacing w:after="0" w:line="264" w:lineRule="auto"/>
              <w:jc w:val="center"/>
            </w:pPr>
            <w:r>
              <w:rPr>
                <w:rFonts w:eastAsia="黑体"/>
                <w:b/>
                <w:sz w:val="15"/>
              </w:rPr>
              <w:t>设置</w:t>
            </w:r>
          </w:p>
        </w:tc>
        <w:tc>
          <w:tcPr>
            <w:tcW w:w="1531" w:type="dxa"/>
            <w:shd w:val="clear" w:color="auto" w:fill="D9EAF7"/>
            <w:tcMar>
              <w:top w:w="80" w:type="dxa"/>
              <w:left w:w="90" w:type="dxa"/>
              <w:bottom w:w="80" w:type="dxa"/>
              <w:right w:w="90" w:type="dxa"/>
            </w:tcMar>
            <w:vAlign w:val="center"/>
          </w:tcPr>
          <w:p w14:paraId="63FD29E3" w14:textId="77777777" w:rsidR="00B8619C" w:rsidRDefault="00000000">
            <w:pPr>
              <w:spacing w:after="0" w:line="264" w:lineRule="auto"/>
              <w:jc w:val="center"/>
            </w:pPr>
            <w:r>
              <w:rPr>
                <w:rFonts w:eastAsia="黑体"/>
                <w:b/>
                <w:sz w:val="15"/>
              </w:rPr>
              <w:t>目标代理</w:t>
            </w:r>
            <w:r>
              <w:rPr>
                <w:rFonts w:eastAsia="黑体"/>
                <w:b/>
                <w:sz w:val="15"/>
              </w:rPr>
              <w:t xml:space="preserve"> F1</w:t>
            </w:r>
            <w:r>
              <w:rPr>
                <w:rFonts w:eastAsia="黑体"/>
                <w:b/>
                <w:sz w:val="15"/>
              </w:rPr>
              <w:t>（</w:t>
            </w:r>
            <w:r>
              <w:rPr>
                <w:rFonts w:eastAsia="黑体"/>
                <w:b/>
                <w:sz w:val="15"/>
              </w:rPr>
              <w:t>%</w:t>
            </w:r>
            <w:r>
              <w:rPr>
                <w:rFonts w:eastAsia="黑体"/>
                <w:b/>
                <w:sz w:val="15"/>
              </w:rPr>
              <w:t>）</w:t>
            </w:r>
          </w:p>
        </w:tc>
        <w:tc>
          <w:tcPr>
            <w:tcW w:w="1587" w:type="dxa"/>
            <w:shd w:val="clear" w:color="auto" w:fill="D9EAF7"/>
            <w:tcMar>
              <w:top w:w="80" w:type="dxa"/>
              <w:left w:w="90" w:type="dxa"/>
              <w:bottom w:w="80" w:type="dxa"/>
              <w:right w:w="90" w:type="dxa"/>
            </w:tcMar>
            <w:vAlign w:val="center"/>
          </w:tcPr>
          <w:p w14:paraId="023CC674" w14:textId="77777777" w:rsidR="00B8619C" w:rsidRDefault="00000000">
            <w:pPr>
              <w:spacing w:after="0" w:line="264" w:lineRule="auto"/>
              <w:jc w:val="center"/>
            </w:pPr>
            <w:r>
              <w:rPr>
                <w:rFonts w:eastAsia="黑体"/>
                <w:b/>
                <w:sz w:val="15"/>
              </w:rPr>
              <w:t>目标漏选率（</w:t>
            </w:r>
            <w:r>
              <w:rPr>
                <w:rFonts w:eastAsia="黑体"/>
                <w:b/>
                <w:sz w:val="15"/>
              </w:rPr>
              <w:t>%</w:t>
            </w:r>
            <w:r>
              <w:rPr>
                <w:rFonts w:eastAsia="黑体"/>
                <w:b/>
                <w:sz w:val="15"/>
              </w:rPr>
              <w:t>）</w:t>
            </w:r>
          </w:p>
        </w:tc>
        <w:tc>
          <w:tcPr>
            <w:tcW w:w="1871" w:type="dxa"/>
            <w:shd w:val="clear" w:color="auto" w:fill="D9EAF7"/>
            <w:tcMar>
              <w:top w:w="80" w:type="dxa"/>
              <w:left w:w="90" w:type="dxa"/>
              <w:bottom w:w="80" w:type="dxa"/>
              <w:right w:w="90" w:type="dxa"/>
            </w:tcMar>
            <w:vAlign w:val="center"/>
          </w:tcPr>
          <w:p w14:paraId="70961393" w14:textId="77777777" w:rsidR="00B8619C" w:rsidRDefault="00000000">
            <w:pPr>
              <w:spacing w:after="0" w:line="264" w:lineRule="auto"/>
              <w:jc w:val="center"/>
            </w:pPr>
            <w:r>
              <w:rPr>
                <w:rFonts w:eastAsia="黑体"/>
                <w:b/>
                <w:sz w:val="15"/>
              </w:rPr>
              <w:t>含钛干扰误入目标（</w:t>
            </w:r>
            <w:r>
              <w:rPr>
                <w:rFonts w:eastAsia="黑体"/>
                <w:b/>
                <w:sz w:val="15"/>
              </w:rPr>
              <w:t>%</w:t>
            </w:r>
            <w:r>
              <w:rPr>
                <w:rFonts w:eastAsia="黑体"/>
                <w:b/>
                <w:sz w:val="15"/>
              </w:rPr>
              <w:t>）</w:t>
            </w:r>
          </w:p>
        </w:tc>
        <w:tc>
          <w:tcPr>
            <w:tcW w:w="1871" w:type="dxa"/>
            <w:shd w:val="clear" w:color="auto" w:fill="D9EAF7"/>
            <w:tcMar>
              <w:top w:w="80" w:type="dxa"/>
              <w:left w:w="90" w:type="dxa"/>
              <w:bottom w:w="80" w:type="dxa"/>
              <w:right w:w="90" w:type="dxa"/>
            </w:tcMar>
            <w:vAlign w:val="center"/>
          </w:tcPr>
          <w:p w14:paraId="4879DA87" w14:textId="77777777" w:rsidR="00B8619C" w:rsidRDefault="00000000">
            <w:pPr>
              <w:spacing w:after="0" w:line="264" w:lineRule="auto"/>
              <w:jc w:val="center"/>
            </w:pPr>
            <w:r>
              <w:rPr>
                <w:rFonts w:eastAsia="黑体"/>
                <w:b/>
                <w:sz w:val="15"/>
              </w:rPr>
              <w:t>金属光泽干扰误入目标（</w:t>
            </w:r>
            <w:r>
              <w:rPr>
                <w:rFonts w:eastAsia="黑体"/>
                <w:b/>
                <w:sz w:val="15"/>
              </w:rPr>
              <w:t>%</w:t>
            </w:r>
            <w:r>
              <w:rPr>
                <w:rFonts w:eastAsia="黑体"/>
                <w:b/>
                <w:sz w:val="15"/>
              </w:rPr>
              <w:t>）</w:t>
            </w:r>
          </w:p>
        </w:tc>
      </w:tr>
      <w:tr w:rsidR="00B8619C" w14:paraId="128BFD27" w14:textId="77777777">
        <w:trPr>
          <w:cantSplit/>
          <w:jc w:val="center"/>
        </w:trPr>
        <w:tc>
          <w:tcPr>
            <w:tcW w:w="2551" w:type="dxa"/>
            <w:tcMar>
              <w:top w:w="80" w:type="dxa"/>
              <w:left w:w="90" w:type="dxa"/>
              <w:bottom w:w="80" w:type="dxa"/>
              <w:right w:w="90" w:type="dxa"/>
            </w:tcMar>
            <w:vAlign w:val="center"/>
          </w:tcPr>
          <w:p w14:paraId="6119F12C" w14:textId="77777777" w:rsidR="00B8619C" w:rsidRDefault="00000000">
            <w:pPr>
              <w:spacing w:after="0" w:line="264" w:lineRule="auto"/>
            </w:pPr>
            <w:r>
              <w:rPr>
                <w:sz w:val="15"/>
              </w:rPr>
              <w:t>加权交叉熵</w:t>
            </w:r>
          </w:p>
        </w:tc>
        <w:tc>
          <w:tcPr>
            <w:tcW w:w="1531" w:type="dxa"/>
            <w:tcMar>
              <w:top w:w="80" w:type="dxa"/>
              <w:left w:w="90" w:type="dxa"/>
              <w:bottom w:w="80" w:type="dxa"/>
              <w:right w:w="90" w:type="dxa"/>
            </w:tcMar>
            <w:vAlign w:val="center"/>
          </w:tcPr>
          <w:p w14:paraId="3B4602B8" w14:textId="77777777" w:rsidR="00B8619C" w:rsidRDefault="00000000">
            <w:pPr>
              <w:spacing w:after="0" w:line="264" w:lineRule="auto"/>
            </w:pPr>
            <w:r>
              <w:rPr>
                <w:sz w:val="15"/>
              </w:rPr>
              <w:t>70.45 ± 1.34</w:t>
            </w:r>
          </w:p>
        </w:tc>
        <w:tc>
          <w:tcPr>
            <w:tcW w:w="1587" w:type="dxa"/>
            <w:tcMar>
              <w:top w:w="80" w:type="dxa"/>
              <w:left w:w="90" w:type="dxa"/>
              <w:bottom w:w="80" w:type="dxa"/>
              <w:right w:w="90" w:type="dxa"/>
            </w:tcMar>
            <w:vAlign w:val="center"/>
          </w:tcPr>
          <w:p w14:paraId="07E32F9A" w14:textId="77777777" w:rsidR="00B8619C" w:rsidRDefault="00000000">
            <w:pPr>
              <w:spacing w:after="0" w:line="264" w:lineRule="auto"/>
            </w:pPr>
            <w:r>
              <w:rPr>
                <w:sz w:val="15"/>
              </w:rPr>
              <w:t>28.02 ± 0.46</w:t>
            </w:r>
          </w:p>
        </w:tc>
        <w:tc>
          <w:tcPr>
            <w:tcW w:w="1871" w:type="dxa"/>
            <w:tcMar>
              <w:top w:w="80" w:type="dxa"/>
              <w:left w:w="90" w:type="dxa"/>
              <w:bottom w:w="80" w:type="dxa"/>
              <w:right w:w="90" w:type="dxa"/>
            </w:tcMar>
            <w:vAlign w:val="center"/>
          </w:tcPr>
          <w:p w14:paraId="31A5E9DC" w14:textId="77777777" w:rsidR="00B8619C" w:rsidRDefault="00000000">
            <w:pPr>
              <w:spacing w:after="0" w:line="264" w:lineRule="auto"/>
            </w:pPr>
            <w:r>
              <w:rPr>
                <w:sz w:val="15"/>
              </w:rPr>
              <w:t>9.84 ± 1.24</w:t>
            </w:r>
          </w:p>
        </w:tc>
        <w:tc>
          <w:tcPr>
            <w:tcW w:w="1871" w:type="dxa"/>
            <w:tcMar>
              <w:top w:w="80" w:type="dxa"/>
              <w:left w:w="90" w:type="dxa"/>
              <w:bottom w:w="80" w:type="dxa"/>
              <w:right w:w="90" w:type="dxa"/>
            </w:tcMar>
            <w:vAlign w:val="center"/>
          </w:tcPr>
          <w:p w14:paraId="45095844" w14:textId="77777777" w:rsidR="00B8619C" w:rsidRDefault="00000000">
            <w:pPr>
              <w:spacing w:after="0" w:line="264" w:lineRule="auto"/>
            </w:pPr>
            <w:r>
              <w:rPr>
                <w:sz w:val="15"/>
              </w:rPr>
              <w:t>11.55 ± 0.66</w:t>
            </w:r>
          </w:p>
        </w:tc>
      </w:tr>
      <w:tr w:rsidR="00B8619C" w14:paraId="35F12CB3" w14:textId="77777777">
        <w:trPr>
          <w:cantSplit/>
          <w:jc w:val="center"/>
        </w:trPr>
        <w:tc>
          <w:tcPr>
            <w:tcW w:w="2551" w:type="dxa"/>
            <w:tcMar>
              <w:top w:w="80" w:type="dxa"/>
              <w:left w:w="90" w:type="dxa"/>
              <w:bottom w:w="80" w:type="dxa"/>
              <w:right w:w="90" w:type="dxa"/>
            </w:tcMar>
            <w:vAlign w:val="center"/>
          </w:tcPr>
          <w:p w14:paraId="1F7B697B" w14:textId="77777777" w:rsidR="00B8619C" w:rsidRDefault="00000000">
            <w:pPr>
              <w:spacing w:after="0" w:line="264" w:lineRule="auto"/>
            </w:pPr>
            <w:r>
              <w:rPr>
                <w:sz w:val="15"/>
              </w:rPr>
              <w:t>加权</w:t>
            </w:r>
            <w:r>
              <w:rPr>
                <w:sz w:val="15"/>
              </w:rPr>
              <w:t xml:space="preserve"> Focal Loss</w:t>
            </w:r>
          </w:p>
        </w:tc>
        <w:tc>
          <w:tcPr>
            <w:tcW w:w="1531" w:type="dxa"/>
            <w:tcMar>
              <w:top w:w="80" w:type="dxa"/>
              <w:left w:w="90" w:type="dxa"/>
              <w:bottom w:w="80" w:type="dxa"/>
              <w:right w:w="90" w:type="dxa"/>
            </w:tcMar>
            <w:vAlign w:val="center"/>
          </w:tcPr>
          <w:p w14:paraId="5C8A62E2" w14:textId="77777777" w:rsidR="00B8619C" w:rsidRDefault="00000000">
            <w:pPr>
              <w:spacing w:after="0" w:line="264" w:lineRule="auto"/>
            </w:pPr>
            <w:r>
              <w:rPr>
                <w:sz w:val="15"/>
              </w:rPr>
              <w:t>69.94 ± 1.20</w:t>
            </w:r>
          </w:p>
        </w:tc>
        <w:tc>
          <w:tcPr>
            <w:tcW w:w="1587" w:type="dxa"/>
            <w:tcMar>
              <w:top w:w="80" w:type="dxa"/>
              <w:left w:w="90" w:type="dxa"/>
              <w:bottom w:w="80" w:type="dxa"/>
              <w:right w:w="90" w:type="dxa"/>
            </w:tcMar>
            <w:vAlign w:val="center"/>
          </w:tcPr>
          <w:p w14:paraId="440051B7" w14:textId="77777777" w:rsidR="00B8619C" w:rsidRDefault="00000000">
            <w:pPr>
              <w:spacing w:after="0" w:line="264" w:lineRule="auto"/>
            </w:pPr>
            <w:r>
              <w:rPr>
                <w:sz w:val="15"/>
              </w:rPr>
              <w:t>27.89 ± 0.80</w:t>
            </w:r>
          </w:p>
        </w:tc>
        <w:tc>
          <w:tcPr>
            <w:tcW w:w="1871" w:type="dxa"/>
            <w:tcMar>
              <w:top w:w="80" w:type="dxa"/>
              <w:left w:w="90" w:type="dxa"/>
              <w:bottom w:w="80" w:type="dxa"/>
              <w:right w:w="90" w:type="dxa"/>
            </w:tcMar>
            <w:vAlign w:val="center"/>
          </w:tcPr>
          <w:p w14:paraId="5B4BBC9C" w14:textId="77777777" w:rsidR="00B8619C" w:rsidRDefault="00000000">
            <w:pPr>
              <w:spacing w:after="0" w:line="264" w:lineRule="auto"/>
            </w:pPr>
            <w:r>
              <w:rPr>
                <w:sz w:val="15"/>
              </w:rPr>
              <w:t>9.57 ± 1.41</w:t>
            </w:r>
          </w:p>
        </w:tc>
        <w:tc>
          <w:tcPr>
            <w:tcW w:w="1871" w:type="dxa"/>
            <w:tcMar>
              <w:top w:w="80" w:type="dxa"/>
              <w:left w:w="90" w:type="dxa"/>
              <w:bottom w:w="80" w:type="dxa"/>
              <w:right w:w="90" w:type="dxa"/>
            </w:tcMar>
            <w:vAlign w:val="center"/>
          </w:tcPr>
          <w:p w14:paraId="038F926E" w14:textId="77777777" w:rsidR="00B8619C" w:rsidRDefault="00000000">
            <w:pPr>
              <w:spacing w:after="0" w:line="264" w:lineRule="auto"/>
            </w:pPr>
            <w:r>
              <w:rPr>
                <w:sz w:val="15"/>
              </w:rPr>
              <w:t>13.83 ± 2.62</w:t>
            </w:r>
          </w:p>
        </w:tc>
      </w:tr>
      <w:tr w:rsidR="00B8619C" w14:paraId="63B3926D" w14:textId="77777777">
        <w:trPr>
          <w:cantSplit/>
          <w:jc w:val="center"/>
        </w:trPr>
        <w:tc>
          <w:tcPr>
            <w:tcW w:w="2551" w:type="dxa"/>
            <w:tcMar>
              <w:top w:w="80" w:type="dxa"/>
              <w:left w:w="90" w:type="dxa"/>
              <w:bottom w:w="80" w:type="dxa"/>
              <w:right w:w="90" w:type="dxa"/>
            </w:tcMar>
            <w:vAlign w:val="center"/>
          </w:tcPr>
          <w:p w14:paraId="004CA559" w14:textId="77777777" w:rsidR="00B8619C" w:rsidRDefault="00000000">
            <w:pPr>
              <w:spacing w:after="0" w:line="264" w:lineRule="auto"/>
            </w:pPr>
            <w:r>
              <w:rPr>
                <w:sz w:val="15"/>
              </w:rPr>
              <w:t>角色感知困难负样本学习</w:t>
            </w:r>
          </w:p>
        </w:tc>
        <w:tc>
          <w:tcPr>
            <w:tcW w:w="1531" w:type="dxa"/>
            <w:tcMar>
              <w:top w:w="80" w:type="dxa"/>
              <w:left w:w="90" w:type="dxa"/>
              <w:bottom w:w="80" w:type="dxa"/>
              <w:right w:w="90" w:type="dxa"/>
            </w:tcMar>
            <w:vAlign w:val="center"/>
          </w:tcPr>
          <w:p w14:paraId="17700467" w14:textId="77777777" w:rsidR="00B8619C" w:rsidRDefault="00000000">
            <w:pPr>
              <w:spacing w:after="0" w:line="264" w:lineRule="auto"/>
            </w:pPr>
            <w:r>
              <w:rPr>
                <w:sz w:val="15"/>
              </w:rPr>
              <w:t>70.67 ± 2.57</w:t>
            </w:r>
          </w:p>
        </w:tc>
        <w:tc>
          <w:tcPr>
            <w:tcW w:w="1587" w:type="dxa"/>
            <w:tcMar>
              <w:top w:w="80" w:type="dxa"/>
              <w:left w:w="90" w:type="dxa"/>
              <w:bottom w:w="80" w:type="dxa"/>
              <w:right w:w="90" w:type="dxa"/>
            </w:tcMar>
            <w:vAlign w:val="center"/>
          </w:tcPr>
          <w:p w14:paraId="3F659852" w14:textId="77777777" w:rsidR="00B8619C" w:rsidRDefault="00000000">
            <w:pPr>
              <w:spacing w:after="0" w:line="264" w:lineRule="auto"/>
            </w:pPr>
            <w:r>
              <w:rPr>
                <w:sz w:val="15"/>
              </w:rPr>
              <w:t>31.61 ± 3.34</w:t>
            </w:r>
          </w:p>
        </w:tc>
        <w:tc>
          <w:tcPr>
            <w:tcW w:w="1871" w:type="dxa"/>
            <w:tcMar>
              <w:top w:w="80" w:type="dxa"/>
              <w:left w:w="90" w:type="dxa"/>
              <w:bottom w:w="80" w:type="dxa"/>
              <w:right w:w="90" w:type="dxa"/>
            </w:tcMar>
            <w:vAlign w:val="center"/>
          </w:tcPr>
          <w:p w14:paraId="37914CC6" w14:textId="77777777" w:rsidR="00B8619C" w:rsidRDefault="00000000">
            <w:pPr>
              <w:spacing w:after="0" w:line="264" w:lineRule="auto"/>
            </w:pPr>
            <w:r>
              <w:rPr>
                <w:sz w:val="15"/>
              </w:rPr>
              <w:t>7.74 ± 0.35</w:t>
            </w:r>
          </w:p>
        </w:tc>
        <w:tc>
          <w:tcPr>
            <w:tcW w:w="1871" w:type="dxa"/>
            <w:tcMar>
              <w:top w:w="80" w:type="dxa"/>
              <w:left w:w="90" w:type="dxa"/>
              <w:bottom w:w="80" w:type="dxa"/>
              <w:right w:w="90" w:type="dxa"/>
            </w:tcMar>
            <w:vAlign w:val="center"/>
          </w:tcPr>
          <w:p w14:paraId="5C3B22D1" w14:textId="77777777" w:rsidR="00B8619C" w:rsidRDefault="00000000">
            <w:pPr>
              <w:spacing w:after="0" w:line="264" w:lineRule="auto"/>
            </w:pPr>
            <w:r>
              <w:rPr>
                <w:sz w:val="15"/>
              </w:rPr>
              <w:t>9.66 ± 0.98</w:t>
            </w:r>
          </w:p>
        </w:tc>
      </w:tr>
    </w:tbl>
    <w:p w14:paraId="7B054C04" w14:textId="77777777" w:rsidR="00B8619C" w:rsidRDefault="00000000">
      <w:pPr>
        <w:pStyle w:val="af7"/>
        <w:keepNext/>
        <w:spacing w:after="100"/>
        <w:jc w:val="center"/>
      </w:pPr>
      <w:r>
        <w:t>表</w:t>
      </w:r>
      <w:r>
        <w:t xml:space="preserve"> 12 </w:t>
      </w:r>
      <w:r>
        <w:t>目标代理风险指标</w:t>
      </w:r>
    </w:p>
    <w:p w14:paraId="15422F4A" w14:textId="77777777" w:rsidR="00B8619C" w:rsidRDefault="00000000">
      <w:pPr>
        <w:ind w:firstLine="420"/>
        <w:jc w:val="both"/>
      </w:pPr>
      <w:r>
        <w:t>上述指标将四分类预测折叠为</w:t>
      </w:r>
      <w:r>
        <w:t>“</w:t>
      </w:r>
      <w:r>
        <w:t>目标代理</w:t>
      </w:r>
      <w:r>
        <w:t>/</w:t>
      </w:r>
      <w:r>
        <w:t>非目标代理</w:t>
      </w:r>
      <w:r>
        <w:t>”</w:t>
      </w:r>
      <w:r>
        <w:t>后计算，用于刻画当前标签体系下的代理风险，不代表真实生产线回收率、精矿品位或抛废率。角色感知模型降低两类困难干扰误入目标的比例，但目标漏选率增加，表现为更保守的目标判定。</w:t>
      </w:r>
    </w:p>
    <w:p w14:paraId="271CEAD9" w14:textId="77777777" w:rsidR="00B8619C" w:rsidRDefault="00000000">
      <w:pPr>
        <w:keepNext/>
        <w:jc w:val="center"/>
      </w:pPr>
      <w:r>
        <w:rPr>
          <w:noProof/>
        </w:rPr>
        <w:lastRenderedPageBreak/>
        <w:drawing>
          <wp:inline distT="0" distB="0" distL="0" distR="0" wp14:anchorId="49D1BBA6" wp14:editId="0E189CEF">
            <wp:extent cx="5760000" cy="35942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0"/>
                    <a:stretch>
                      <a:fillRect/>
                    </a:stretch>
                  </pic:blipFill>
                  <pic:spPr>
                    <a:xfrm>
                      <a:off x="0" y="0"/>
                      <a:ext cx="5760000" cy="3594273"/>
                    </a:xfrm>
                    <a:prstGeom prst="rect">
                      <a:avLst/>
                    </a:prstGeom>
                  </pic:spPr>
                </pic:pic>
              </a:graphicData>
            </a:graphic>
          </wp:inline>
        </w:drawing>
      </w:r>
    </w:p>
    <w:p w14:paraId="1B6A4CD1" w14:textId="77777777" w:rsidR="00B8619C" w:rsidRDefault="00000000">
      <w:pPr>
        <w:pStyle w:val="af7"/>
        <w:keepNext/>
        <w:spacing w:after="100" w:line="360" w:lineRule="auto"/>
        <w:jc w:val="center"/>
      </w:pPr>
      <w:r>
        <w:rPr>
          <w:rFonts w:ascii="宋体" w:hAnsi="宋体" w:eastAsia="宋体"/>
          <w:sz w:val="21"/>
        </w:rPr>
        <w:t>图 8 四种训练策略的目标代理风险指标</w:t>
      </w:r>
    </w:p>
    <w:p w14:paraId="5811BA6D" w14:textId="77777777" w:rsidR="00B8619C" w:rsidRDefault="00000000">
      <w:pPr>
        <w:pStyle w:val="21"/>
      </w:pPr>
      <w:r>
        <w:t xml:space="preserve">5.4 </w:t>
      </w:r>
      <w:r>
        <w:t>混淆矩阵与主要错误方向</w:t>
      </w:r>
    </w:p>
    <w:p w14:paraId="3B29D2E5" w14:textId="77777777" w:rsidR="00B8619C" w:rsidRDefault="00000000">
      <w:pPr>
        <w:ind w:firstLine="420"/>
        <w:jc w:val="both"/>
      </w:pPr>
      <w:r>
        <w:t>以</w:t>
      </w:r>
      <w:r>
        <w:t xml:space="preserve"> EfficientNet-B0</w:t>
      </w:r>
      <w:r>
        <w:t>、随机种子</w:t>
      </w:r>
      <w:r>
        <w:t xml:space="preserve"> 20260728 </w:t>
      </w:r>
      <w:r>
        <w:t>的测试结果为例，在</w:t>
      </w:r>
      <w:r>
        <w:t xml:space="preserve"> 1,284 </w:t>
      </w:r>
      <w:r>
        <w:t>张固定测试图像中正确识别</w:t>
      </w:r>
      <w:r>
        <w:t xml:space="preserve"> 968 </w:t>
      </w:r>
      <w:r>
        <w:t>张、错误识别</w:t>
      </w:r>
      <w:r>
        <w:t xml:space="preserve"> 316 </w:t>
      </w:r>
      <w:r>
        <w:t>张。主要错误为</w:t>
      </w:r>
      <w:r>
        <w:t>“</w:t>
      </w:r>
      <w:r>
        <w:t>含钛干扰</w:t>
      </w:r>
      <w:r>
        <w:t>→</w:t>
      </w:r>
      <w:r>
        <w:t>脉石</w:t>
      </w:r>
      <w:r>
        <w:t>/</w:t>
      </w:r>
      <w:r>
        <w:t>废石</w:t>
      </w:r>
      <w:r>
        <w:t xml:space="preserve">”50 </w:t>
      </w:r>
      <w:r>
        <w:t>张、</w:t>
      </w:r>
      <w:r>
        <w:t>“</w:t>
      </w:r>
      <w:r>
        <w:t>含钛干扰</w:t>
      </w:r>
      <w:r>
        <w:t>→</w:t>
      </w:r>
      <w:r>
        <w:t>目标矿物</w:t>
      </w:r>
      <w:r>
        <w:t xml:space="preserve">”43 </w:t>
      </w:r>
      <w:r>
        <w:t>张、</w:t>
      </w:r>
      <w:r>
        <w:t>“</w:t>
      </w:r>
      <w:r>
        <w:t>目标矿物</w:t>
      </w:r>
      <w:r>
        <w:t>→</w:t>
      </w:r>
      <w:r>
        <w:t>含钛干扰</w:t>
      </w:r>
      <w:r>
        <w:t xml:space="preserve">”40 </w:t>
      </w:r>
      <w:r>
        <w:t>张和</w:t>
      </w:r>
      <w:r>
        <w:t>“</w:t>
      </w:r>
      <w:r>
        <w:t>脉石</w:t>
      </w:r>
      <w:r>
        <w:t>/</w:t>
      </w:r>
      <w:r>
        <w:t>废石</w:t>
      </w:r>
      <w:r>
        <w:t>→</w:t>
      </w:r>
      <w:r>
        <w:t>含钛干扰</w:t>
      </w:r>
      <w:r>
        <w:t xml:space="preserve">”40 </w:t>
      </w:r>
      <w:r>
        <w:t>张。</w:t>
      </w:r>
    </w:p>
    <w:p w14:paraId="4E8C793A" w14:textId="77777777" w:rsidR="00B8619C" w:rsidRDefault="00000000">
      <w:pPr>
        <w:keepNext/>
        <w:jc w:val="center"/>
      </w:pPr>
      <w:r>
        <w:rPr>
          <w:noProof/>
        </w:rPr>
        <w:lastRenderedPageBreak/>
        <w:drawing>
          <wp:inline distT="0" distB="0" distL="0" distR="0" wp14:anchorId="61493731" wp14:editId="50D73FBF">
            <wp:extent cx="4212000" cy="36109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1"/>
                    <a:stretch>
                      <a:fillRect/>
                    </a:stretch>
                  </pic:blipFill>
                  <pic:spPr>
                    <a:xfrm>
                      <a:off x="0" y="0"/>
                      <a:ext cx="4212000" cy="3610927"/>
                    </a:xfrm>
                    <a:prstGeom prst="rect">
                      <a:avLst/>
                    </a:prstGeom>
                  </pic:spPr>
                </pic:pic>
              </a:graphicData>
            </a:graphic>
          </wp:inline>
        </w:drawing>
      </w:r>
    </w:p>
    <w:p w14:paraId="7E137E55" w14:textId="77777777" w:rsidR="00B8619C" w:rsidRDefault="00000000">
      <w:pPr>
        <w:pStyle w:val="af7"/>
        <w:keepNext/>
        <w:spacing w:after="100" w:line="360" w:lineRule="auto"/>
        <w:jc w:val="center"/>
      </w:pPr>
      <w:r>
        <w:rPr>
          <w:rFonts w:ascii="宋体" w:hAnsi="宋体" w:eastAsia="宋体"/>
          <w:sz w:val="21"/>
        </w:rPr>
        <w:t>图 9 EfficientNet-B0（随机种子 20260728）的混淆矩阵</w:t>
      </w:r>
    </w:p>
    <w:p w14:paraId="4CE28208" w14:textId="77777777" w:rsidR="00B8619C" w:rsidRDefault="00000000">
      <w:pPr>
        <w:keepNext/>
        <w:jc w:val="center"/>
      </w:pPr>
      <w:r>
        <w:rPr>
          <w:noProof/>
        </w:rPr>
        <w:drawing>
          <wp:inline distT="0" distB="0" distL="0" distR="0" wp14:anchorId="6CB56045" wp14:editId="053B27C3">
            <wp:extent cx="5580000" cy="25136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2"/>
                    <a:stretch>
                      <a:fillRect/>
                    </a:stretch>
                  </pic:blipFill>
                  <pic:spPr>
                    <a:xfrm>
                      <a:off x="0" y="0"/>
                      <a:ext cx="5580000" cy="2513623"/>
                    </a:xfrm>
                    <a:prstGeom prst="rect">
                      <a:avLst/>
                    </a:prstGeom>
                  </pic:spPr>
                </pic:pic>
              </a:graphicData>
            </a:graphic>
          </wp:inline>
        </w:drawing>
      </w:r>
    </w:p>
    <w:p w14:paraId="28A35030" w14:textId="77777777" w:rsidR="00B8619C" w:rsidRDefault="00000000">
      <w:pPr>
        <w:pStyle w:val="af7"/>
        <w:keepNext/>
        <w:spacing w:after="100" w:line="360" w:lineRule="auto"/>
        <w:jc w:val="center"/>
      </w:pPr>
      <w:r>
        <w:rPr>
          <w:rFonts w:ascii="宋体" w:hAnsi="宋体" w:eastAsia="宋体"/>
          <w:sz w:val="21"/>
        </w:rPr>
        <w:t>图 10 EfficientNet-B0（随机种子 20260728）的主要错分方向</w:t>
      </w:r>
    </w:p>
    <w:p w14:paraId="1C480EC4" w14:textId="77777777" w:rsidR="00B8619C" w:rsidRDefault="00000000">
      <w:pPr>
        <w:ind w:firstLine="420"/>
        <w:jc w:val="both"/>
      </w:pPr>
      <w:r>
        <w:t>由于原始网页图片许可状态不完全一致，本公开技术报告未直接嵌入代表性错分原图。内部验收版可在确认许可或采用脱敏缩略图后，补充每个主要错误对的真实标签、预测标签、置信度、页面主题矿物及伴生关系分析。</w:t>
      </w:r>
    </w:p>
    <w:p w14:paraId="136B3A11" w14:textId="77777777" w:rsidR="00B8619C" w:rsidRDefault="00000000">
      <w:pPr>
        <w:pStyle w:val="21"/>
      </w:pPr>
      <w:r>
        <w:t xml:space="preserve">5.5 Focal Loss </w:t>
      </w:r>
      <w:r>
        <w:t>三随机种子消融讨论</w:t>
      </w:r>
    </w:p>
    <w:tbl>
      <w:tblPr>
        <w:tblStyle w:val="aff1"/>
        <w:tblW w:w="0" w:type="auto"/>
        <w:jc w:val="center"/>
        <w:tblLayout w:type="fixed"/>
        <w:tblLook w:val="04A0" w:firstRow="1" w:lastRow="0" w:firstColumn="1" w:lastColumn="0" w:noHBand="0" w:noVBand="1"/>
      </w:tblPr>
      <w:tblGrid>
        <w:gridCol w:w="2381"/>
        <w:gridCol w:w="1247"/>
        <w:gridCol w:w="1304"/>
        <w:gridCol w:w="1531"/>
        <w:gridCol w:w="1531"/>
        <w:gridCol w:w="1531"/>
      </w:tblGrid>
      <w:tr w:rsidR="00B8619C" w14:paraId="3E7CEBEA" w14:textId="77777777">
        <w:trPr>
          <w:cantSplit/>
          <w:tblHeader/>
          <w:jc w:val="center"/>
        </w:trPr>
        <w:tc>
          <w:tcPr>
            <w:tcW w:w="2381" w:type="dxa"/>
            <w:shd w:val="clear" w:color="auto" w:fill="D9EAF7"/>
            <w:tcMar>
              <w:top w:w="80" w:type="dxa"/>
              <w:left w:w="90" w:type="dxa"/>
              <w:bottom w:w="80" w:type="dxa"/>
              <w:right w:w="90" w:type="dxa"/>
            </w:tcMar>
            <w:vAlign w:val="center"/>
          </w:tcPr>
          <w:p w14:paraId="139F4EE2" w14:textId="77777777" w:rsidR="00B8619C" w:rsidRDefault="00000000">
            <w:pPr>
              <w:spacing w:after="0" w:line="264" w:lineRule="auto"/>
              <w:jc w:val="center"/>
            </w:pPr>
            <w:r>
              <w:rPr>
                <w:rFonts w:eastAsia="黑体"/>
                <w:b/>
                <w:sz w:val="15"/>
              </w:rPr>
              <w:t>设置</w:t>
            </w:r>
          </w:p>
        </w:tc>
        <w:tc>
          <w:tcPr>
            <w:tcW w:w="1247" w:type="dxa"/>
            <w:shd w:val="clear" w:color="auto" w:fill="D9EAF7"/>
            <w:tcMar>
              <w:top w:w="80" w:type="dxa"/>
              <w:left w:w="90" w:type="dxa"/>
              <w:bottom w:w="80" w:type="dxa"/>
              <w:right w:w="90" w:type="dxa"/>
            </w:tcMar>
            <w:vAlign w:val="center"/>
          </w:tcPr>
          <w:p w14:paraId="61A1EA20" w14:textId="77777777" w:rsidR="00B8619C" w:rsidRDefault="00000000">
            <w:pPr>
              <w:spacing w:after="0" w:line="264" w:lineRule="auto"/>
              <w:jc w:val="center"/>
            </w:pPr>
            <w:r>
              <w:rPr>
                <w:rFonts w:eastAsia="黑体"/>
                <w:b/>
                <w:sz w:val="15"/>
              </w:rPr>
              <w:t>Accuracy</w:t>
            </w:r>
            <w:r>
              <w:rPr>
                <w:rFonts w:eastAsia="黑体"/>
                <w:b/>
                <w:sz w:val="15"/>
              </w:rPr>
              <w:t>（</w:t>
            </w:r>
            <w:r>
              <w:rPr>
                <w:rFonts w:eastAsia="黑体"/>
                <w:b/>
                <w:sz w:val="15"/>
              </w:rPr>
              <w:t>%</w:t>
            </w:r>
            <w:r>
              <w:rPr>
                <w:rFonts w:eastAsia="黑体"/>
                <w:b/>
                <w:sz w:val="15"/>
              </w:rPr>
              <w:t>）</w:t>
            </w:r>
          </w:p>
        </w:tc>
        <w:tc>
          <w:tcPr>
            <w:tcW w:w="1304" w:type="dxa"/>
            <w:shd w:val="clear" w:color="auto" w:fill="D9EAF7"/>
            <w:tcMar>
              <w:top w:w="80" w:type="dxa"/>
              <w:left w:w="90" w:type="dxa"/>
              <w:bottom w:w="80" w:type="dxa"/>
              <w:right w:w="90" w:type="dxa"/>
            </w:tcMar>
            <w:vAlign w:val="center"/>
          </w:tcPr>
          <w:p w14:paraId="1B9FA60B" w14:textId="77777777" w:rsidR="00B8619C" w:rsidRDefault="00000000">
            <w:pPr>
              <w:spacing w:after="0" w:line="264" w:lineRule="auto"/>
              <w:jc w:val="center"/>
            </w:pPr>
            <w:r>
              <w:rPr>
                <w:rFonts w:eastAsia="黑体"/>
                <w:b/>
                <w:sz w:val="15"/>
              </w:rPr>
              <w:t>Macro F1</w:t>
            </w:r>
            <w:r>
              <w:rPr>
                <w:rFonts w:eastAsia="黑体"/>
                <w:b/>
                <w:sz w:val="15"/>
              </w:rPr>
              <w:t>（</w:t>
            </w:r>
            <w:r>
              <w:rPr>
                <w:rFonts w:eastAsia="黑体"/>
                <w:b/>
                <w:sz w:val="15"/>
              </w:rPr>
              <w:t>%</w:t>
            </w:r>
            <w:r>
              <w:rPr>
                <w:rFonts w:eastAsia="黑体"/>
                <w:b/>
                <w:sz w:val="15"/>
              </w:rPr>
              <w:t>）</w:t>
            </w:r>
          </w:p>
        </w:tc>
        <w:tc>
          <w:tcPr>
            <w:tcW w:w="1531" w:type="dxa"/>
            <w:shd w:val="clear" w:color="auto" w:fill="D9EAF7"/>
            <w:tcMar>
              <w:top w:w="80" w:type="dxa"/>
              <w:left w:w="90" w:type="dxa"/>
              <w:bottom w:w="80" w:type="dxa"/>
              <w:right w:w="90" w:type="dxa"/>
            </w:tcMar>
            <w:vAlign w:val="center"/>
          </w:tcPr>
          <w:p w14:paraId="56B1B45C" w14:textId="77777777" w:rsidR="00B8619C" w:rsidRDefault="00000000">
            <w:pPr>
              <w:spacing w:after="0" w:line="264" w:lineRule="auto"/>
              <w:jc w:val="center"/>
            </w:pPr>
            <w:r>
              <w:rPr>
                <w:rFonts w:eastAsia="黑体"/>
                <w:b/>
                <w:sz w:val="15"/>
              </w:rPr>
              <w:t>目标矿物</w:t>
            </w:r>
            <w:r>
              <w:rPr>
                <w:rFonts w:eastAsia="黑体"/>
                <w:b/>
                <w:sz w:val="15"/>
              </w:rPr>
              <w:t xml:space="preserve"> Recall</w:t>
            </w:r>
            <w:r>
              <w:rPr>
                <w:rFonts w:eastAsia="黑体"/>
                <w:b/>
                <w:sz w:val="15"/>
              </w:rPr>
              <w:t>（</w:t>
            </w:r>
            <w:r>
              <w:rPr>
                <w:rFonts w:eastAsia="黑体"/>
                <w:b/>
                <w:sz w:val="15"/>
              </w:rPr>
              <w:t>%</w:t>
            </w:r>
            <w:r>
              <w:rPr>
                <w:rFonts w:eastAsia="黑体"/>
                <w:b/>
                <w:sz w:val="15"/>
              </w:rPr>
              <w:t>）</w:t>
            </w:r>
          </w:p>
        </w:tc>
        <w:tc>
          <w:tcPr>
            <w:tcW w:w="1531" w:type="dxa"/>
            <w:shd w:val="clear" w:color="auto" w:fill="D9EAF7"/>
            <w:tcMar>
              <w:top w:w="80" w:type="dxa"/>
              <w:left w:w="90" w:type="dxa"/>
              <w:bottom w:w="80" w:type="dxa"/>
              <w:right w:w="90" w:type="dxa"/>
            </w:tcMar>
            <w:vAlign w:val="center"/>
          </w:tcPr>
          <w:p w14:paraId="7A610862" w14:textId="77777777" w:rsidR="00B8619C" w:rsidRDefault="00000000">
            <w:pPr>
              <w:spacing w:after="0" w:line="264" w:lineRule="auto"/>
              <w:jc w:val="center"/>
            </w:pPr>
            <w:r>
              <w:rPr>
                <w:rFonts w:eastAsia="黑体"/>
                <w:b/>
                <w:sz w:val="15"/>
              </w:rPr>
              <w:t>含钛干扰</w:t>
            </w:r>
            <w:r>
              <w:rPr>
                <w:rFonts w:eastAsia="黑体"/>
                <w:b/>
                <w:sz w:val="15"/>
              </w:rPr>
              <w:t xml:space="preserve"> Recall</w:t>
            </w:r>
            <w:r>
              <w:rPr>
                <w:rFonts w:eastAsia="黑体"/>
                <w:b/>
                <w:sz w:val="15"/>
              </w:rPr>
              <w:t>（</w:t>
            </w:r>
            <w:r>
              <w:rPr>
                <w:rFonts w:eastAsia="黑体"/>
                <w:b/>
                <w:sz w:val="15"/>
              </w:rPr>
              <w:t>%</w:t>
            </w:r>
            <w:r>
              <w:rPr>
                <w:rFonts w:eastAsia="黑体"/>
                <w:b/>
                <w:sz w:val="15"/>
              </w:rPr>
              <w:t>）</w:t>
            </w:r>
          </w:p>
        </w:tc>
        <w:tc>
          <w:tcPr>
            <w:tcW w:w="1531" w:type="dxa"/>
            <w:shd w:val="clear" w:color="auto" w:fill="D9EAF7"/>
            <w:tcMar>
              <w:top w:w="80" w:type="dxa"/>
              <w:left w:w="90" w:type="dxa"/>
              <w:bottom w:w="80" w:type="dxa"/>
              <w:right w:w="90" w:type="dxa"/>
            </w:tcMar>
            <w:vAlign w:val="center"/>
          </w:tcPr>
          <w:p w14:paraId="778B8512" w14:textId="77777777" w:rsidR="00B8619C" w:rsidRDefault="00000000">
            <w:pPr>
              <w:spacing w:after="0" w:line="264" w:lineRule="auto"/>
              <w:jc w:val="center"/>
            </w:pPr>
            <w:r>
              <w:rPr>
                <w:rFonts w:eastAsia="黑体"/>
                <w:b/>
                <w:sz w:val="15"/>
              </w:rPr>
              <w:t>金属光泽干扰</w:t>
            </w:r>
            <w:r>
              <w:rPr>
                <w:rFonts w:eastAsia="黑体"/>
                <w:b/>
                <w:sz w:val="15"/>
              </w:rPr>
              <w:t xml:space="preserve"> Recall</w:t>
            </w:r>
            <w:r>
              <w:rPr>
                <w:rFonts w:eastAsia="黑体"/>
                <w:b/>
                <w:sz w:val="15"/>
              </w:rPr>
              <w:t>（</w:t>
            </w:r>
            <w:r>
              <w:rPr>
                <w:rFonts w:eastAsia="黑体"/>
                <w:b/>
                <w:sz w:val="15"/>
              </w:rPr>
              <w:t>%</w:t>
            </w:r>
            <w:r>
              <w:rPr>
                <w:rFonts w:eastAsia="黑体"/>
                <w:b/>
                <w:sz w:val="15"/>
              </w:rPr>
              <w:t>）</w:t>
            </w:r>
          </w:p>
        </w:tc>
      </w:tr>
      <w:tr w:rsidR="00B8619C" w14:paraId="18F5109A" w14:textId="77777777">
        <w:trPr>
          <w:cantSplit/>
          <w:jc w:val="center"/>
        </w:trPr>
        <w:tc>
          <w:tcPr>
            <w:tcW w:w="2381" w:type="dxa"/>
            <w:tcMar>
              <w:top w:w="80" w:type="dxa"/>
              <w:left w:w="90" w:type="dxa"/>
              <w:bottom w:w="80" w:type="dxa"/>
              <w:right w:w="90" w:type="dxa"/>
            </w:tcMar>
            <w:vAlign w:val="center"/>
          </w:tcPr>
          <w:p w14:paraId="59734AE5" w14:textId="77777777" w:rsidR="00B8619C" w:rsidRDefault="00000000">
            <w:pPr>
              <w:spacing w:after="0" w:line="264" w:lineRule="auto"/>
            </w:pPr>
            <w:r>
              <w:rPr>
                <w:sz w:val="15"/>
              </w:rPr>
              <w:t>加权交叉熵</w:t>
            </w:r>
          </w:p>
        </w:tc>
        <w:tc>
          <w:tcPr>
            <w:tcW w:w="1247" w:type="dxa"/>
            <w:tcMar>
              <w:top w:w="80" w:type="dxa"/>
              <w:left w:w="90" w:type="dxa"/>
              <w:bottom w:w="80" w:type="dxa"/>
              <w:right w:w="90" w:type="dxa"/>
            </w:tcMar>
            <w:vAlign w:val="center"/>
          </w:tcPr>
          <w:p w14:paraId="370D19B2" w14:textId="77777777" w:rsidR="00B8619C" w:rsidRDefault="00000000">
            <w:pPr>
              <w:spacing w:after="0" w:line="264" w:lineRule="auto"/>
            </w:pPr>
            <w:r>
              <w:rPr>
                <w:sz w:val="15"/>
              </w:rPr>
              <w:t>74.69 ± 1.28</w:t>
            </w:r>
          </w:p>
        </w:tc>
        <w:tc>
          <w:tcPr>
            <w:tcW w:w="1304" w:type="dxa"/>
            <w:tcMar>
              <w:top w:w="80" w:type="dxa"/>
              <w:left w:w="90" w:type="dxa"/>
              <w:bottom w:w="80" w:type="dxa"/>
              <w:right w:w="90" w:type="dxa"/>
            </w:tcMar>
            <w:vAlign w:val="center"/>
          </w:tcPr>
          <w:p w14:paraId="0C9F87BA" w14:textId="77777777" w:rsidR="00B8619C" w:rsidRDefault="00000000">
            <w:pPr>
              <w:spacing w:after="0" w:line="264" w:lineRule="auto"/>
            </w:pPr>
            <w:r>
              <w:rPr>
                <w:sz w:val="15"/>
              </w:rPr>
              <w:t>72.87 ± 1.21</w:t>
            </w:r>
          </w:p>
        </w:tc>
        <w:tc>
          <w:tcPr>
            <w:tcW w:w="1531" w:type="dxa"/>
            <w:tcMar>
              <w:top w:w="80" w:type="dxa"/>
              <w:left w:w="90" w:type="dxa"/>
              <w:bottom w:w="80" w:type="dxa"/>
              <w:right w:w="90" w:type="dxa"/>
            </w:tcMar>
            <w:vAlign w:val="center"/>
          </w:tcPr>
          <w:p w14:paraId="5F2697AD" w14:textId="77777777" w:rsidR="00B8619C" w:rsidRDefault="00000000">
            <w:pPr>
              <w:spacing w:after="0" w:line="264" w:lineRule="auto"/>
            </w:pPr>
            <w:r>
              <w:rPr>
                <w:sz w:val="15"/>
              </w:rPr>
              <w:t>71.98 ± 0.83</w:t>
            </w:r>
          </w:p>
        </w:tc>
        <w:tc>
          <w:tcPr>
            <w:tcW w:w="1531" w:type="dxa"/>
            <w:tcMar>
              <w:top w:w="80" w:type="dxa"/>
              <w:left w:w="90" w:type="dxa"/>
              <w:bottom w:w="80" w:type="dxa"/>
              <w:right w:w="90" w:type="dxa"/>
            </w:tcMar>
            <w:vAlign w:val="center"/>
          </w:tcPr>
          <w:p w14:paraId="6695AF06" w14:textId="77777777" w:rsidR="00B8619C" w:rsidRDefault="00000000">
            <w:pPr>
              <w:spacing w:after="0" w:line="264" w:lineRule="auto"/>
            </w:pPr>
            <w:r>
              <w:rPr>
                <w:sz w:val="15"/>
              </w:rPr>
              <w:t>74.34 ± 2.15</w:t>
            </w:r>
          </w:p>
        </w:tc>
        <w:tc>
          <w:tcPr>
            <w:tcW w:w="1531" w:type="dxa"/>
            <w:tcMar>
              <w:top w:w="80" w:type="dxa"/>
              <w:left w:w="90" w:type="dxa"/>
              <w:bottom w:w="80" w:type="dxa"/>
              <w:right w:w="90" w:type="dxa"/>
            </w:tcMar>
            <w:vAlign w:val="center"/>
          </w:tcPr>
          <w:p w14:paraId="17685798" w14:textId="77777777" w:rsidR="00B8619C" w:rsidRDefault="00000000">
            <w:pPr>
              <w:spacing w:after="0" w:line="264" w:lineRule="auto"/>
            </w:pPr>
            <w:r>
              <w:rPr>
                <w:sz w:val="15"/>
              </w:rPr>
              <w:t>64.39 ± 3.47</w:t>
            </w:r>
          </w:p>
        </w:tc>
      </w:tr>
      <w:tr w:rsidR="00B8619C" w14:paraId="7292F43C" w14:textId="77777777">
        <w:trPr>
          <w:cantSplit/>
          <w:jc w:val="center"/>
        </w:trPr>
        <w:tc>
          <w:tcPr>
            <w:tcW w:w="2381" w:type="dxa"/>
            <w:tcMar>
              <w:top w:w="80" w:type="dxa"/>
              <w:left w:w="90" w:type="dxa"/>
              <w:bottom w:w="80" w:type="dxa"/>
              <w:right w:w="90" w:type="dxa"/>
            </w:tcMar>
            <w:vAlign w:val="center"/>
          </w:tcPr>
          <w:p w14:paraId="0C8AA822" w14:textId="77777777" w:rsidR="00B8619C" w:rsidRDefault="00000000">
            <w:pPr>
              <w:spacing w:after="0" w:line="264" w:lineRule="auto"/>
            </w:pPr>
            <w:r>
              <w:rPr>
                <w:sz w:val="15"/>
              </w:rPr>
              <w:t>加权</w:t>
            </w:r>
            <w:r>
              <w:rPr>
                <w:sz w:val="15"/>
              </w:rPr>
              <w:t xml:space="preserve"> Focal Loss</w:t>
            </w:r>
            <w:r>
              <w:rPr>
                <w:sz w:val="15"/>
              </w:rPr>
              <w:t>（</w:t>
            </w:r>
            <w:r>
              <w:rPr>
                <w:sz w:val="15"/>
              </w:rPr>
              <w:t>gamma=2.0</w:t>
            </w:r>
            <w:r>
              <w:rPr>
                <w:sz w:val="15"/>
              </w:rPr>
              <w:t>）</w:t>
            </w:r>
          </w:p>
        </w:tc>
        <w:tc>
          <w:tcPr>
            <w:tcW w:w="1247" w:type="dxa"/>
            <w:tcMar>
              <w:top w:w="80" w:type="dxa"/>
              <w:left w:w="90" w:type="dxa"/>
              <w:bottom w:w="80" w:type="dxa"/>
              <w:right w:w="90" w:type="dxa"/>
            </w:tcMar>
            <w:vAlign w:val="center"/>
          </w:tcPr>
          <w:p w14:paraId="3E60DF11" w14:textId="77777777" w:rsidR="00B8619C" w:rsidRDefault="00000000">
            <w:pPr>
              <w:spacing w:after="0" w:line="264" w:lineRule="auto"/>
            </w:pPr>
            <w:r>
              <w:rPr>
                <w:sz w:val="15"/>
              </w:rPr>
              <w:t>75.21 ± 0.74</w:t>
            </w:r>
          </w:p>
        </w:tc>
        <w:tc>
          <w:tcPr>
            <w:tcW w:w="1304" w:type="dxa"/>
            <w:tcMar>
              <w:top w:w="80" w:type="dxa"/>
              <w:left w:w="90" w:type="dxa"/>
              <w:bottom w:w="80" w:type="dxa"/>
              <w:right w:w="90" w:type="dxa"/>
            </w:tcMar>
            <w:vAlign w:val="center"/>
          </w:tcPr>
          <w:p w14:paraId="255A6A4A" w14:textId="77777777" w:rsidR="00B8619C" w:rsidRDefault="00000000">
            <w:pPr>
              <w:spacing w:after="0" w:line="264" w:lineRule="auto"/>
            </w:pPr>
            <w:r>
              <w:rPr>
                <w:sz w:val="15"/>
              </w:rPr>
              <w:t>73.22 ± 0.83</w:t>
            </w:r>
          </w:p>
        </w:tc>
        <w:tc>
          <w:tcPr>
            <w:tcW w:w="1531" w:type="dxa"/>
            <w:tcMar>
              <w:top w:w="80" w:type="dxa"/>
              <w:left w:w="90" w:type="dxa"/>
              <w:bottom w:w="80" w:type="dxa"/>
              <w:right w:w="90" w:type="dxa"/>
            </w:tcMar>
            <w:vAlign w:val="center"/>
          </w:tcPr>
          <w:p w14:paraId="18AC6DEE" w14:textId="77777777" w:rsidR="00B8619C" w:rsidRDefault="00000000">
            <w:pPr>
              <w:spacing w:after="0" w:line="264" w:lineRule="auto"/>
            </w:pPr>
            <w:r>
              <w:rPr>
                <w:sz w:val="15"/>
              </w:rPr>
              <w:t>72.11 ± 0.80</w:t>
            </w:r>
          </w:p>
        </w:tc>
        <w:tc>
          <w:tcPr>
            <w:tcW w:w="1531" w:type="dxa"/>
            <w:tcMar>
              <w:top w:w="80" w:type="dxa"/>
              <w:left w:w="90" w:type="dxa"/>
              <w:bottom w:w="80" w:type="dxa"/>
              <w:right w:w="90" w:type="dxa"/>
            </w:tcMar>
            <w:vAlign w:val="center"/>
          </w:tcPr>
          <w:p w14:paraId="2A01FD28" w14:textId="77777777" w:rsidR="00B8619C" w:rsidRDefault="00000000">
            <w:pPr>
              <w:spacing w:after="0" w:line="264" w:lineRule="auto"/>
            </w:pPr>
            <w:r>
              <w:rPr>
                <w:sz w:val="15"/>
              </w:rPr>
              <w:t>76.99 ± 1.78</w:t>
            </w:r>
          </w:p>
        </w:tc>
        <w:tc>
          <w:tcPr>
            <w:tcW w:w="1531" w:type="dxa"/>
            <w:tcMar>
              <w:top w:w="80" w:type="dxa"/>
              <w:left w:w="90" w:type="dxa"/>
              <w:bottom w:w="80" w:type="dxa"/>
              <w:right w:w="90" w:type="dxa"/>
            </w:tcMar>
            <w:vAlign w:val="center"/>
          </w:tcPr>
          <w:p w14:paraId="2959BC21" w14:textId="77777777" w:rsidR="00B8619C" w:rsidRDefault="00000000">
            <w:pPr>
              <w:spacing w:after="0" w:line="264" w:lineRule="auto"/>
            </w:pPr>
            <w:r>
              <w:rPr>
                <w:sz w:val="15"/>
              </w:rPr>
              <w:t>61.93 ± 3.41</w:t>
            </w:r>
          </w:p>
        </w:tc>
      </w:tr>
    </w:tbl>
    <w:p w14:paraId="0AB08F1F" w14:textId="77777777" w:rsidR="00B8619C" w:rsidRDefault="00000000">
      <w:pPr>
        <w:pStyle w:val="af7"/>
        <w:keepNext/>
        <w:spacing w:after="100"/>
        <w:jc w:val="center"/>
      </w:pPr>
      <w:r>
        <w:lastRenderedPageBreak/>
        <w:t>表</w:t>
      </w:r>
      <w:r>
        <w:t xml:space="preserve"> 13 </w:t>
      </w:r>
      <w:r>
        <w:t>加权交叉熵与</w:t>
      </w:r>
      <w:r>
        <w:t xml:space="preserve"> Focal Loss </w:t>
      </w:r>
      <w:r>
        <w:t>的三随机种子结果</w:t>
      </w:r>
    </w:p>
    <w:p w14:paraId="326F4C57" w14:textId="77777777" w:rsidR="00B8619C" w:rsidRDefault="00000000">
      <w:pPr>
        <w:ind w:firstLine="420"/>
        <w:jc w:val="both"/>
      </w:pPr>
      <w:r>
        <w:t xml:space="preserve">Focal Loss </w:t>
      </w:r>
      <w:r>
        <w:t>的平均</w:t>
      </w:r>
      <w:r>
        <w:t xml:space="preserve"> Macro F1 </w:t>
      </w:r>
      <w:r>
        <w:t>高</w:t>
      </w:r>
      <w:r>
        <w:t xml:space="preserve"> 0.35 </w:t>
      </w:r>
      <w:r>
        <w:t>个百分点，含钛干扰召回率提高</w:t>
      </w:r>
      <w:r>
        <w:t xml:space="preserve"> 2.65 </w:t>
      </w:r>
      <w:r>
        <w:t>个百分点，但金属光泽干扰召回率降低</w:t>
      </w:r>
      <w:r>
        <w:t xml:space="preserve"> 2.46 </w:t>
      </w:r>
      <w:r>
        <w:t>个百分点；目标代理</w:t>
      </w:r>
      <w:r>
        <w:t xml:space="preserve"> F1 </w:t>
      </w:r>
      <w:r>
        <w:t>下降且金属光泽干扰误入目标上升。总体差异小于或接近种子间波动，关键风险指标也未形成一致改善，因此不能表述为稳定优于交叉熵。</w:t>
      </w:r>
    </w:p>
    <w:p w14:paraId="72D0624B" w14:textId="77777777" w:rsidR="00B8619C" w:rsidRDefault="00000000">
      <w:pPr>
        <w:keepNext/>
        <w:jc w:val="center"/>
      </w:pPr>
      <w:r>
        <w:rPr>
          <w:noProof/>
        </w:rPr>
        <w:drawing>
          <wp:inline distT="0" distB="0" distL="0" distR="0" wp14:anchorId="49711E82" wp14:editId="13AC43AF">
            <wp:extent cx="5580000" cy="25539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3"/>
                    <a:stretch>
                      <a:fillRect/>
                    </a:stretch>
                  </pic:blipFill>
                  <pic:spPr>
                    <a:xfrm>
                      <a:off x="0" y="0"/>
                      <a:ext cx="5580000" cy="2553970"/>
                    </a:xfrm>
                    <a:prstGeom prst="rect">
                      <a:avLst/>
                    </a:prstGeom>
                  </pic:spPr>
                </pic:pic>
              </a:graphicData>
            </a:graphic>
          </wp:inline>
        </w:drawing>
      </w:r>
    </w:p>
    <w:p w14:paraId="3F57DC65" w14:textId="77777777" w:rsidR="00B8619C" w:rsidRDefault="00000000">
      <w:pPr>
        <w:pStyle w:val="af7"/>
        <w:keepNext/>
        <w:spacing w:after="100" w:line="360" w:lineRule="auto"/>
        <w:jc w:val="center"/>
      </w:pPr>
      <w:r>
        <w:rPr>
          <w:rFonts w:ascii="宋体" w:hAnsi="宋体" w:eastAsia="宋体"/>
          <w:sz w:val="21"/>
        </w:rPr>
        <w:t>图 11 加权交叉熵与加权 Focal Loss 的三随机种子消融</w:t>
      </w:r>
    </w:p>
    <w:p w14:paraId="28AEDFFE" w14:textId="77777777" w:rsidR="00B8619C" w:rsidRDefault="00000000">
      <w:pPr>
        <w:pStyle w:val="21"/>
      </w:pPr>
      <w:r>
        <w:t xml:space="preserve">5.6 </w:t>
      </w:r>
      <w:r>
        <w:t>角色感知困难负样本学习讨论</w:t>
      </w:r>
    </w:p>
    <w:p w14:paraId="57D3C9D2" w14:textId="77777777" w:rsidR="00B8619C" w:rsidRDefault="00000000">
      <w:pPr>
        <w:ind w:firstLine="420"/>
        <w:jc w:val="both"/>
      </w:pPr>
      <w:r>
        <w:t>角色感知模型的四分类</w:t>
      </w:r>
      <w:r>
        <w:t xml:space="preserve"> Macro F1 </w:t>
      </w:r>
      <w:r>
        <w:t>为</w:t>
      </w:r>
      <w:r>
        <w:t xml:space="preserve"> 73.02%±1.09%</w:t>
      </w:r>
      <w:r>
        <w:t>，较普通</w:t>
      </w:r>
      <w:r>
        <w:t xml:space="preserve"> EfficientNet-B0 </w:t>
      </w:r>
      <w:r>
        <w:t>仅提高</w:t>
      </w:r>
      <w:r>
        <w:t xml:space="preserve"> 0.15 </w:t>
      </w:r>
      <w:r>
        <w:t>个百分点。其更明确的变化发生在风险方向：含钛干扰和金属光泽干扰误入目标分别降至</w:t>
      </w:r>
      <w:r>
        <w:t xml:space="preserve"> 7.74%±0.35% </w:t>
      </w:r>
      <w:r>
        <w:t>和</w:t>
      </w:r>
      <w:r>
        <w:t xml:space="preserve"> 9.66%±0.98%</w:t>
      </w:r>
      <w:r>
        <w:t>，但目标召回降至</w:t>
      </w:r>
      <w:r>
        <w:t xml:space="preserve"> 68.39%</w:t>
      </w:r>
      <w:r>
        <w:t>。该模型可视为针对高风险误入错误的保守策略原型，而非总体性能提升方法。</w:t>
      </w:r>
    </w:p>
    <w:p w14:paraId="72F2601E" w14:textId="77777777" w:rsidR="00B8619C" w:rsidRDefault="00000000">
      <w:pPr>
        <w:pStyle w:val="21"/>
      </w:pPr>
      <w:r>
        <w:t xml:space="preserve">5.7 </w:t>
      </w:r>
      <w:r>
        <w:t>分层一致性模型讨论</w:t>
      </w:r>
    </w:p>
    <w:tbl>
      <w:tblPr>
        <w:tblStyle w:val="aff1"/>
        <w:tblW w:w="0" w:type="auto"/>
        <w:jc w:val="center"/>
        <w:tblLayout w:type="fixed"/>
        <w:tblLook w:val="04A0" w:firstRow="1" w:lastRow="0" w:firstColumn="1" w:lastColumn="0" w:noHBand="0" w:noVBand="1"/>
      </w:tblPr>
      <w:tblGrid>
        <w:gridCol w:w="2551"/>
        <w:gridCol w:w="1587"/>
        <w:gridCol w:w="1587"/>
        <w:gridCol w:w="1871"/>
        <w:gridCol w:w="1871"/>
      </w:tblGrid>
      <w:tr w:rsidR="00B8619C" w14:paraId="1B691BBE" w14:textId="77777777">
        <w:trPr>
          <w:cantSplit/>
          <w:tblHeader/>
          <w:jc w:val="center"/>
        </w:trPr>
        <w:tc>
          <w:tcPr>
            <w:tcW w:w="2551" w:type="dxa"/>
            <w:shd w:val="clear" w:color="auto" w:fill="D9EAF7"/>
            <w:tcMar>
              <w:top w:w="80" w:type="dxa"/>
              <w:left w:w="90" w:type="dxa"/>
              <w:bottom w:w="80" w:type="dxa"/>
              <w:right w:w="90" w:type="dxa"/>
            </w:tcMar>
            <w:vAlign w:val="center"/>
          </w:tcPr>
          <w:p w14:paraId="575E4F24" w14:textId="77777777" w:rsidR="00B8619C" w:rsidRDefault="00000000">
            <w:pPr>
              <w:spacing w:after="0" w:line="264" w:lineRule="auto"/>
              <w:jc w:val="center"/>
            </w:pPr>
            <w:r>
              <w:rPr>
                <w:rFonts w:eastAsia="黑体"/>
                <w:b/>
                <w:sz w:val="16"/>
              </w:rPr>
              <w:t>设置</w:t>
            </w:r>
          </w:p>
        </w:tc>
        <w:tc>
          <w:tcPr>
            <w:tcW w:w="1587" w:type="dxa"/>
            <w:shd w:val="clear" w:color="auto" w:fill="D9EAF7"/>
            <w:tcMar>
              <w:top w:w="80" w:type="dxa"/>
              <w:left w:w="90" w:type="dxa"/>
              <w:bottom w:w="80" w:type="dxa"/>
              <w:right w:w="90" w:type="dxa"/>
            </w:tcMar>
            <w:vAlign w:val="center"/>
          </w:tcPr>
          <w:p w14:paraId="580EF5D0" w14:textId="77777777" w:rsidR="00B8619C" w:rsidRDefault="00000000">
            <w:pPr>
              <w:spacing w:after="0" w:line="264" w:lineRule="auto"/>
              <w:jc w:val="center"/>
            </w:pPr>
            <w:r>
              <w:rPr>
                <w:rFonts w:eastAsia="黑体"/>
                <w:b/>
                <w:sz w:val="16"/>
              </w:rPr>
              <w:t>目标代理</w:t>
            </w:r>
            <w:r>
              <w:rPr>
                <w:rFonts w:eastAsia="黑体"/>
                <w:b/>
                <w:sz w:val="16"/>
              </w:rPr>
              <w:t xml:space="preserve"> F1</w:t>
            </w:r>
            <w:r>
              <w:rPr>
                <w:rFonts w:eastAsia="黑体"/>
                <w:b/>
                <w:sz w:val="16"/>
              </w:rPr>
              <w:t>（</w:t>
            </w:r>
            <w:r>
              <w:rPr>
                <w:rFonts w:eastAsia="黑体"/>
                <w:b/>
                <w:sz w:val="16"/>
              </w:rPr>
              <w:t>%</w:t>
            </w:r>
            <w:r>
              <w:rPr>
                <w:rFonts w:eastAsia="黑体"/>
                <w:b/>
                <w:sz w:val="16"/>
              </w:rPr>
              <w:t>）</w:t>
            </w:r>
          </w:p>
        </w:tc>
        <w:tc>
          <w:tcPr>
            <w:tcW w:w="1587" w:type="dxa"/>
            <w:shd w:val="clear" w:color="auto" w:fill="D9EAF7"/>
            <w:tcMar>
              <w:top w:w="80" w:type="dxa"/>
              <w:left w:w="90" w:type="dxa"/>
              <w:bottom w:w="80" w:type="dxa"/>
              <w:right w:w="90" w:type="dxa"/>
            </w:tcMar>
            <w:vAlign w:val="center"/>
          </w:tcPr>
          <w:p w14:paraId="50F90F51" w14:textId="77777777" w:rsidR="00B8619C" w:rsidRDefault="00000000">
            <w:pPr>
              <w:spacing w:after="0" w:line="264" w:lineRule="auto"/>
              <w:jc w:val="center"/>
            </w:pPr>
            <w:r>
              <w:rPr>
                <w:rFonts w:eastAsia="黑体"/>
                <w:b/>
                <w:sz w:val="16"/>
              </w:rPr>
              <w:t>目标漏选率（</w:t>
            </w:r>
            <w:r>
              <w:rPr>
                <w:rFonts w:eastAsia="黑体"/>
                <w:b/>
                <w:sz w:val="16"/>
              </w:rPr>
              <w:t>%</w:t>
            </w:r>
            <w:r>
              <w:rPr>
                <w:rFonts w:eastAsia="黑体"/>
                <w:b/>
                <w:sz w:val="16"/>
              </w:rPr>
              <w:t>）</w:t>
            </w:r>
          </w:p>
        </w:tc>
        <w:tc>
          <w:tcPr>
            <w:tcW w:w="1871" w:type="dxa"/>
            <w:shd w:val="clear" w:color="auto" w:fill="D9EAF7"/>
            <w:tcMar>
              <w:top w:w="80" w:type="dxa"/>
              <w:left w:w="90" w:type="dxa"/>
              <w:bottom w:w="80" w:type="dxa"/>
              <w:right w:w="90" w:type="dxa"/>
            </w:tcMar>
            <w:vAlign w:val="center"/>
          </w:tcPr>
          <w:p w14:paraId="7DCD7FB2" w14:textId="77777777" w:rsidR="00B8619C" w:rsidRDefault="00000000">
            <w:pPr>
              <w:spacing w:after="0" w:line="264" w:lineRule="auto"/>
              <w:jc w:val="center"/>
            </w:pPr>
            <w:r>
              <w:rPr>
                <w:rFonts w:eastAsia="黑体"/>
                <w:b/>
                <w:sz w:val="16"/>
              </w:rPr>
              <w:t>含钛干扰误入目标（</w:t>
            </w:r>
            <w:r>
              <w:rPr>
                <w:rFonts w:eastAsia="黑体"/>
                <w:b/>
                <w:sz w:val="16"/>
              </w:rPr>
              <w:t>%</w:t>
            </w:r>
            <w:r>
              <w:rPr>
                <w:rFonts w:eastAsia="黑体"/>
                <w:b/>
                <w:sz w:val="16"/>
              </w:rPr>
              <w:t>）</w:t>
            </w:r>
          </w:p>
        </w:tc>
        <w:tc>
          <w:tcPr>
            <w:tcW w:w="1871" w:type="dxa"/>
            <w:shd w:val="clear" w:color="auto" w:fill="D9EAF7"/>
            <w:tcMar>
              <w:top w:w="80" w:type="dxa"/>
              <w:left w:w="90" w:type="dxa"/>
              <w:bottom w:w="80" w:type="dxa"/>
              <w:right w:w="90" w:type="dxa"/>
            </w:tcMar>
            <w:vAlign w:val="center"/>
          </w:tcPr>
          <w:p w14:paraId="4FA8D7BC" w14:textId="77777777" w:rsidR="00B8619C" w:rsidRDefault="00000000">
            <w:pPr>
              <w:spacing w:after="0" w:line="264" w:lineRule="auto"/>
              <w:jc w:val="center"/>
            </w:pPr>
            <w:r>
              <w:rPr>
                <w:rFonts w:eastAsia="黑体"/>
                <w:b/>
                <w:sz w:val="16"/>
              </w:rPr>
              <w:t>金属光泽干扰误入目标（</w:t>
            </w:r>
            <w:r>
              <w:rPr>
                <w:rFonts w:eastAsia="黑体"/>
                <w:b/>
                <w:sz w:val="16"/>
              </w:rPr>
              <w:t>%</w:t>
            </w:r>
            <w:r>
              <w:rPr>
                <w:rFonts w:eastAsia="黑体"/>
                <w:b/>
                <w:sz w:val="16"/>
              </w:rPr>
              <w:t>）</w:t>
            </w:r>
          </w:p>
        </w:tc>
      </w:tr>
      <w:tr w:rsidR="00B8619C" w14:paraId="415CA9B1" w14:textId="77777777">
        <w:trPr>
          <w:cantSplit/>
          <w:jc w:val="center"/>
        </w:trPr>
        <w:tc>
          <w:tcPr>
            <w:tcW w:w="2551" w:type="dxa"/>
            <w:tcMar>
              <w:top w:w="80" w:type="dxa"/>
              <w:left w:w="90" w:type="dxa"/>
              <w:bottom w:w="80" w:type="dxa"/>
              <w:right w:w="90" w:type="dxa"/>
            </w:tcMar>
            <w:vAlign w:val="center"/>
          </w:tcPr>
          <w:p w14:paraId="2A5A16B3" w14:textId="77777777" w:rsidR="00B8619C" w:rsidRDefault="00000000">
            <w:pPr>
              <w:spacing w:after="0" w:line="264" w:lineRule="auto"/>
            </w:pPr>
            <w:r>
              <w:rPr>
                <w:sz w:val="16"/>
              </w:rPr>
              <w:t>普通</w:t>
            </w:r>
            <w:r>
              <w:rPr>
                <w:sz w:val="16"/>
              </w:rPr>
              <w:t xml:space="preserve"> EfficientNet-B0</w:t>
            </w:r>
          </w:p>
        </w:tc>
        <w:tc>
          <w:tcPr>
            <w:tcW w:w="1587" w:type="dxa"/>
            <w:tcMar>
              <w:top w:w="80" w:type="dxa"/>
              <w:left w:w="90" w:type="dxa"/>
              <w:bottom w:w="80" w:type="dxa"/>
              <w:right w:w="90" w:type="dxa"/>
            </w:tcMar>
            <w:vAlign w:val="center"/>
          </w:tcPr>
          <w:p w14:paraId="5D25A03A" w14:textId="77777777" w:rsidR="00B8619C" w:rsidRDefault="00000000">
            <w:pPr>
              <w:spacing w:after="0" w:line="264" w:lineRule="auto"/>
            </w:pPr>
            <w:r>
              <w:rPr>
                <w:sz w:val="16"/>
              </w:rPr>
              <w:t>70.45 ± 1.34</w:t>
            </w:r>
          </w:p>
        </w:tc>
        <w:tc>
          <w:tcPr>
            <w:tcW w:w="1587" w:type="dxa"/>
            <w:tcMar>
              <w:top w:w="80" w:type="dxa"/>
              <w:left w:w="90" w:type="dxa"/>
              <w:bottom w:w="80" w:type="dxa"/>
              <w:right w:w="90" w:type="dxa"/>
            </w:tcMar>
            <w:vAlign w:val="center"/>
          </w:tcPr>
          <w:p w14:paraId="0780AAB0" w14:textId="77777777" w:rsidR="00B8619C" w:rsidRDefault="00000000">
            <w:pPr>
              <w:spacing w:after="0" w:line="264" w:lineRule="auto"/>
            </w:pPr>
            <w:r>
              <w:rPr>
                <w:sz w:val="16"/>
              </w:rPr>
              <w:t>28.02 ± 0.46</w:t>
            </w:r>
          </w:p>
        </w:tc>
        <w:tc>
          <w:tcPr>
            <w:tcW w:w="1871" w:type="dxa"/>
            <w:tcMar>
              <w:top w:w="80" w:type="dxa"/>
              <w:left w:w="90" w:type="dxa"/>
              <w:bottom w:w="80" w:type="dxa"/>
              <w:right w:w="90" w:type="dxa"/>
            </w:tcMar>
            <w:vAlign w:val="center"/>
          </w:tcPr>
          <w:p w14:paraId="6E20DEB4" w14:textId="77777777" w:rsidR="00B8619C" w:rsidRDefault="00000000">
            <w:pPr>
              <w:spacing w:after="0" w:line="264" w:lineRule="auto"/>
            </w:pPr>
            <w:r>
              <w:rPr>
                <w:sz w:val="16"/>
              </w:rPr>
              <w:t>9.84 ± 1.24</w:t>
            </w:r>
          </w:p>
        </w:tc>
        <w:tc>
          <w:tcPr>
            <w:tcW w:w="1871" w:type="dxa"/>
            <w:tcMar>
              <w:top w:w="80" w:type="dxa"/>
              <w:left w:w="90" w:type="dxa"/>
              <w:bottom w:w="80" w:type="dxa"/>
              <w:right w:w="90" w:type="dxa"/>
            </w:tcMar>
            <w:vAlign w:val="center"/>
          </w:tcPr>
          <w:p w14:paraId="7E0C8524" w14:textId="77777777" w:rsidR="00B8619C" w:rsidRDefault="00000000">
            <w:pPr>
              <w:spacing w:after="0" w:line="264" w:lineRule="auto"/>
            </w:pPr>
            <w:r>
              <w:rPr>
                <w:sz w:val="16"/>
              </w:rPr>
              <w:t>11.55 ± 0.66</w:t>
            </w:r>
          </w:p>
        </w:tc>
      </w:tr>
      <w:tr w:rsidR="00B8619C" w14:paraId="782B7E3B" w14:textId="77777777">
        <w:trPr>
          <w:cantSplit/>
          <w:jc w:val="center"/>
        </w:trPr>
        <w:tc>
          <w:tcPr>
            <w:tcW w:w="2551" w:type="dxa"/>
            <w:tcMar>
              <w:top w:w="80" w:type="dxa"/>
              <w:left w:w="90" w:type="dxa"/>
              <w:bottom w:w="80" w:type="dxa"/>
              <w:right w:w="90" w:type="dxa"/>
            </w:tcMar>
            <w:vAlign w:val="center"/>
          </w:tcPr>
          <w:p w14:paraId="1AE6CFA2" w14:textId="77777777" w:rsidR="00B8619C" w:rsidRDefault="00000000">
            <w:pPr>
              <w:spacing w:after="0" w:line="264" w:lineRule="auto"/>
            </w:pPr>
            <w:r>
              <w:rPr>
                <w:sz w:val="16"/>
              </w:rPr>
              <w:t>分层一致性</w:t>
            </w:r>
            <w:r>
              <w:rPr>
                <w:sz w:val="16"/>
              </w:rPr>
              <w:t xml:space="preserve"> EfficientNet-B0</w:t>
            </w:r>
          </w:p>
        </w:tc>
        <w:tc>
          <w:tcPr>
            <w:tcW w:w="1587" w:type="dxa"/>
            <w:tcMar>
              <w:top w:w="80" w:type="dxa"/>
              <w:left w:w="90" w:type="dxa"/>
              <w:bottom w:w="80" w:type="dxa"/>
              <w:right w:w="90" w:type="dxa"/>
            </w:tcMar>
            <w:vAlign w:val="center"/>
          </w:tcPr>
          <w:p w14:paraId="23B835A5" w14:textId="77777777" w:rsidR="00B8619C" w:rsidRDefault="00000000">
            <w:pPr>
              <w:spacing w:after="0" w:line="264" w:lineRule="auto"/>
            </w:pPr>
            <w:r>
              <w:rPr>
                <w:sz w:val="16"/>
              </w:rPr>
              <w:t>72.04 ± 2.05</w:t>
            </w:r>
          </w:p>
        </w:tc>
        <w:tc>
          <w:tcPr>
            <w:tcW w:w="1587" w:type="dxa"/>
            <w:tcMar>
              <w:top w:w="80" w:type="dxa"/>
              <w:left w:w="90" w:type="dxa"/>
              <w:bottom w:w="80" w:type="dxa"/>
              <w:right w:w="90" w:type="dxa"/>
            </w:tcMar>
            <w:vAlign w:val="center"/>
          </w:tcPr>
          <w:p w14:paraId="6CEED2D4" w14:textId="77777777" w:rsidR="00B8619C" w:rsidRDefault="00000000">
            <w:pPr>
              <w:spacing w:after="0" w:line="264" w:lineRule="auto"/>
            </w:pPr>
            <w:r>
              <w:rPr>
                <w:sz w:val="16"/>
              </w:rPr>
              <w:t>22.44 ± 2.19</w:t>
            </w:r>
          </w:p>
        </w:tc>
        <w:tc>
          <w:tcPr>
            <w:tcW w:w="1871" w:type="dxa"/>
            <w:tcMar>
              <w:top w:w="80" w:type="dxa"/>
              <w:left w:w="90" w:type="dxa"/>
              <w:bottom w:w="80" w:type="dxa"/>
              <w:right w:w="90" w:type="dxa"/>
            </w:tcMar>
            <w:vAlign w:val="center"/>
          </w:tcPr>
          <w:p w14:paraId="211B11B1" w14:textId="77777777" w:rsidR="00B8619C" w:rsidRDefault="00000000">
            <w:pPr>
              <w:spacing w:after="0" w:line="264" w:lineRule="auto"/>
            </w:pPr>
            <w:r>
              <w:rPr>
                <w:sz w:val="16"/>
              </w:rPr>
              <w:t>10.93 ± 3.37</w:t>
            </w:r>
          </w:p>
        </w:tc>
        <w:tc>
          <w:tcPr>
            <w:tcW w:w="1871" w:type="dxa"/>
            <w:tcMar>
              <w:top w:w="80" w:type="dxa"/>
              <w:left w:w="90" w:type="dxa"/>
              <w:bottom w:w="80" w:type="dxa"/>
              <w:right w:w="90" w:type="dxa"/>
            </w:tcMar>
            <w:vAlign w:val="center"/>
          </w:tcPr>
          <w:p w14:paraId="268284C0" w14:textId="77777777" w:rsidR="00B8619C" w:rsidRDefault="00000000">
            <w:pPr>
              <w:spacing w:after="0" w:line="264" w:lineRule="auto"/>
            </w:pPr>
            <w:r>
              <w:rPr>
                <w:sz w:val="16"/>
              </w:rPr>
              <w:t>14.39 ± 2.92</w:t>
            </w:r>
          </w:p>
        </w:tc>
      </w:tr>
    </w:tbl>
    <w:p w14:paraId="37969E63" w14:textId="77777777" w:rsidR="00B8619C" w:rsidRDefault="00000000">
      <w:pPr>
        <w:pStyle w:val="af7"/>
        <w:keepNext/>
        <w:spacing w:after="100"/>
        <w:jc w:val="center"/>
      </w:pPr>
      <w:r>
        <w:t>表</w:t>
      </w:r>
      <w:r>
        <w:t xml:space="preserve"> 14 </w:t>
      </w:r>
      <w:r>
        <w:t>分层模型与普通</w:t>
      </w:r>
      <w:r>
        <w:t xml:space="preserve"> EfficientNet-B0 </w:t>
      </w:r>
      <w:r>
        <w:t>的目标代理风险比较</w:t>
      </w:r>
    </w:p>
    <w:p w14:paraId="284706AC" w14:textId="77777777" w:rsidR="00B8619C" w:rsidRDefault="00000000">
      <w:pPr>
        <w:ind w:firstLine="420"/>
        <w:jc w:val="both"/>
      </w:pPr>
      <w:r>
        <w:t>分层模型在</w:t>
      </w:r>
      <w:r>
        <w:t xml:space="preserve"> 17 </w:t>
      </w:r>
      <w:r>
        <w:t>类种类头上的平均测试</w:t>
      </w:r>
      <w:r>
        <w:t xml:space="preserve"> Accuracy </w:t>
      </w:r>
      <w:r>
        <w:t>为</w:t>
      </w:r>
      <w:r>
        <w:t xml:space="preserve"> 56.80%±2.23%</w:t>
      </w:r>
      <w:r>
        <w:t>，角色主任务</w:t>
      </w:r>
      <w:r>
        <w:t xml:space="preserve"> Macro F1 </w:t>
      </w:r>
      <w:r>
        <w:t>为</w:t>
      </w:r>
      <w:r>
        <w:t xml:space="preserve"> 73.41%±2.40%</w:t>
      </w:r>
      <w:r>
        <w:t>。相较普通</w:t>
      </w:r>
      <w:r>
        <w:t xml:space="preserve"> EfficientNet-B0</w:t>
      </w:r>
      <w:r>
        <w:t>，分层模型降低目标漏选并提高目标代理</w:t>
      </w:r>
      <w:r>
        <w:t xml:space="preserve"> F1</w:t>
      </w:r>
      <w:r>
        <w:t>，却增加两类困难干扰误入目标的比例。该结果说明细粒度种类监督改变了决策边界，但尚未同时满足目标召回与困难干扰控制。</w:t>
      </w:r>
    </w:p>
    <w:p w14:paraId="47D7ABA2" w14:textId="77777777" w:rsidR="00B8619C" w:rsidRDefault="00000000">
      <w:pPr>
        <w:ind w:firstLine="420"/>
        <w:jc w:val="both"/>
      </w:pPr>
      <w:r>
        <w:t xml:space="preserve">17 </w:t>
      </w:r>
      <w:r>
        <w:t>类种类分布高度不平衡，其中</w:t>
      </w:r>
      <w:r>
        <w:t xml:space="preserve"> titanomagnetite </w:t>
      </w:r>
      <w:r>
        <w:t>仅</w:t>
      </w:r>
      <w:r>
        <w:t xml:space="preserve"> 23 </w:t>
      </w:r>
      <w:r>
        <w:t>张。当前逆频率权重可能放大极少类样本对梯度和随机种子的影响。后续应比较权重截断、</w:t>
      </w:r>
      <w:r>
        <w:t>effective number</w:t>
      </w:r>
      <w:r>
        <w:t>、</w:t>
      </w:r>
      <w:r>
        <w:t xml:space="preserve">logit adjustment </w:t>
      </w:r>
      <w:r>
        <w:t>及代理样本消融，并单独报告真实钛磁铁矿子集。</w:t>
      </w:r>
    </w:p>
    <w:p w14:paraId="37E033B4" w14:textId="77777777" w:rsidR="00B8619C" w:rsidRDefault="00000000">
      <w:pPr>
        <w:pStyle w:val="21"/>
      </w:pPr>
      <w:r>
        <w:lastRenderedPageBreak/>
        <w:t xml:space="preserve">5.8 </w:t>
      </w:r>
      <w:r>
        <w:t>分层模型组件消融</w:t>
      </w:r>
    </w:p>
    <w:tbl>
      <w:tblPr>
        <w:tblStyle w:val="aff1"/>
        <w:tblW w:w="0" w:type="auto"/>
        <w:jc w:val="center"/>
        <w:tblLayout w:type="fixed"/>
        <w:tblLook w:val="04A0" w:firstRow="1" w:lastRow="0" w:firstColumn="1" w:lastColumn="0" w:noHBand="0" w:noVBand="1"/>
      </w:tblPr>
      <w:tblGrid>
        <w:gridCol w:w="2268"/>
        <w:gridCol w:w="1304"/>
        <w:gridCol w:w="1361"/>
        <w:gridCol w:w="1417"/>
        <w:gridCol w:w="1587"/>
        <w:gridCol w:w="1587"/>
      </w:tblGrid>
      <w:tr w:rsidR="00B8619C" w14:paraId="6AB0F23A" w14:textId="77777777">
        <w:trPr>
          <w:cantSplit/>
          <w:tblHeader/>
          <w:jc w:val="center"/>
        </w:trPr>
        <w:tc>
          <w:tcPr>
            <w:tcW w:w="2268" w:type="dxa"/>
            <w:shd w:val="clear" w:color="auto" w:fill="D9EAF7"/>
            <w:tcMar>
              <w:top w:w="80" w:type="dxa"/>
              <w:left w:w="90" w:type="dxa"/>
              <w:bottom w:w="80" w:type="dxa"/>
              <w:right w:w="90" w:type="dxa"/>
            </w:tcMar>
            <w:vAlign w:val="center"/>
          </w:tcPr>
          <w:p w14:paraId="2F2C4FAB" w14:textId="77777777" w:rsidR="00B8619C" w:rsidRDefault="00000000">
            <w:pPr>
              <w:spacing w:after="0" w:line="264" w:lineRule="auto"/>
              <w:jc w:val="center"/>
            </w:pPr>
            <w:r>
              <w:rPr>
                <w:rFonts w:eastAsia="黑体"/>
                <w:b/>
                <w:sz w:val="14"/>
              </w:rPr>
              <w:t>设置</w:t>
            </w:r>
          </w:p>
        </w:tc>
        <w:tc>
          <w:tcPr>
            <w:tcW w:w="1304" w:type="dxa"/>
            <w:shd w:val="clear" w:color="auto" w:fill="D9EAF7"/>
            <w:tcMar>
              <w:top w:w="80" w:type="dxa"/>
              <w:left w:w="90" w:type="dxa"/>
              <w:bottom w:w="80" w:type="dxa"/>
              <w:right w:w="90" w:type="dxa"/>
            </w:tcMar>
            <w:vAlign w:val="center"/>
          </w:tcPr>
          <w:p w14:paraId="51F90D57" w14:textId="77777777" w:rsidR="00B8619C" w:rsidRDefault="00000000">
            <w:pPr>
              <w:spacing w:after="0" w:line="264" w:lineRule="auto"/>
              <w:jc w:val="center"/>
            </w:pPr>
            <w:r>
              <w:rPr>
                <w:rFonts w:eastAsia="黑体"/>
                <w:b/>
                <w:sz w:val="14"/>
              </w:rPr>
              <w:t>Macro F1</w:t>
            </w:r>
            <w:r>
              <w:rPr>
                <w:rFonts w:eastAsia="黑体"/>
                <w:b/>
                <w:sz w:val="14"/>
              </w:rPr>
              <w:t>（</w:t>
            </w:r>
            <w:r>
              <w:rPr>
                <w:rFonts w:eastAsia="黑体"/>
                <w:b/>
                <w:sz w:val="14"/>
              </w:rPr>
              <w:t>%</w:t>
            </w:r>
            <w:r>
              <w:rPr>
                <w:rFonts w:eastAsia="黑体"/>
                <w:b/>
                <w:sz w:val="14"/>
              </w:rPr>
              <w:t>）</w:t>
            </w:r>
          </w:p>
        </w:tc>
        <w:tc>
          <w:tcPr>
            <w:tcW w:w="1361" w:type="dxa"/>
            <w:shd w:val="clear" w:color="auto" w:fill="D9EAF7"/>
            <w:tcMar>
              <w:top w:w="80" w:type="dxa"/>
              <w:left w:w="90" w:type="dxa"/>
              <w:bottom w:w="80" w:type="dxa"/>
              <w:right w:w="90" w:type="dxa"/>
            </w:tcMar>
            <w:vAlign w:val="center"/>
          </w:tcPr>
          <w:p w14:paraId="5A81A19D" w14:textId="77777777" w:rsidR="00B8619C" w:rsidRDefault="00000000">
            <w:pPr>
              <w:spacing w:after="0" w:line="264" w:lineRule="auto"/>
              <w:jc w:val="center"/>
            </w:pPr>
            <w:r>
              <w:rPr>
                <w:rFonts w:eastAsia="黑体"/>
                <w:b/>
                <w:sz w:val="14"/>
              </w:rPr>
              <w:t>目标代理</w:t>
            </w:r>
            <w:r>
              <w:rPr>
                <w:rFonts w:eastAsia="黑体"/>
                <w:b/>
                <w:sz w:val="14"/>
              </w:rPr>
              <w:t xml:space="preserve"> F1</w:t>
            </w:r>
            <w:r>
              <w:rPr>
                <w:rFonts w:eastAsia="黑体"/>
                <w:b/>
                <w:sz w:val="14"/>
              </w:rPr>
              <w:t>（</w:t>
            </w:r>
            <w:r>
              <w:rPr>
                <w:rFonts w:eastAsia="黑体"/>
                <w:b/>
                <w:sz w:val="14"/>
              </w:rPr>
              <w:t>%</w:t>
            </w:r>
            <w:r>
              <w:rPr>
                <w:rFonts w:eastAsia="黑体"/>
                <w:b/>
                <w:sz w:val="14"/>
              </w:rPr>
              <w:t>）</w:t>
            </w:r>
          </w:p>
        </w:tc>
        <w:tc>
          <w:tcPr>
            <w:tcW w:w="1417" w:type="dxa"/>
            <w:shd w:val="clear" w:color="auto" w:fill="D9EAF7"/>
            <w:tcMar>
              <w:top w:w="80" w:type="dxa"/>
              <w:left w:w="90" w:type="dxa"/>
              <w:bottom w:w="80" w:type="dxa"/>
              <w:right w:w="90" w:type="dxa"/>
            </w:tcMar>
            <w:vAlign w:val="center"/>
          </w:tcPr>
          <w:p w14:paraId="3A21EA2A" w14:textId="77777777" w:rsidR="00B8619C" w:rsidRDefault="00000000">
            <w:pPr>
              <w:spacing w:after="0" w:line="264" w:lineRule="auto"/>
              <w:jc w:val="center"/>
            </w:pPr>
            <w:r>
              <w:rPr>
                <w:rFonts w:eastAsia="黑体"/>
                <w:b/>
                <w:sz w:val="14"/>
              </w:rPr>
              <w:t>目标漏选率（</w:t>
            </w:r>
            <w:r>
              <w:rPr>
                <w:rFonts w:eastAsia="黑体"/>
                <w:b/>
                <w:sz w:val="14"/>
              </w:rPr>
              <w:t>%</w:t>
            </w:r>
            <w:r>
              <w:rPr>
                <w:rFonts w:eastAsia="黑体"/>
                <w:b/>
                <w:sz w:val="14"/>
              </w:rPr>
              <w:t>）</w:t>
            </w:r>
          </w:p>
        </w:tc>
        <w:tc>
          <w:tcPr>
            <w:tcW w:w="1587" w:type="dxa"/>
            <w:shd w:val="clear" w:color="auto" w:fill="D9EAF7"/>
            <w:tcMar>
              <w:top w:w="80" w:type="dxa"/>
              <w:left w:w="90" w:type="dxa"/>
              <w:bottom w:w="80" w:type="dxa"/>
              <w:right w:w="90" w:type="dxa"/>
            </w:tcMar>
            <w:vAlign w:val="center"/>
          </w:tcPr>
          <w:p w14:paraId="422116D6" w14:textId="77777777" w:rsidR="00B8619C" w:rsidRDefault="00000000">
            <w:pPr>
              <w:spacing w:after="0" w:line="264" w:lineRule="auto"/>
              <w:jc w:val="center"/>
            </w:pPr>
            <w:r>
              <w:rPr>
                <w:rFonts w:eastAsia="黑体"/>
                <w:b/>
                <w:sz w:val="14"/>
              </w:rPr>
              <w:t>含钛干扰误入目标（</w:t>
            </w:r>
            <w:r>
              <w:rPr>
                <w:rFonts w:eastAsia="黑体"/>
                <w:b/>
                <w:sz w:val="14"/>
              </w:rPr>
              <w:t>%</w:t>
            </w:r>
            <w:r>
              <w:rPr>
                <w:rFonts w:eastAsia="黑体"/>
                <w:b/>
                <w:sz w:val="14"/>
              </w:rPr>
              <w:t>）</w:t>
            </w:r>
          </w:p>
        </w:tc>
        <w:tc>
          <w:tcPr>
            <w:tcW w:w="1587" w:type="dxa"/>
            <w:shd w:val="clear" w:color="auto" w:fill="D9EAF7"/>
            <w:tcMar>
              <w:top w:w="80" w:type="dxa"/>
              <w:left w:w="90" w:type="dxa"/>
              <w:bottom w:w="80" w:type="dxa"/>
              <w:right w:w="90" w:type="dxa"/>
            </w:tcMar>
            <w:vAlign w:val="center"/>
          </w:tcPr>
          <w:p w14:paraId="0A75F7D2" w14:textId="77777777" w:rsidR="00B8619C" w:rsidRDefault="00000000">
            <w:pPr>
              <w:spacing w:after="0" w:line="264" w:lineRule="auto"/>
              <w:jc w:val="center"/>
            </w:pPr>
            <w:r>
              <w:rPr>
                <w:rFonts w:eastAsia="黑体"/>
                <w:b/>
                <w:sz w:val="14"/>
              </w:rPr>
              <w:t>金属光泽干扰误入目标（</w:t>
            </w:r>
            <w:r>
              <w:rPr>
                <w:rFonts w:eastAsia="黑体"/>
                <w:b/>
                <w:sz w:val="14"/>
              </w:rPr>
              <w:t>%</w:t>
            </w:r>
            <w:r>
              <w:rPr>
                <w:rFonts w:eastAsia="黑体"/>
                <w:b/>
                <w:sz w:val="14"/>
              </w:rPr>
              <w:t>）</w:t>
            </w:r>
          </w:p>
        </w:tc>
      </w:tr>
      <w:tr w:rsidR="00B8619C" w14:paraId="540AD0AA" w14:textId="77777777">
        <w:trPr>
          <w:cantSplit/>
          <w:jc w:val="center"/>
        </w:trPr>
        <w:tc>
          <w:tcPr>
            <w:tcW w:w="2268" w:type="dxa"/>
            <w:tcMar>
              <w:top w:w="80" w:type="dxa"/>
              <w:left w:w="90" w:type="dxa"/>
              <w:bottom w:w="80" w:type="dxa"/>
              <w:right w:w="90" w:type="dxa"/>
            </w:tcMar>
            <w:vAlign w:val="center"/>
          </w:tcPr>
          <w:p w14:paraId="21498B17" w14:textId="77777777" w:rsidR="00B8619C" w:rsidRDefault="00000000">
            <w:pPr>
              <w:spacing w:after="0" w:line="264" w:lineRule="auto"/>
            </w:pPr>
            <w:r>
              <w:rPr>
                <w:sz w:val="14"/>
              </w:rPr>
              <w:t>完整分层模型</w:t>
            </w:r>
          </w:p>
        </w:tc>
        <w:tc>
          <w:tcPr>
            <w:tcW w:w="1304" w:type="dxa"/>
            <w:tcMar>
              <w:top w:w="80" w:type="dxa"/>
              <w:left w:w="90" w:type="dxa"/>
              <w:bottom w:w="80" w:type="dxa"/>
              <w:right w:w="90" w:type="dxa"/>
            </w:tcMar>
            <w:vAlign w:val="center"/>
          </w:tcPr>
          <w:p w14:paraId="1D69BA0A" w14:textId="77777777" w:rsidR="00B8619C" w:rsidRDefault="00000000">
            <w:pPr>
              <w:spacing w:after="0" w:line="264" w:lineRule="auto"/>
            </w:pPr>
            <w:r>
              <w:rPr>
                <w:sz w:val="14"/>
              </w:rPr>
              <w:t>73.41 ± 2.40</w:t>
            </w:r>
          </w:p>
        </w:tc>
        <w:tc>
          <w:tcPr>
            <w:tcW w:w="1361" w:type="dxa"/>
            <w:tcMar>
              <w:top w:w="80" w:type="dxa"/>
              <w:left w:w="90" w:type="dxa"/>
              <w:bottom w:w="80" w:type="dxa"/>
              <w:right w:w="90" w:type="dxa"/>
            </w:tcMar>
            <w:vAlign w:val="center"/>
          </w:tcPr>
          <w:p w14:paraId="7C12CC73" w14:textId="77777777" w:rsidR="00B8619C" w:rsidRDefault="00000000">
            <w:pPr>
              <w:spacing w:after="0" w:line="264" w:lineRule="auto"/>
            </w:pPr>
            <w:r>
              <w:rPr>
                <w:sz w:val="14"/>
              </w:rPr>
              <w:t>72.04 ± 2.05</w:t>
            </w:r>
          </w:p>
        </w:tc>
        <w:tc>
          <w:tcPr>
            <w:tcW w:w="1417" w:type="dxa"/>
            <w:tcMar>
              <w:top w:w="80" w:type="dxa"/>
              <w:left w:w="90" w:type="dxa"/>
              <w:bottom w:w="80" w:type="dxa"/>
              <w:right w:w="90" w:type="dxa"/>
            </w:tcMar>
            <w:vAlign w:val="center"/>
          </w:tcPr>
          <w:p w14:paraId="783A482B" w14:textId="77777777" w:rsidR="00B8619C" w:rsidRDefault="00000000">
            <w:pPr>
              <w:spacing w:after="0" w:line="264" w:lineRule="auto"/>
            </w:pPr>
            <w:r>
              <w:rPr>
                <w:sz w:val="14"/>
              </w:rPr>
              <w:t>22.44 ± 2.19</w:t>
            </w:r>
          </w:p>
        </w:tc>
        <w:tc>
          <w:tcPr>
            <w:tcW w:w="1587" w:type="dxa"/>
            <w:tcMar>
              <w:top w:w="80" w:type="dxa"/>
              <w:left w:w="90" w:type="dxa"/>
              <w:bottom w:w="80" w:type="dxa"/>
              <w:right w:w="90" w:type="dxa"/>
            </w:tcMar>
            <w:vAlign w:val="center"/>
          </w:tcPr>
          <w:p w14:paraId="6EEF8524" w14:textId="77777777" w:rsidR="00B8619C" w:rsidRDefault="00000000">
            <w:pPr>
              <w:spacing w:after="0" w:line="264" w:lineRule="auto"/>
            </w:pPr>
            <w:r>
              <w:rPr>
                <w:sz w:val="14"/>
              </w:rPr>
              <w:t>10.93 ± 3.37</w:t>
            </w:r>
          </w:p>
        </w:tc>
        <w:tc>
          <w:tcPr>
            <w:tcW w:w="1587" w:type="dxa"/>
            <w:tcMar>
              <w:top w:w="80" w:type="dxa"/>
              <w:left w:w="90" w:type="dxa"/>
              <w:bottom w:w="80" w:type="dxa"/>
              <w:right w:w="90" w:type="dxa"/>
            </w:tcMar>
            <w:vAlign w:val="center"/>
          </w:tcPr>
          <w:p w14:paraId="75D3A917" w14:textId="77777777" w:rsidR="00B8619C" w:rsidRDefault="00000000">
            <w:pPr>
              <w:spacing w:after="0" w:line="264" w:lineRule="auto"/>
            </w:pPr>
            <w:r>
              <w:rPr>
                <w:sz w:val="14"/>
              </w:rPr>
              <w:t>14.39 ± 2.92</w:t>
            </w:r>
          </w:p>
        </w:tc>
      </w:tr>
      <w:tr w:rsidR="00B8619C" w14:paraId="474B9884" w14:textId="77777777">
        <w:trPr>
          <w:cantSplit/>
          <w:jc w:val="center"/>
        </w:trPr>
        <w:tc>
          <w:tcPr>
            <w:tcW w:w="2268" w:type="dxa"/>
            <w:tcMar>
              <w:top w:w="80" w:type="dxa"/>
              <w:left w:w="90" w:type="dxa"/>
              <w:bottom w:w="80" w:type="dxa"/>
              <w:right w:w="90" w:type="dxa"/>
            </w:tcMar>
            <w:vAlign w:val="center"/>
          </w:tcPr>
          <w:p w14:paraId="3DF3E698" w14:textId="77777777" w:rsidR="00B8619C" w:rsidRDefault="00000000">
            <w:pPr>
              <w:spacing w:after="0" w:line="264" w:lineRule="auto"/>
            </w:pPr>
            <w:r>
              <w:rPr>
                <w:sz w:val="14"/>
              </w:rPr>
              <w:t>去除困难负样本约束</w:t>
            </w:r>
          </w:p>
        </w:tc>
        <w:tc>
          <w:tcPr>
            <w:tcW w:w="1304" w:type="dxa"/>
            <w:tcMar>
              <w:top w:w="80" w:type="dxa"/>
              <w:left w:w="90" w:type="dxa"/>
              <w:bottom w:w="80" w:type="dxa"/>
              <w:right w:w="90" w:type="dxa"/>
            </w:tcMar>
            <w:vAlign w:val="center"/>
          </w:tcPr>
          <w:p w14:paraId="50E23115" w14:textId="77777777" w:rsidR="00B8619C" w:rsidRDefault="00000000">
            <w:pPr>
              <w:spacing w:after="0" w:line="264" w:lineRule="auto"/>
            </w:pPr>
            <w:r>
              <w:rPr>
                <w:sz w:val="14"/>
              </w:rPr>
              <w:t>73.63 ± 2.08</w:t>
            </w:r>
          </w:p>
        </w:tc>
        <w:tc>
          <w:tcPr>
            <w:tcW w:w="1361" w:type="dxa"/>
            <w:tcMar>
              <w:top w:w="80" w:type="dxa"/>
              <w:left w:w="90" w:type="dxa"/>
              <w:bottom w:w="80" w:type="dxa"/>
              <w:right w:w="90" w:type="dxa"/>
            </w:tcMar>
            <w:vAlign w:val="center"/>
          </w:tcPr>
          <w:p w14:paraId="1081C0A2" w14:textId="77777777" w:rsidR="00B8619C" w:rsidRDefault="00000000">
            <w:pPr>
              <w:spacing w:after="0" w:line="264" w:lineRule="auto"/>
            </w:pPr>
            <w:r>
              <w:rPr>
                <w:sz w:val="14"/>
              </w:rPr>
              <w:t>71.62 ± 1.63</w:t>
            </w:r>
          </w:p>
        </w:tc>
        <w:tc>
          <w:tcPr>
            <w:tcW w:w="1417" w:type="dxa"/>
            <w:tcMar>
              <w:top w:w="80" w:type="dxa"/>
              <w:left w:w="90" w:type="dxa"/>
              <w:bottom w:w="80" w:type="dxa"/>
              <w:right w:w="90" w:type="dxa"/>
            </w:tcMar>
            <w:vAlign w:val="center"/>
          </w:tcPr>
          <w:p w14:paraId="5CC7BDB3" w14:textId="77777777" w:rsidR="00B8619C" w:rsidRDefault="00000000">
            <w:pPr>
              <w:spacing w:after="0" w:line="264" w:lineRule="auto"/>
            </w:pPr>
            <w:r>
              <w:rPr>
                <w:sz w:val="14"/>
              </w:rPr>
              <w:t>22.44 ± 2.40</w:t>
            </w:r>
          </w:p>
        </w:tc>
        <w:tc>
          <w:tcPr>
            <w:tcW w:w="1587" w:type="dxa"/>
            <w:tcMar>
              <w:top w:w="80" w:type="dxa"/>
              <w:left w:w="90" w:type="dxa"/>
              <w:bottom w:w="80" w:type="dxa"/>
              <w:right w:w="90" w:type="dxa"/>
            </w:tcMar>
            <w:vAlign w:val="center"/>
          </w:tcPr>
          <w:p w14:paraId="75C5545D" w14:textId="77777777" w:rsidR="00B8619C" w:rsidRDefault="00000000">
            <w:pPr>
              <w:spacing w:after="0" w:line="264" w:lineRule="auto"/>
            </w:pPr>
            <w:r>
              <w:rPr>
                <w:sz w:val="14"/>
              </w:rPr>
              <w:t>11.47 ± 2.59</w:t>
            </w:r>
          </w:p>
        </w:tc>
        <w:tc>
          <w:tcPr>
            <w:tcW w:w="1587" w:type="dxa"/>
            <w:tcMar>
              <w:top w:w="80" w:type="dxa"/>
              <w:left w:w="90" w:type="dxa"/>
              <w:bottom w:w="80" w:type="dxa"/>
              <w:right w:w="90" w:type="dxa"/>
            </w:tcMar>
            <w:vAlign w:val="center"/>
          </w:tcPr>
          <w:p w14:paraId="2E4279E9" w14:textId="77777777" w:rsidR="00B8619C" w:rsidRDefault="00000000">
            <w:pPr>
              <w:spacing w:after="0" w:line="264" w:lineRule="auto"/>
            </w:pPr>
            <w:r>
              <w:rPr>
                <w:sz w:val="14"/>
              </w:rPr>
              <w:t>14.96 ± 2.56</w:t>
            </w:r>
          </w:p>
        </w:tc>
      </w:tr>
      <w:tr w:rsidR="00B8619C" w14:paraId="28783228" w14:textId="77777777">
        <w:trPr>
          <w:cantSplit/>
          <w:jc w:val="center"/>
        </w:trPr>
        <w:tc>
          <w:tcPr>
            <w:tcW w:w="2268" w:type="dxa"/>
            <w:tcMar>
              <w:top w:w="80" w:type="dxa"/>
              <w:left w:w="90" w:type="dxa"/>
              <w:bottom w:w="80" w:type="dxa"/>
              <w:right w:w="90" w:type="dxa"/>
            </w:tcMar>
            <w:vAlign w:val="center"/>
          </w:tcPr>
          <w:p w14:paraId="3A26D49F" w14:textId="77777777" w:rsidR="00B8619C" w:rsidRDefault="00000000">
            <w:pPr>
              <w:spacing w:after="0" w:line="264" w:lineRule="auto"/>
            </w:pPr>
            <w:r>
              <w:rPr>
                <w:sz w:val="14"/>
              </w:rPr>
              <w:t>去除层级一致性约束</w:t>
            </w:r>
          </w:p>
        </w:tc>
        <w:tc>
          <w:tcPr>
            <w:tcW w:w="1304" w:type="dxa"/>
            <w:tcMar>
              <w:top w:w="80" w:type="dxa"/>
              <w:left w:w="90" w:type="dxa"/>
              <w:bottom w:w="80" w:type="dxa"/>
              <w:right w:w="90" w:type="dxa"/>
            </w:tcMar>
            <w:vAlign w:val="center"/>
          </w:tcPr>
          <w:p w14:paraId="7EB7BB57" w14:textId="77777777" w:rsidR="00B8619C" w:rsidRDefault="00000000">
            <w:pPr>
              <w:spacing w:after="0" w:line="264" w:lineRule="auto"/>
            </w:pPr>
            <w:r>
              <w:rPr>
                <w:sz w:val="14"/>
              </w:rPr>
              <w:t>73.40 ± 2.34</w:t>
            </w:r>
          </w:p>
        </w:tc>
        <w:tc>
          <w:tcPr>
            <w:tcW w:w="1361" w:type="dxa"/>
            <w:tcMar>
              <w:top w:w="80" w:type="dxa"/>
              <w:left w:w="90" w:type="dxa"/>
              <w:bottom w:w="80" w:type="dxa"/>
              <w:right w:w="90" w:type="dxa"/>
            </w:tcMar>
            <w:vAlign w:val="center"/>
          </w:tcPr>
          <w:p w14:paraId="699AE1CD" w14:textId="77777777" w:rsidR="00B8619C" w:rsidRDefault="00000000">
            <w:pPr>
              <w:spacing w:after="0" w:line="264" w:lineRule="auto"/>
            </w:pPr>
            <w:r>
              <w:rPr>
                <w:sz w:val="14"/>
              </w:rPr>
              <w:t>70.92 ± 0.60</w:t>
            </w:r>
          </w:p>
        </w:tc>
        <w:tc>
          <w:tcPr>
            <w:tcW w:w="1417" w:type="dxa"/>
            <w:tcMar>
              <w:top w:w="80" w:type="dxa"/>
              <w:left w:w="90" w:type="dxa"/>
              <w:bottom w:w="80" w:type="dxa"/>
              <w:right w:w="90" w:type="dxa"/>
            </w:tcMar>
            <w:vAlign w:val="center"/>
          </w:tcPr>
          <w:p w14:paraId="75D57692" w14:textId="77777777" w:rsidR="00B8619C" w:rsidRDefault="00000000">
            <w:pPr>
              <w:spacing w:after="0" w:line="264" w:lineRule="auto"/>
            </w:pPr>
            <w:r>
              <w:rPr>
                <w:sz w:val="14"/>
              </w:rPr>
              <w:t>22.84 ± 3.70</w:t>
            </w:r>
          </w:p>
        </w:tc>
        <w:tc>
          <w:tcPr>
            <w:tcW w:w="1587" w:type="dxa"/>
            <w:tcMar>
              <w:top w:w="80" w:type="dxa"/>
              <w:left w:w="90" w:type="dxa"/>
              <w:bottom w:w="80" w:type="dxa"/>
              <w:right w:w="90" w:type="dxa"/>
            </w:tcMar>
            <w:vAlign w:val="center"/>
          </w:tcPr>
          <w:p w14:paraId="1932BDF8" w14:textId="77777777" w:rsidR="00B8619C" w:rsidRDefault="00000000">
            <w:pPr>
              <w:spacing w:after="0" w:line="264" w:lineRule="auto"/>
            </w:pPr>
            <w:r>
              <w:rPr>
                <w:sz w:val="14"/>
              </w:rPr>
              <w:t>12.02 ± 2.16</w:t>
            </w:r>
          </w:p>
        </w:tc>
        <w:tc>
          <w:tcPr>
            <w:tcW w:w="1587" w:type="dxa"/>
            <w:tcMar>
              <w:top w:w="80" w:type="dxa"/>
              <w:left w:w="90" w:type="dxa"/>
              <w:bottom w:w="80" w:type="dxa"/>
              <w:right w:w="90" w:type="dxa"/>
            </w:tcMar>
            <w:vAlign w:val="center"/>
          </w:tcPr>
          <w:p w14:paraId="4AAEA18B" w14:textId="77777777" w:rsidR="00B8619C" w:rsidRDefault="00000000">
            <w:pPr>
              <w:spacing w:after="0" w:line="264" w:lineRule="auto"/>
            </w:pPr>
            <w:r>
              <w:rPr>
                <w:sz w:val="14"/>
              </w:rPr>
              <w:t>14.77 ± 3.41</w:t>
            </w:r>
          </w:p>
        </w:tc>
      </w:tr>
    </w:tbl>
    <w:p w14:paraId="2628E826" w14:textId="77777777" w:rsidR="00B8619C" w:rsidRDefault="00000000">
      <w:pPr>
        <w:pStyle w:val="af7"/>
        <w:keepNext/>
        <w:spacing w:after="100"/>
        <w:jc w:val="center"/>
      </w:pPr>
      <w:r>
        <w:t>表</w:t>
      </w:r>
      <w:r>
        <w:t xml:space="preserve"> 15 </w:t>
      </w:r>
      <w:r>
        <w:t>分层模型组件消融</w:t>
      </w:r>
    </w:p>
    <w:p w14:paraId="0A5EB574" w14:textId="77777777" w:rsidR="00B8619C" w:rsidRDefault="00000000">
      <w:pPr>
        <w:ind w:firstLine="420"/>
        <w:jc w:val="both"/>
      </w:pPr>
      <w:r>
        <w:t>移除困难负样本约束后，</w:t>
      </w:r>
      <w:r>
        <w:t xml:space="preserve">Macro F1 </w:t>
      </w:r>
      <w:r>
        <w:t>均值略升，但目标代理</w:t>
      </w:r>
      <w:r>
        <w:t xml:space="preserve"> F1 </w:t>
      </w:r>
      <w:r>
        <w:t>下降，两类困难干扰误入目标呈上升方向；移除层级一致性约束后，</w:t>
      </w:r>
      <w:r>
        <w:t xml:space="preserve">Macro F1 </w:t>
      </w:r>
      <w:r>
        <w:t>基本不变，目标代理</w:t>
      </w:r>
      <w:r>
        <w:t xml:space="preserve"> F1 </w:t>
      </w:r>
      <w:r>
        <w:t>下降。由于每组只有三个随机种子且均值差与标准差同量级，上述结果只能支持风险指标上的方向趋势。</w:t>
      </w:r>
    </w:p>
    <w:p w14:paraId="6E63C6BB" w14:textId="77777777" w:rsidR="00B8619C" w:rsidRDefault="00000000">
      <w:pPr>
        <w:pStyle w:val="21"/>
      </w:pPr>
      <w:r>
        <w:t xml:space="preserve">5.9 </w:t>
      </w:r>
      <w:r>
        <w:t>固定映射命题的构造性一致性检查</w:t>
      </w:r>
    </w:p>
    <w:tbl>
      <w:tblPr>
        <w:tblStyle w:val="aff1"/>
        <w:tblW w:w="0" w:type="auto"/>
        <w:jc w:val="center"/>
        <w:tblLayout w:type="fixed"/>
        <w:tblLook w:val="04A0" w:firstRow="1" w:lastRow="0" w:firstColumn="1" w:lastColumn="0" w:noHBand="0" w:noVBand="1"/>
      </w:tblPr>
      <w:tblGrid>
        <w:gridCol w:w="2494"/>
        <w:gridCol w:w="1701"/>
        <w:gridCol w:w="2438"/>
        <w:gridCol w:w="2438"/>
      </w:tblGrid>
      <w:tr w:rsidR="00B8619C" w14:paraId="70B2E584" w14:textId="77777777">
        <w:trPr>
          <w:cantSplit/>
          <w:tblHeader/>
          <w:jc w:val="center"/>
        </w:trPr>
        <w:tc>
          <w:tcPr>
            <w:tcW w:w="2494" w:type="dxa"/>
            <w:shd w:val="clear" w:color="auto" w:fill="D9EAF7"/>
            <w:tcMar>
              <w:top w:w="80" w:type="dxa"/>
              <w:left w:w="90" w:type="dxa"/>
              <w:bottom w:w="80" w:type="dxa"/>
              <w:right w:w="90" w:type="dxa"/>
            </w:tcMar>
            <w:vAlign w:val="center"/>
          </w:tcPr>
          <w:p w14:paraId="04CBD87E" w14:textId="77777777" w:rsidR="00B8619C" w:rsidRDefault="00000000">
            <w:pPr>
              <w:spacing w:after="0" w:line="264" w:lineRule="auto"/>
              <w:jc w:val="center"/>
            </w:pPr>
            <w:r>
              <w:rPr>
                <w:rFonts w:eastAsia="黑体"/>
                <w:b/>
                <w:sz w:val="17"/>
              </w:rPr>
              <w:t>候选集情形</w:t>
            </w:r>
          </w:p>
        </w:tc>
        <w:tc>
          <w:tcPr>
            <w:tcW w:w="1701" w:type="dxa"/>
            <w:shd w:val="clear" w:color="auto" w:fill="D9EAF7"/>
            <w:tcMar>
              <w:top w:w="80" w:type="dxa"/>
              <w:left w:w="90" w:type="dxa"/>
              <w:bottom w:w="80" w:type="dxa"/>
              <w:right w:w="90" w:type="dxa"/>
            </w:tcMar>
            <w:vAlign w:val="center"/>
          </w:tcPr>
          <w:p w14:paraId="1B3D0443" w14:textId="77777777" w:rsidR="00B8619C" w:rsidRDefault="00000000">
            <w:pPr>
              <w:spacing w:after="0" w:line="264" w:lineRule="auto"/>
              <w:jc w:val="center"/>
            </w:pPr>
            <w:r>
              <w:rPr>
                <w:rFonts w:eastAsia="黑体"/>
                <w:b/>
                <w:sz w:val="17"/>
              </w:rPr>
              <w:t>候选集数</w:t>
            </w:r>
          </w:p>
        </w:tc>
        <w:tc>
          <w:tcPr>
            <w:tcW w:w="2438" w:type="dxa"/>
            <w:shd w:val="clear" w:color="auto" w:fill="D9EAF7"/>
            <w:tcMar>
              <w:top w:w="80" w:type="dxa"/>
              <w:left w:w="90" w:type="dxa"/>
              <w:bottom w:w="80" w:type="dxa"/>
              <w:right w:w="90" w:type="dxa"/>
            </w:tcMar>
            <w:vAlign w:val="center"/>
          </w:tcPr>
          <w:p w14:paraId="0ED93172" w14:textId="77777777" w:rsidR="00B8619C" w:rsidRDefault="00000000">
            <w:pPr>
              <w:spacing w:after="0" w:line="264" w:lineRule="auto"/>
              <w:jc w:val="center"/>
            </w:pPr>
            <w:r>
              <w:rPr>
                <w:rFonts w:eastAsia="黑体"/>
                <w:b/>
                <w:sz w:val="17"/>
              </w:rPr>
              <w:t>种类唯一可识别率（</w:t>
            </w:r>
            <w:r>
              <w:rPr>
                <w:rFonts w:eastAsia="黑体"/>
                <w:b/>
                <w:sz w:val="17"/>
              </w:rPr>
              <w:t>%</w:t>
            </w:r>
            <w:r>
              <w:rPr>
                <w:rFonts w:eastAsia="黑体"/>
                <w:b/>
                <w:sz w:val="17"/>
              </w:rPr>
              <w:t>）</w:t>
            </w:r>
          </w:p>
        </w:tc>
        <w:tc>
          <w:tcPr>
            <w:tcW w:w="2438" w:type="dxa"/>
            <w:shd w:val="clear" w:color="auto" w:fill="D9EAF7"/>
            <w:tcMar>
              <w:top w:w="80" w:type="dxa"/>
              <w:left w:w="90" w:type="dxa"/>
              <w:bottom w:w="80" w:type="dxa"/>
              <w:right w:w="90" w:type="dxa"/>
            </w:tcMar>
            <w:vAlign w:val="center"/>
          </w:tcPr>
          <w:p w14:paraId="3D4A913F" w14:textId="77777777" w:rsidR="00B8619C" w:rsidRDefault="00000000">
            <w:pPr>
              <w:spacing w:after="0" w:line="264" w:lineRule="auto"/>
              <w:jc w:val="center"/>
            </w:pPr>
            <w:r>
              <w:rPr>
                <w:rFonts w:eastAsia="黑体"/>
                <w:b/>
                <w:sz w:val="17"/>
              </w:rPr>
              <w:t>角色唯一可识别率（</w:t>
            </w:r>
            <w:r>
              <w:rPr>
                <w:rFonts w:eastAsia="黑体"/>
                <w:b/>
                <w:sz w:val="17"/>
              </w:rPr>
              <w:t>%</w:t>
            </w:r>
            <w:r>
              <w:rPr>
                <w:rFonts w:eastAsia="黑体"/>
                <w:b/>
                <w:sz w:val="17"/>
              </w:rPr>
              <w:t>）</w:t>
            </w:r>
          </w:p>
        </w:tc>
      </w:tr>
      <w:tr w:rsidR="00B8619C" w14:paraId="059EB224" w14:textId="77777777">
        <w:trPr>
          <w:cantSplit/>
          <w:jc w:val="center"/>
        </w:trPr>
        <w:tc>
          <w:tcPr>
            <w:tcW w:w="2494" w:type="dxa"/>
            <w:tcMar>
              <w:top w:w="80" w:type="dxa"/>
              <w:left w:w="90" w:type="dxa"/>
              <w:bottom w:w="80" w:type="dxa"/>
              <w:right w:w="90" w:type="dxa"/>
            </w:tcMar>
            <w:vAlign w:val="center"/>
          </w:tcPr>
          <w:p w14:paraId="1A1BEBAC" w14:textId="77777777" w:rsidR="00B8619C" w:rsidRDefault="00000000">
            <w:pPr>
              <w:spacing w:after="0" w:line="264" w:lineRule="auto"/>
            </w:pPr>
            <w:r>
              <w:rPr>
                <w:sz w:val="17"/>
              </w:rPr>
              <w:t>角色一致</w:t>
            </w:r>
          </w:p>
        </w:tc>
        <w:tc>
          <w:tcPr>
            <w:tcW w:w="1701" w:type="dxa"/>
            <w:tcMar>
              <w:top w:w="80" w:type="dxa"/>
              <w:left w:w="90" w:type="dxa"/>
              <w:bottom w:w="80" w:type="dxa"/>
              <w:right w:w="90" w:type="dxa"/>
            </w:tcMar>
            <w:vAlign w:val="center"/>
          </w:tcPr>
          <w:p w14:paraId="3C2CDC8F" w14:textId="77777777" w:rsidR="00B8619C" w:rsidRDefault="00000000">
            <w:pPr>
              <w:spacing w:after="0" w:line="264" w:lineRule="auto"/>
            </w:pPr>
            <w:r>
              <w:rPr>
                <w:sz w:val="17"/>
              </w:rPr>
              <w:t>48</w:t>
            </w:r>
          </w:p>
        </w:tc>
        <w:tc>
          <w:tcPr>
            <w:tcW w:w="2438" w:type="dxa"/>
            <w:tcMar>
              <w:top w:w="80" w:type="dxa"/>
              <w:left w:w="90" w:type="dxa"/>
              <w:bottom w:w="80" w:type="dxa"/>
              <w:right w:w="90" w:type="dxa"/>
            </w:tcMar>
            <w:vAlign w:val="center"/>
          </w:tcPr>
          <w:p w14:paraId="201620D5" w14:textId="77777777" w:rsidR="00B8619C" w:rsidRDefault="00000000">
            <w:pPr>
              <w:spacing w:after="0" w:line="264" w:lineRule="auto"/>
            </w:pPr>
            <w:r>
              <w:rPr>
                <w:sz w:val="17"/>
              </w:rPr>
              <w:t>0.00</w:t>
            </w:r>
          </w:p>
        </w:tc>
        <w:tc>
          <w:tcPr>
            <w:tcW w:w="2438" w:type="dxa"/>
            <w:tcMar>
              <w:top w:w="80" w:type="dxa"/>
              <w:left w:w="90" w:type="dxa"/>
              <w:bottom w:w="80" w:type="dxa"/>
              <w:right w:w="90" w:type="dxa"/>
            </w:tcMar>
            <w:vAlign w:val="center"/>
          </w:tcPr>
          <w:p w14:paraId="0BF65EC7" w14:textId="77777777" w:rsidR="00B8619C" w:rsidRDefault="00000000">
            <w:pPr>
              <w:spacing w:after="0" w:line="264" w:lineRule="auto"/>
            </w:pPr>
            <w:r>
              <w:rPr>
                <w:sz w:val="17"/>
              </w:rPr>
              <w:t>100.00</w:t>
            </w:r>
          </w:p>
        </w:tc>
      </w:tr>
      <w:tr w:rsidR="00B8619C" w14:paraId="663FF46F" w14:textId="77777777">
        <w:trPr>
          <w:cantSplit/>
          <w:jc w:val="center"/>
        </w:trPr>
        <w:tc>
          <w:tcPr>
            <w:tcW w:w="2494" w:type="dxa"/>
            <w:tcMar>
              <w:top w:w="80" w:type="dxa"/>
              <w:left w:w="90" w:type="dxa"/>
              <w:bottom w:w="80" w:type="dxa"/>
              <w:right w:w="90" w:type="dxa"/>
            </w:tcMar>
            <w:vAlign w:val="center"/>
          </w:tcPr>
          <w:p w14:paraId="3424CB3F" w14:textId="77777777" w:rsidR="00B8619C" w:rsidRDefault="00000000">
            <w:pPr>
              <w:spacing w:after="0" w:line="264" w:lineRule="auto"/>
            </w:pPr>
            <w:r>
              <w:rPr>
                <w:sz w:val="17"/>
              </w:rPr>
              <w:t>角色冲突</w:t>
            </w:r>
          </w:p>
        </w:tc>
        <w:tc>
          <w:tcPr>
            <w:tcW w:w="1701" w:type="dxa"/>
            <w:tcMar>
              <w:top w:w="80" w:type="dxa"/>
              <w:left w:w="90" w:type="dxa"/>
              <w:bottom w:w="80" w:type="dxa"/>
              <w:right w:w="90" w:type="dxa"/>
            </w:tcMar>
            <w:vAlign w:val="center"/>
          </w:tcPr>
          <w:p w14:paraId="02960443" w14:textId="77777777" w:rsidR="00B8619C" w:rsidRDefault="00000000">
            <w:pPr>
              <w:spacing w:after="0" w:line="264" w:lineRule="auto"/>
            </w:pPr>
            <w:r>
              <w:rPr>
                <w:sz w:val="17"/>
              </w:rPr>
              <w:t>51</w:t>
            </w:r>
          </w:p>
        </w:tc>
        <w:tc>
          <w:tcPr>
            <w:tcW w:w="2438" w:type="dxa"/>
            <w:tcMar>
              <w:top w:w="80" w:type="dxa"/>
              <w:left w:w="90" w:type="dxa"/>
              <w:bottom w:w="80" w:type="dxa"/>
              <w:right w:w="90" w:type="dxa"/>
            </w:tcMar>
            <w:vAlign w:val="center"/>
          </w:tcPr>
          <w:p w14:paraId="502E1FAF" w14:textId="77777777" w:rsidR="00B8619C" w:rsidRDefault="00000000">
            <w:pPr>
              <w:spacing w:after="0" w:line="264" w:lineRule="auto"/>
            </w:pPr>
            <w:r>
              <w:rPr>
                <w:sz w:val="17"/>
              </w:rPr>
              <w:t>0.00</w:t>
            </w:r>
          </w:p>
        </w:tc>
        <w:tc>
          <w:tcPr>
            <w:tcW w:w="2438" w:type="dxa"/>
            <w:tcMar>
              <w:top w:w="80" w:type="dxa"/>
              <w:left w:w="90" w:type="dxa"/>
              <w:bottom w:w="80" w:type="dxa"/>
              <w:right w:w="90" w:type="dxa"/>
            </w:tcMar>
            <w:vAlign w:val="center"/>
          </w:tcPr>
          <w:p w14:paraId="14824FE6" w14:textId="77777777" w:rsidR="00B8619C" w:rsidRDefault="00000000">
            <w:pPr>
              <w:spacing w:after="0" w:line="264" w:lineRule="auto"/>
            </w:pPr>
            <w:r>
              <w:rPr>
                <w:sz w:val="17"/>
              </w:rPr>
              <w:t>0.00</w:t>
            </w:r>
          </w:p>
        </w:tc>
      </w:tr>
      <w:tr w:rsidR="00B8619C" w14:paraId="6E6A8796" w14:textId="77777777">
        <w:trPr>
          <w:cantSplit/>
          <w:jc w:val="center"/>
        </w:trPr>
        <w:tc>
          <w:tcPr>
            <w:tcW w:w="2494" w:type="dxa"/>
            <w:tcMar>
              <w:top w:w="80" w:type="dxa"/>
              <w:left w:w="90" w:type="dxa"/>
              <w:bottom w:w="80" w:type="dxa"/>
              <w:right w:w="90" w:type="dxa"/>
            </w:tcMar>
            <w:vAlign w:val="center"/>
          </w:tcPr>
          <w:p w14:paraId="3E9123E9" w14:textId="77777777" w:rsidR="00B8619C" w:rsidRDefault="00000000">
            <w:pPr>
              <w:spacing w:after="0" w:line="264" w:lineRule="auto"/>
            </w:pPr>
            <w:r>
              <w:rPr>
                <w:sz w:val="17"/>
              </w:rPr>
              <w:t>合计</w:t>
            </w:r>
          </w:p>
        </w:tc>
        <w:tc>
          <w:tcPr>
            <w:tcW w:w="1701" w:type="dxa"/>
            <w:tcMar>
              <w:top w:w="80" w:type="dxa"/>
              <w:left w:w="90" w:type="dxa"/>
              <w:bottom w:w="80" w:type="dxa"/>
              <w:right w:w="90" w:type="dxa"/>
            </w:tcMar>
            <w:vAlign w:val="center"/>
          </w:tcPr>
          <w:p w14:paraId="611B7676" w14:textId="77777777" w:rsidR="00B8619C" w:rsidRDefault="00000000">
            <w:pPr>
              <w:spacing w:after="0" w:line="264" w:lineRule="auto"/>
            </w:pPr>
            <w:r>
              <w:rPr>
                <w:sz w:val="17"/>
              </w:rPr>
              <w:t>99</w:t>
            </w:r>
          </w:p>
        </w:tc>
        <w:tc>
          <w:tcPr>
            <w:tcW w:w="2438" w:type="dxa"/>
            <w:tcMar>
              <w:top w:w="80" w:type="dxa"/>
              <w:left w:w="90" w:type="dxa"/>
              <w:bottom w:w="80" w:type="dxa"/>
              <w:right w:w="90" w:type="dxa"/>
            </w:tcMar>
            <w:vAlign w:val="center"/>
          </w:tcPr>
          <w:p w14:paraId="759C7E61" w14:textId="77777777" w:rsidR="00B8619C" w:rsidRDefault="00000000">
            <w:pPr>
              <w:spacing w:after="0" w:line="264" w:lineRule="auto"/>
            </w:pPr>
            <w:r>
              <w:rPr>
                <w:sz w:val="17"/>
              </w:rPr>
              <w:t>0.00</w:t>
            </w:r>
          </w:p>
        </w:tc>
        <w:tc>
          <w:tcPr>
            <w:tcW w:w="2438" w:type="dxa"/>
            <w:tcMar>
              <w:top w:w="80" w:type="dxa"/>
              <w:left w:w="90" w:type="dxa"/>
              <w:bottom w:w="80" w:type="dxa"/>
              <w:right w:w="90" w:type="dxa"/>
            </w:tcMar>
            <w:vAlign w:val="center"/>
          </w:tcPr>
          <w:p w14:paraId="0FA95690" w14:textId="77777777" w:rsidR="00B8619C" w:rsidRDefault="00000000">
            <w:pPr>
              <w:spacing w:after="0" w:line="264" w:lineRule="auto"/>
            </w:pPr>
            <w:r>
              <w:rPr>
                <w:sz w:val="17"/>
              </w:rPr>
              <w:t>48.48</w:t>
            </w:r>
          </w:p>
        </w:tc>
      </w:tr>
    </w:tbl>
    <w:p w14:paraId="07E064F4" w14:textId="77777777" w:rsidR="00B8619C" w:rsidRDefault="00000000">
      <w:pPr>
        <w:pStyle w:val="af7"/>
        <w:keepNext/>
        <w:spacing w:after="100"/>
        <w:jc w:val="center"/>
      </w:pPr>
      <w:r>
        <w:t>表</w:t>
      </w:r>
      <w:r>
        <w:t xml:space="preserve"> 16 </w:t>
      </w:r>
      <w:r>
        <w:t>固定映射候选集合的程序化一致性检查</w:t>
      </w:r>
    </w:p>
    <w:p w14:paraId="468DA800" w14:textId="77777777" w:rsidR="00B8619C" w:rsidRDefault="00000000">
      <w:pPr>
        <w:ind w:firstLine="420"/>
        <w:jc w:val="both"/>
      </w:pPr>
      <w:r>
        <w:t>脚本按候选规模</w:t>
      </w:r>
      <w:r>
        <w:t xml:space="preserve"> 2</w:t>
      </w:r>
      <w:r>
        <w:t>、</w:t>
      </w:r>
      <w:r>
        <w:t>3</w:t>
      </w:r>
      <w:r>
        <w:t>、</w:t>
      </w:r>
      <w:r>
        <w:t xml:space="preserve">4 </w:t>
      </w:r>
      <w:r>
        <w:t>主动构造角色一致和角色冲突集合。由于集合情形由固定映射和构造规则预先定义，角色一致集合</w:t>
      </w:r>
      <w:r>
        <w:t xml:space="preserve"> 100% </w:t>
      </w:r>
      <w:r>
        <w:t>唯一、角色冲突集合</w:t>
      </w:r>
      <w:r>
        <w:t xml:space="preserve"> 0% </w:t>
      </w:r>
      <w:r>
        <w:t>唯一是命题定义的直接结果。本实验的作用是检查程序实现和报告命题是否一致，不是图像识别、真实多标签标注或模型性能证据。</w:t>
      </w:r>
    </w:p>
    <w:p w14:paraId="4372ED27" w14:textId="77777777" w:rsidR="00B8619C" w:rsidRDefault="00000000">
      <w:pPr>
        <w:ind w:firstLine="420"/>
        <w:jc w:val="both"/>
      </w:pPr>
      <w:r>
        <w:t>更有价值的后续验证应从真实</w:t>
      </w:r>
      <w:r>
        <w:t xml:space="preserve"> Mindat </w:t>
      </w:r>
      <w:r>
        <w:t>页面标题、伴生矿物字段和专家复核中建立候选矿物集合，再比较角色一致与角色冲突样本的实际比例、标签可靠性和模型性能。</w:t>
      </w:r>
    </w:p>
    <w:p w14:paraId="2B00D340" w14:textId="77777777" w:rsidR="00B8619C" w:rsidRDefault="00000000">
      <w:pPr>
        <w:pStyle w:val="21"/>
      </w:pPr>
      <w:r>
        <w:t xml:space="preserve">5.10 </w:t>
      </w:r>
      <w:r>
        <w:t>固定测试划分上的选择性识别</w:t>
      </w:r>
    </w:p>
    <w:tbl>
      <w:tblPr>
        <w:tblStyle w:val="aff1"/>
        <w:tblW w:w="0" w:type="auto"/>
        <w:jc w:val="center"/>
        <w:tblLayout w:type="fixed"/>
        <w:tblLook w:val="04A0" w:firstRow="1" w:lastRow="0" w:firstColumn="1" w:lastColumn="0" w:noHBand="0" w:noVBand="1"/>
      </w:tblPr>
      <w:tblGrid>
        <w:gridCol w:w="1928"/>
        <w:gridCol w:w="2381"/>
        <w:gridCol w:w="2381"/>
        <w:gridCol w:w="2381"/>
      </w:tblGrid>
      <w:tr w:rsidR="00B8619C" w14:paraId="5B7A1D90" w14:textId="77777777">
        <w:trPr>
          <w:cantSplit/>
          <w:tblHeader/>
          <w:jc w:val="center"/>
        </w:trPr>
        <w:tc>
          <w:tcPr>
            <w:tcW w:w="1928" w:type="dxa"/>
            <w:shd w:val="clear" w:color="auto" w:fill="D9EAF7"/>
            <w:tcMar>
              <w:top w:w="80" w:type="dxa"/>
              <w:left w:w="90" w:type="dxa"/>
              <w:bottom w:w="80" w:type="dxa"/>
              <w:right w:w="90" w:type="dxa"/>
            </w:tcMar>
            <w:vAlign w:val="center"/>
          </w:tcPr>
          <w:p w14:paraId="59B50F2C" w14:textId="77777777" w:rsidR="00B8619C" w:rsidRDefault="00000000">
            <w:pPr>
              <w:spacing w:after="0" w:line="264" w:lineRule="auto"/>
              <w:jc w:val="center"/>
            </w:pPr>
            <w:r>
              <w:rPr>
                <w:rFonts w:eastAsia="黑体"/>
                <w:b/>
                <w:sz w:val="17"/>
              </w:rPr>
              <w:t>置信度阈值</w:t>
            </w:r>
          </w:p>
        </w:tc>
        <w:tc>
          <w:tcPr>
            <w:tcW w:w="2381" w:type="dxa"/>
            <w:shd w:val="clear" w:color="auto" w:fill="D9EAF7"/>
            <w:tcMar>
              <w:top w:w="80" w:type="dxa"/>
              <w:left w:w="90" w:type="dxa"/>
              <w:bottom w:w="80" w:type="dxa"/>
              <w:right w:w="90" w:type="dxa"/>
            </w:tcMar>
            <w:vAlign w:val="center"/>
          </w:tcPr>
          <w:p w14:paraId="1213EB6C" w14:textId="77777777" w:rsidR="00B8619C" w:rsidRDefault="00000000">
            <w:pPr>
              <w:spacing w:after="0" w:line="264" w:lineRule="auto"/>
              <w:jc w:val="center"/>
            </w:pPr>
            <w:r>
              <w:rPr>
                <w:rFonts w:eastAsia="黑体"/>
                <w:b/>
                <w:sz w:val="17"/>
              </w:rPr>
              <w:t>平均保留样本数</w:t>
            </w:r>
          </w:p>
        </w:tc>
        <w:tc>
          <w:tcPr>
            <w:tcW w:w="2381" w:type="dxa"/>
            <w:shd w:val="clear" w:color="auto" w:fill="D9EAF7"/>
            <w:tcMar>
              <w:top w:w="80" w:type="dxa"/>
              <w:left w:w="90" w:type="dxa"/>
              <w:bottom w:w="80" w:type="dxa"/>
              <w:right w:w="90" w:type="dxa"/>
            </w:tcMar>
            <w:vAlign w:val="center"/>
          </w:tcPr>
          <w:p w14:paraId="213B38F2" w14:textId="77777777" w:rsidR="00B8619C" w:rsidRDefault="00000000">
            <w:pPr>
              <w:spacing w:after="0" w:line="264" w:lineRule="auto"/>
              <w:jc w:val="center"/>
            </w:pPr>
            <w:r>
              <w:rPr>
                <w:rFonts w:eastAsia="黑体"/>
                <w:b/>
                <w:sz w:val="17"/>
              </w:rPr>
              <w:t>覆盖率（</w:t>
            </w:r>
            <w:r>
              <w:rPr>
                <w:rFonts w:eastAsia="黑体"/>
                <w:b/>
                <w:sz w:val="17"/>
              </w:rPr>
              <w:t>%</w:t>
            </w:r>
            <w:r>
              <w:rPr>
                <w:rFonts w:eastAsia="黑体"/>
                <w:b/>
                <w:sz w:val="17"/>
              </w:rPr>
              <w:t>）</w:t>
            </w:r>
          </w:p>
        </w:tc>
        <w:tc>
          <w:tcPr>
            <w:tcW w:w="2381" w:type="dxa"/>
            <w:shd w:val="clear" w:color="auto" w:fill="D9EAF7"/>
            <w:tcMar>
              <w:top w:w="80" w:type="dxa"/>
              <w:left w:w="90" w:type="dxa"/>
              <w:bottom w:w="80" w:type="dxa"/>
              <w:right w:w="90" w:type="dxa"/>
            </w:tcMar>
            <w:vAlign w:val="center"/>
          </w:tcPr>
          <w:p w14:paraId="780463EB" w14:textId="77777777" w:rsidR="00B8619C" w:rsidRDefault="00000000">
            <w:pPr>
              <w:spacing w:after="0" w:line="264" w:lineRule="auto"/>
              <w:jc w:val="center"/>
            </w:pPr>
            <w:r>
              <w:rPr>
                <w:rFonts w:eastAsia="黑体"/>
                <w:b/>
                <w:sz w:val="17"/>
              </w:rPr>
              <w:t>保留样本错误率（</w:t>
            </w:r>
            <w:r>
              <w:rPr>
                <w:rFonts w:eastAsia="黑体"/>
                <w:b/>
                <w:sz w:val="17"/>
              </w:rPr>
              <w:t>%</w:t>
            </w:r>
            <w:r>
              <w:rPr>
                <w:rFonts w:eastAsia="黑体"/>
                <w:b/>
                <w:sz w:val="17"/>
              </w:rPr>
              <w:t>）</w:t>
            </w:r>
          </w:p>
        </w:tc>
      </w:tr>
      <w:tr w:rsidR="00B8619C" w14:paraId="6C768743" w14:textId="77777777">
        <w:trPr>
          <w:cantSplit/>
          <w:jc w:val="center"/>
        </w:trPr>
        <w:tc>
          <w:tcPr>
            <w:tcW w:w="1928" w:type="dxa"/>
            <w:tcMar>
              <w:top w:w="80" w:type="dxa"/>
              <w:left w:w="90" w:type="dxa"/>
              <w:bottom w:w="80" w:type="dxa"/>
              <w:right w:w="90" w:type="dxa"/>
            </w:tcMar>
            <w:vAlign w:val="center"/>
          </w:tcPr>
          <w:p w14:paraId="76CD0C6E" w14:textId="77777777" w:rsidR="00B8619C" w:rsidRDefault="00000000">
            <w:pPr>
              <w:spacing w:after="0" w:line="264" w:lineRule="auto"/>
            </w:pPr>
            <w:r>
              <w:rPr>
                <w:sz w:val="17"/>
              </w:rPr>
              <w:t>0.00</w:t>
            </w:r>
          </w:p>
        </w:tc>
        <w:tc>
          <w:tcPr>
            <w:tcW w:w="2381" w:type="dxa"/>
            <w:tcMar>
              <w:top w:w="80" w:type="dxa"/>
              <w:left w:w="90" w:type="dxa"/>
              <w:bottom w:w="80" w:type="dxa"/>
              <w:right w:w="90" w:type="dxa"/>
            </w:tcMar>
            <w:vAlign w:val="center"/>
          </w:tcPr>
          <w:p w14:paraId="3362C01D" w14:textId="77777777" w:rsidR="00B8619C" w:rsidRDefault="00000000">
            <w:pPr>
              <w:spacing w:after="0" w:line="264" w:lineRule="auto"/>
            </w:pPr>
            <w:r>
              <w:rPr>
                <w:sz w:val="17"/>
              </w:rPr>
              <w:t>1284.0 ± 0.0</w:t>
            </w:r>
          </w:p>
        </w:tc>
        <w:tc>
          <w:tcPr>
            <w:tcW w:w="2381" w:type="dxa"/>
            <w:tcMar>
              <w:top w:w="80" w:type="dxa"/>
              <w:left w:w="90" w:type="dxa"/>
              <w:bottom w:w="80" w:type="dxa"/>
              <w:right w:w="90" w:type="dxa"/>
            </w:tcMar>
            <w:vAlign w:val="center"/>
          </w:tcPr>
          <w:p w14:paraId="6E70DE97" w14:textId="77777777" w:rsidR="00B8619C" w:rsidRDefault="00000000">
            <w:pPr>
              <w:spacing w:after="0" w:line="264" w:lineRule="auto"/>
            </w:pPr>
            <w:r>
              <w:rPr>
                <w:sz w:val="17"/>
              </w:rPr>
              <w:t>100.00 ± 0.00</w:t>
            </w:r>
          </w:p>
        </w:tc>
        <w:tc>
          <w:tcPr>
            <w:tcW w:w="2381" w:type="dxa"/>
            <w:tcMar>
              <w:top w:w="80" w:type="dxa"/>
              <w:left w:w="90" w:type="dxa"/>
              <w:bottom w:w="80" w:type="dxa"/>
              <w:right w:w="90" w:type="dxa"/>
            </w:tcMar>
            <w:vAlign w:val="center"/>
          </w:tcPr>
          <w:p w14:paraId="7B1840B0" w14:textId="77777777" w:rsidR="00B8619C" w:rsidRDefault="00000000">
            <w:pPr>
              <w:spacing w:after="0" w:line="264" w:lineRule="auto"/>
            </w:pPr>
            <w:r>
              <w:rPr>
                <w:sz w:val="17"/>
              </w:rPr>
              <w:t>24.58 ± 2.59</w:t>
            </w:r>
          </w:p>
        </w:tc>
      </w:tr>
      <w:tr w:rsidR="00B8619C" w14:paraId="068F090C" w14:textId="77777777">
        <w:trPr>
          <w:cantSplit/>
          <w:jc w:val="center"/>
        </w:trPr>
        <w:tc>
          <w:tcPr>
            <w:tcW w:w="1928" w:type="dxa"/>
            <w:tcMar>
              <w:top w:w="80" w:type="dxa"/>
              <w:left w:w="90" w:type="dxa"/>
              <w:bottom w:w="80" w:type="dxa"/>
              <w:right w:w="90" w:type="dxa"/>
            </w:tcMar>
            <w:vAlign w:val="center"/>
          </w:tcPr>
          <w:p w14:paraId="1A3001C4" w14:textId="77777777" w:rsidR="00B8619C" w:rsidRDefault="00000000">
            <w:pPr>
              <w:spacing w:after="0" w:line="264" w:lineRule="auto"/>
            </w:pPr>
            <w:r>
              <w:rPr>
                <w:sz w:val="17"/>
              </w:rPr>
              <w:t>0.50</w:t>
            </w:r>
          </w:p>
        </w:tc>
        <w:tc>
          <w:tcPr>
            <w:tcW w:w="2381" w:type="dxa"/>
            <w:tcMar>
              <w:top w:w="80" w:type="dxa"/>
              <w:left w:w="90" w:type="dxa"/>
              <w:bottom w:w="80" w:type="dxa"/>
              <w:right w:w="90" w:type="dxa"/>
            </w:tcMar>
            <w:vAlign w:val="center"/>
          </w:tcPr>
          <w:p w14:paraId="3EC06963" w14:textId="77777777" w:rsidR="00B8619C" w:rsidRDefault="00000000">
            <w:pPr>
              <w:spacing w:after="0" w:line="264" w:lineRule="auto"/>
            </w:pPr>
            <w:r>
              <w:rPr>
                <w:sz w:val="17"/>
              </w:rPr>
              <w:t>1223.0 ± 37.2</w:t>
            </w:r>
          </w:p>
        </w:tc>
        <w:tc>
          <w:tcPr>
            <w:tcW w:w="2381" w:type="dxa"/>
            <w:tcMar>
              <w:top w:w="80" w:type="dxa"/>
              <w:left w:w="90" w:type="dxa"/>
              <w:bottom w:w="80" w:type="dxa"/>
              <w:right w:w="90" w:type="dxa"/>
            </w:tcMar>
            <w:vAlign w:val="center"/>
          </w:tcPr>
          <w:p w14:paraId="7697C2BE" w14:textId="77777777" w:rsidR="00B8619C" w:rsidRDefault="00000000">
            <w:pPr>
              <w:spacing w:after="0" w:line="264" w:lineRule="auto"/>
            </w:pPr>
            <w:r>
              <w:rPr>
                <w:sz w:val="17"/>
              </w:rPr>
              <w:t>95.25 ± 2.89</w:t>
            </w:r>
          </w:p>
        </w:tc>
        <w:tc>
          <w:tcPr>
            <w:tcW w:w="2381" w:type="dxa"/>
            <w:tcMar>
              <w:top w:w="80" w:type="dxa"/>
              <w:left w:w="90" w:type="dxa"/>
              <w:bottom w:w="80" w:type="dxa"/>
              <w:right w:w="90" w:type="dxa"/>
            </w:tcMar>
            <w:vAlign w:val="center"/>
          </w:tcPr>
          <w:p w14:paraId="3716F3AD" w14:textId="77777777" w:rsidR="00B8619C" w:rsidRDefault="00000000">
            <w:pPr>
              <w:spacing w:after="0" w:line="264" w:lineRule="auto"/>
            </w:pPr>
            <w:r>
              <w:rPr>
                <w:sz w:val="17"/>
              </w:rPr>
              <w:t>22.70 ± 1.94</w:t>
            </w:r>
          </w:p>
        </w:tc>
      </w:tr>
      <w:tr w:rsidR="00B8619C" w14:paraId="72B4ACD1" w14:textId="77777777">
        <w:trPr>
          <w:cantSplit/>
          <w:jc w:val="center"/>
        </w:trPr>
        <w:tc>
          <w:tcPr>
            <w:tcW w:w="1928" w:type="dxa"/>
            <w:tcMar>
              <w:top w:w="80" w:type="dxa"/>
              <w:left w:w="90" w:type="dxa"/>
              <w:bottom w:w="80" w:type="dxa"/>
              <w:right w:w="90" w:type="dxa"/>
            </w:tcMar>
            <w:vAlign w:val="center"/>
          </w:tcPr>
          <w:p w14:paraId="385AB2A1" w14:textId="77777777" w:rsidR="00B8619C" w:rsidRDefault="00000000">
            <w:pPr>
              <w:spacing w:after="0" w:line="264" w:lineRule="auto"/>
            </w:pPr>
            <w:r>
              <w:rPr>
                <w:sz w:val="17"/>
              </w:rPr>
              <w:t>0.70</w:t>
            </w:r>
          </w:p>
        </w:tc>
        <w:tc>
          <w:tcPr>
            <w:tcW w:w="2381" w:type="dxa"/>
            <w:tcMar>
              <w:top w:w="80" w:type="dxa"/>
              <w:left w:w="90" w:type="dxa"/>
              <w:bottom w:w="80" w:type="dxa"/>
              <w:right w:w="90" w:type="dxa"/>
            </w:tcMar>
            <w:vAlign w:val="center"/>
          </w:tcPr>
          <w:p w14:paraId="0A8396D8" w14:textId="77777777" w:rsidR="00B8619C" w:rsidRDefault="00000000">
            <w:pPr>
              <w:spacing w:after="0" w:line="264" w:lineRule="auto"/>
            </w:pPr>
            <w:r>
              <w:rPr>
                <w:sz w:val="17"/>
              </w:rPr>
              <w:t>1037.3 ± 89.5</w:t>
            </w:r>
          </w:p>
        </w:tc>
        <w:tc>
          <w:tcPr>
            <w:tcW w:w="2381" w:type="dxa"/>
            <w:tcMar>
              <w:top w:w="80" w:type="dxa"/>
              <w:left w:w="90" w:type="dxa"/>
              <w:bottom w:w="80" w:type="dxa"/>
              <w:right w:w="90" w:type="dxa"/>
            </w:tcMar>
            <w:vAlign w:val="center"/>
          </w:tcPr>
          <w:p w14:paraId="753E9377" w14:textId="77777777" w:rsidR="00B8619C" w:rsidRDefault="00000000">
            <w:pPr>
              <w:spacing w:after="0" w:line="264" w:lineRule="auto"/>
            </w:pPr>
            <w:r>
              <w:rPr>
                <w:sz w:val="17"/>
              </w:rPr>
              <w:t>80.79 ± 6.97</w:t>
            </w:r>
          </w:p>
        </w:tc>
        <w:tc>
          <w:tcPr>
            <w:tcW w:w="2381" w:type="dxa"/>
            <w:tcMar>
              <w:top w:w="80" w:type="dxa"/>
              <w:left w:w="90" w:type="dxa"/>
              <w:bottom w:w="80" w:type="dxa"/>
              <w:right w:w="90" w:type="dxa"/>
            </w:tcMar>
            <w:vAlign w:val="center"/>
          </w:tcPr>
          <w:p w14:paraId="7CAC2281" w14:textId="77777777" w:rsidR="00B8619C" w:rsidRDefault="00000000">
            <w:pPr>
              <w:spacing w:after="0" w:line="264" w:lineRule="auto"/>
            </w:pPr>
            <w:r>
              <w:rPr>
                <w:sz w:val="17"/>
              </w:rPr>
              <w:t>17.82 ± 0.86</w:t>
            </w:r>
          </w:p>
        </w:tc>
      </w:tr>
      <w:tr w:rsidR="00B8619C" w14:paraId="1BB1D420" w14:textId="77777777">
        <w:trPr>
          <w:cantSplit/>
          <w:jc w:val="center"/>
        </w:trPr>
        <w:tc>
          <w:tcPr>
            <w:tcW w:w="1928" w:type="dxa"/>
            <w:tcMar>
              <w:top w:w="80" w:type="dxa"/>
              <w:left w:w="90" w:type="dxa"/>
              <w:bottom w:w="80" w:type="dxa"/>
              <w:right w:w="90" w:type="dxa"/>
            </w:tcMar>
            <w:vAlign w:val="center"/>
          </w:tcPr>
          <w:p w14:paraId="1856B4CE" w14:textId="77777777" w:rsidR="00B8619C" w:rsidRDefault="00000000">
            <w:pPr>
              <w:spacing w:after="0" w:line="264" w:lineRule="auto"/>
            </w:pPr>
            <w:r>
              <w:rPr>
                <w:sz w:val="17"/>
              </w:rPr>
              <w:t>0.80</w:t>
            </w:r>
          </w:p>
        </w:tc>
        <w:tc>
          <w:tcPr>
            <w:tcW w:w="2381" w:type="dxa"/>
            <w:tcMar>
              <w:top w:w="80" w:type="dxa"/>
              <w:left w:w="90" w:type="dxa"/>
              <w:bottom w:w="80" w:type="dxa"/>
              <w:right w:w="90" w:type="dxa"/>
            </w:tcMar>
            <w:vAlign w:val="center"/>
          </w:tcPr>
          <w:p w14:paraId="51630572" w14:textId="77777777" w:rsidR="00B8619C" w:rsidRDefault="00000000">
            <w:pPr>
              <w:spacing w:after="0" w:line="264" w:lineRule="auto"/>
            </w:pPr>
            <w:r>
              <w:rPr>
                <w:sz w:val="17"/>
              </w:rPr>
              <w:t>934.3 ± 119.9</w:t>
            </w:r>
          </w:p>
        </w:tc>
        <w:tc>
          <w:tcPr>
            <w:tcW w:w="2381" w:type="dxa"/>
            <w:tcMar>
              <w:top w:w="80" w:type="dxa"/>
              <w:left w:w="90" w:type="dxa"/>
              <w:bottom w:w="80" w:type="dxa"/>
              <w:right w:w="90" w:type="dxa"/>
            </w:tcMar>
            <w:vAlign w:val="center"/>
          </w:tcPr>
          <w:p w14:paraId="5ED4D29C" w14:textId="77777777" w:rsidR="00B8619C" w:rsidRDefault="00000000">
            <w:pPr>
              <w:spacing w:after="0" w:line="264" w:lineRule="auto"/>
            </w:pPr>
            <w:r>
              <w:rPr>
                <w:sz w:val="17"/>
              </w:rPr>
              <w:t>72.77 ± 9.34</w:t>
            </w:r>
          </w:p>
        </w:tc>
        <w:tc>
          <w:tcPr>
            <w:tcW w:w="2381" w:type="dxa"/>
            <w:tcMar>
              <w:top w:w="80" w:type="dxa"/>
              <w:left w:w="90" w:type="dxa"/>
              <w:bottom w:w="80" w:type="dxa"/>
              <w:right w:w="90" w:type="dxa"/>
            </w:tcMar>
            <w:vAlign w:val="center"/>
          </w:tcPr>
          <w:p w14:paraId="25A08F9A" w14:textId="77777777" w:rsidR="00B8619C" w:rsidRDefault="00000000">
            <w:pPr>
              <w:spacing w:after="0" w:line="264" w:lineRule="auto"/>
            </w:pPr>
            <w:r>
              <w:rPr>
                <w:sz w:val="17"/>
              </w:rPr>
              <w:t>15.51 ± 1.01</w:t>
            </w:r>
          </w:p>
        </w:tc>
      </w:tr>
      <w:tr w:rsidR="00B8619C" w14:paraId="28387FE6" w14:textId="77777777">
        <w:trPr>
          <w:cantSplit/>
          <w:jc w:val="center"/>
        </w:trPr>
        <w:tc>
          <w:tcPr>
            <w:tcW w:w="1928" w:type="dxa"/>
            <w:tcMar>
              <w:top w:w="80" w:type="dxa"/>
              <w:left w:w="90" w:type="dxa"/>
              <w:bottom w:w="80" w:type="dxa"/>
              <w:right w:w="90" w:type="dxa"/>
            </w:tcMar>
            <w:vAlign w:val="center"/>
          </w:tcPr>
          <w:p w14:paraId="1023868D" w14:textId="77777777" w:rsidR="00B8619C" w:rsidRDefault="00000000">
            <w:pPr>
              <w:spacing w:after="0" w:line="264" w:lineRule="auto"/>
            </w:pPr>
            <w:r>
              <w:rPr>
                <w:sz w:val="17"/>
              </w:rPr>
              <w:t>0.90</w:t>
            </w:r>
          </w:p>
        </w:tc>
        <w:tc>
          <w:tcPr>
            <w:tcW w:w="2381" w:type="dxa"/>
            <w:tcMar>
              <w:top w:w="80" w:type="dxa"/>
              <w:left w:w="90" w:type="dxa"/>
              <w:bottom w:w="80" w:type="dxa"/>
              <w:right w:w="90" w:type="dxa"/>
            </w:tcMar>
            <w:vAlign w:val="center"/>
          </w:tcPr>
          <w:p w14:paraId="3DED882B" w14:textId="77777777" w:rsidR="00B8619C" w:rsidRDefault="00000000">
            <w:pPr>
              <w:spacing w:after="0" w:line="264" w:lineRule="auto"/>
            </w:pPr>
            <w:r>
              <w:rPr>
                <w:sz w:val="17"/>
              </w:rPr>
              <w:t>781.7 ± 144.1</w:t>
            </w:r>
          </w:p>
        </w:tc>
        <w:tc>
          <w:tcPr>
            <w:tcW w:w="2381" w:type="dxa"/>
            <w:tcMar>
              <w:top w:w="80" w:type="dxa"/>
              <w:left w:w="90" w:type="dxa"/>
              <w:bottom w:w="80" w:type="dxa"/>
              <w:right w:w="90" w:type="dxa"/>
            </w:tcMar>
            <w:vAlign w:val="center"/>
          </w:tcPr>
          <w:p w14:paraId="5C8DB542" w14:textId="77777777" w:rsidR="00B8619C" w:rsidRDefault="00000000">
            <w:pPr>
              <w:spacing w:after="0" w:line="264" w:lineRule="auto"/>
            </w:pPr>
            <w:r>
              <w:rPr>
                <w:sz w:val="17"/>
              </w:rPr>
              <w:t>60.88 ± 11.22</w:t>
            </w:r>
          </w:p>
        </w:tc>
        <w:tc>
          <w:tcPr>
            <w:tcW w:w="2381" w:type="dxa"/>
            <w:tcMar>
              <w:top w:w="80" w:type="dxa"/>
              <w:left w:w="90" w:type="dxa"/>
              <w:bottom w:w="80" w:type="dxa"/>
              <w:right w:w="90" w:type="dxa"/>
            </w:tcMar>
            <w:vAlign w:val="center"/>
          </w:tcPr>
          <w:p w14:paraId="436F846F" w14:textId="77777777" w:rsidR="00B8619C" w:rsidRDefault="00000000">
            <w:pPr>
              <w:spacing w:after="0" w:line="264" w:lineRule="auto"/>
            </w:pPr>
            <w:r>
              <w:rPr>
                <w:sz w:val="17"/>
              </w:rPr>
              <w:t>11.71 ± 1.99</w:t>
            </w:r>
          </w:p>
        </w:tc>
      </w:tr>
      <w:tr w:rsidR="00B8619C" w14:paraId="5669863D" w14:textId="77777777">
        <w:trPr>
          <w:cantSplit/>
          <w:jc w:val="center"/>
        </w:trPr>
        <w:tc>
          <w:tcPr>
            <w:tcW w:w="1928" w:type="dxa"/>
            <w:tcMar>
              <w:top w:w="80" w:type="dxa"/>
              <w:left w:w="90" w:type="dxa"/>
              <w:bottom w:w="80" w:type="dxa"/>
              <w:right w:w="90" w:type="dxa"/>
            </w:tcMar>
            <w:vAlign w:val="center"/>
          </w:tcPr>
          <w:p w14:paraId="1A8F71C6" w14:textId="77777777" w:rsidR="00B8619C" w:rsidRDefault="00000000">
            <w:pPr>
              <w:spacing w:after="0" w:line="264" w:lineRule="auto"/>
            </w:pPr>
            <w:r>
              <w:rPr>
                <w:sz w:val="17"/>
              </w:rPr>
              <w:t>0.95</w:t>
            </w:r>
          </w:p>
        </w:tc>
        <w:tc>
          <w:tcPr>
            <w:tcW w:w="2381" w:type="dxa"/>
            <w:tcMar>
              <w:top w:w="80" w:type="dxa"/>
              <w:left w:w="90" w:type="dxa"/>
              <w:bottom w:w="80" w:type="dxa"/>
              <w:right w:w="90" w:type="dxa"/>
            </w:tcMar>
            <w:vAlign w:val="center"/>
          </w:tcPr>
          <w:p w14:paraId="0C0C7CE5" w14:textId="77777777" w:rsidR="00B8619C" w:rsidRDefault="00000000">
            <w:pPr>
              <w:spacing w:after="0" w:line="264" w:lineRule="auto"/>
            </w:pPr>
            <w:r>
              <w:rPr>
                <w:sz w:val="17"/>
              </w:rPr>
              <w:t>662.7 ± 179.1</w:t>
            </w:r>
          </w:p>
        </w:tc>
        <w:tc>
          <w:tcPr>
            <w:tcW w:w="2381" w:type="dxa"/>
            <w:tcMar>
              <w:top w:w="80" w:type="dxa"/>
              <w:left w:w="90" w:type="dxa"/>
              <w:bottom w:w="80" w:type="dxa"/>
              <w:right w:w="90" w:type="dxa"/>
            </w:tcMar>
            <w:vAlign w:val="center"/>
          </w:tcPr>
          <w:p w14:paraId="56200700" w14:textId="77777777" w:rsidR="00B8619C" w:rsidRDefault="00000000">
            <w:pPr>
              <w:spacing w:after="0" w:line="264" w:lineRule="auto"/>
            </w:pPr>
            <w:r>
              <w:rPr>
                <w:sz w:val="17"/>
              </w:rPr>
              <w:t>51.61 ± 13.95</w:t>
            </w:r>
          </w:p>
        </w:tc>
        <w:tc>
          <w:tcPr>
            <w:tcW w:w="2381" w:type="dxa"/>
            <w:tcMar>
              <w:top w:w="80" w:type="dxa"/>
              <w:left w:w="90" w:type="dxa"/>
              <w:bottom w:w="80" w:type="dxa"/>
              <w:right w:w="90" w:type="dxa"/>
            </w:tcMar>
            <w:vAlign w:val="center"/>
          </w:tcPr>
          <w:p w14:paraId="25B9727A" w14:textId="77777777" w:rsidR="00B8619C" w:rsidRDefault="00000000">
            <w:pPr>
              <w:spacing w:after="0" w:line="264" w:lineRule="auto"/>
            </w:pPr>
            <w:r>
              <w:rPr>
                <w:sz w:val="17"/>
              </w:rPr>
              <w:t>9.92 ± 1.62</w:t>
            </w:r>
          </w:p>
        </w:tc>
      </w:tr>
    </w:tbl>
    <w:p w14:paraId="294FBCC9" w14:textId="77777777" w:rsidR="00B8619C" w:rsidRDefault="00000000">
      <w:pPr>
        <w:pStyle w:val="af7"/>
        <w:keepNext/>
        <w:spacing w:after="100"/>
        <w:jc w:val="center"/>
      </w:pPr>
      <w:r>
        <w:lastRenderedPageBreak/>
        <w:t>表</w:t>
      </w:r>
      <w:r>
        <w:t xml:space="preserve"> 17 </w:t>
      </w:r>
      <w:r>
        <w:t>代表性置信度阈值下的覆盖率与保留风险</w:t>
      </w:r>
    </w:p>
    <w:p w14:paraId="730A30B3" w14:textId="77777777" w:rsidR="00B8619C" w:rsidRDefault="00000000">
      <w:pPr>
        <w:keepNext/>
        <w:jc w:val="center"/>
      </w:pPr>
      <w:r>
        <w:rPr>
          <w:noProof/>
        </w:rPr>
        <w:drawing>
          <wp:inline distT="0" distB="0" distL="0" distR="0" wp14:anchorId="52AD5DF9" wp14:editId="5FFB0BA5">
            <wp:extent cx="5688000" cy="2275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4"/>
                    <a:stretch>
                      <a:fillRect/>
                    </a:stretch>
                  </pic:blipFill>
                  <pic:spPr>
                    <a:xfrm>
                      <a:off x="0" y="0"/>
                      <a:ext cx="5688000" cy="2275200"/>
                    </a:xfrm>
                    <a:prstGeom prst="rect">
                      <a:avLst/>
                    </a:prstGeom>
                  </pic:spPr>
                </pic:pic>
              </a:graphicData>
            </a:graphic>
          </wp:inline>
        </w:drawing>
      </w:r>
    </w:p>
    <w:p w14:paraId="68FB4061" w14:textId="77777777" w:rsidR="00B8619C" w:rsidRDefault="00000000">
      <w:pPr>
        <w:pStyle w:val="af7"/>
        <w:keepNext/>
        <w:spacing w:after="100" w:line="360" w:lineRule="auto"/>
        <w:jc w:val="center"/>
      </w:pPr>
      <w:r>
        <w:rPr>
          <w:rFonts w:ascii="宋体" w:hAnsi="宋体" w:eastAsia="宋体"/>
          <w:sz w:val="21"/>
        </w:rPr>
        <w:t>图 12 三随机种子在固定测试划分上的选择性识别风险—覆盖率关系</w:t>
      </w:r>
    </w:p>
    <w:p w14:paraId="09E1C519" w14:textId="77777777" w:rsidR="00B8619C" w:rsidRDefault="00000000">
      <w:pPr>
        <w:spacing w:line="360" w:lineRule="auto"/>
        <w:ind w:firstLine="420"/>
        <w:jc w:val="both"/>
      </w:pPr>
      <w:r>
        <w:rPr>
          <w:rFonts w:ascii="宋体" w:hAnsi="宋体" w:eastAsia="宋体"/>
          <w:sz w:val="21"/>
        </w:rPr>
        <w:t>未校准的固定测试阈值曲线仅作为探索性结果保留。正式风险阈值已在5.13节中改为：验证集温度拟合、独立认证子集计算同时置信上界、测试集一次性评估。因而0.90不再被解释为推荐阈值，实际阈值随预设风险δ和随机种子而变化。</w:t>
      </w:r>
    </w:p>
    <w:p>
      <w:pPr>
        <w:pStyle w:val="21"/>
      </w:pPr>
      <w:r>
        <w:t>5.11 角色风险收缩：种类错误不必然导致角色错误</w:t>
      </w:r>
    </w:p>
    <w:p>
      <w:pPr>
        <w:spacing w:line="360" w:lineRule="auto" w:after="80"/>
      </w:pPr>
      <w:r>
        <w:rPr>
          <w:rFonts w:ascii="宋体" w:hAnsi="宋体" w:eastAsia="宋体"/>
          <w:sz w:val="21"/>
        </w:rPr>
        <w:t>设细粒度矿物种类为 s，固定的种类—选矿角色映射为 g。由于正确种类必然映射到正确角色，而错误种类若仍落在同一角色内并不会造成角色决策错误，可得到逐样本风险支配关系及其经验风险分解：</w:t>
      </w:r>
    </w:p>
    <w:p>
      <w:pPr>
        <w:keepNext/>
        <w:jc w:val="center"/>
      </w:pPr>
      <w:r>
        <w:drawing>
          <wp:inline xmlns:a="http://schemas.openxmlformats.org/drawingml/2006/main" xmlns:pic="http://schemas.openxmlformats.org/drawingml/2006/picture">
            <wp:extent cx="5580000" cy="481493"/>
            <wp:docPr id="18" name="Picture 18"/>
            <wp:cNvGraphicFramePr>
              <a:graphicFrameLocks noChangeAspect="1"/>
            </wp:cNvGraphicFramePr>
            <a:graphic>
              <a:graphicData uri="http://schemas.openxmlformats.org/drawingml/2006/picture">
                <pic:pic>
                  <pic:nvPicPr>
                    <pic:cNvPr id="0" name="risk_contraction.png"/>
                    <pic:cNvPicPr/>
                  </pic:nvPicPr>
                  <pic:blipFill>
                    <a:blip r:embed="rId29"/>
                    <a:stretch>
                      <a:fillRect/>
                    </a:stretch>
                  </pic:blipFill>
                  <pic:spPr>
                    <a:xfrm>
                      <a:off x="0" y="0"/>
                      <a:ext cx="5580000" cy="481493"/>
                    </a:xfrm>
                    <a:prstGeom prst="rect"/>
                  </pic:spPr>
                </pic:pic>
              </a:graphicData>
            </a:graphic>
          </wp:inline>
        </w:drawing>
      </w:r>
    </w:p>
    <w:p>
      <w:pPr>
        <w:pStyle w:val="af7"/>
        <w:spacing w:line="360" w:lineRule="auto"/>
        <w:jc w:val="center"/>
      </w:pPr>
      <w:r>
        <w:rPr>
          <w:rFonts w:ascii="宋体" w:hAnsi="宋体" w:eastAsia="宋体"/>
          <w:sz w:val="21"/>
        </w:rPr>
        <w:t>式（7） 固定映射下的角色风险收缩关系</w:t>
      </w:r>
    </w:p>
    <w:p>
      <w:pPr>
        <w:pStyle w:val="af7"/>
        <w:jc w:val="center"/>
      </w:pPr>
      <w:r>
        <w:rPr>
          <w:rFonts w:ascii="宋体" w:hAnsi="宋体" w:eastAsia="宋体"/>
          <w:sz w:val="19"/>
        </w:rPr>
        <w:t>表 18 固定映射下角色风险收缩的实证验证</w:t>
      </w:r>
    </w:p>
    <w:tbl>
      <w:tblPr>
        <w:tblStyle w:val="aff1"/>
        <w:tblW w:type="auto" w:w="0"/>
        <w:jc w:val="center"/>
        <w:tblLayout w:type="fixed"/>
        <w:tblLook w:firstColumn="1" w:firstRow="1" w:lastColumn="0" w:lastRow="0" w:noHBand="0" w:noVBand="1" w:val="04A0"/>
      </w:tblPr>
      <w:tblGrid>
        <w:gridCol w:w="2296"/>
        <w:gridCol w:w="2296"/>
        <w:gridCol w:w="2296"/>
        <w:gridCol w:w="2296"/>
      </w:tblGrid>
      <w:tr>
        <w:trPr>
          <w:tblHeader w:val="true"/>
        </w:trPr>
        <w:tc>
          <w:tcPr>
            <w:tcW w:type="dxa" w:w="2437"/>
            <w:vAlign w:val="center"/>
            <w:shd w:fill="D9EAF7"/>
          </w:tcPr>
          <w:p>
            <w:pPr>
              <w:spacing w:before="30" w:after="30" w:line="252" w:lineRule="auto"/>
              <w:jc w:val="center"/>
            </w:pPr>
            <w:r>
              <w:rPr>
                <w:rFonts w:ascii="黑体" w:hAnsi="黑体" w:eastAsia="黑体"/>
                <w:b/>
                <w:sz w:val="18"/>
              </w:rPr>
              <w:t>指标</w:t>
            </w:r>
          </w:p>
        </w:tc>
        <w:tc>
          <w:tcPr>
            <w:tcW w:type="dxa" w:w="1757"/>
            <w:vAlign w:val="center"/>
            <w:shd w:fill="D9EAF7"/>
          </w:tcPr>
          <w:p>
            <w:pPr>
              <w:spacing w:before="30" w:after="30" w:line="252" w:lineRule="auto"/>
              <w:jc w:val="center"/>
            </w:pPr>
            <w:r>
              <w:rPr>
                <w:rFonts w:ascii="黑体" w:hAnsi="黑体" w:eastAsia="黑体"/>
                <w:b/>
                <w:sz w:val="18"/>
              </w:rPr>
              <w:t>三种子均值</w:t>
            </w:r>
          </w:p>
        </w:tc>
        <w:tc>
          <w:tcPr>
            <w:tcW w:type="dxa" w:w="1700"/>
            <w:vAlign w:val="center"/>
            <w:shd w:fill="D9EAF7"/>
          </w:tcPr>
          <w:p>
            <w:pPr>
              <w:spacing w:before="30" w:after="30" w:line="252" w:lineRule="auto"/>
              <w:jc w:val="center"/>
            </w:pPr>
            <w:r>
              <w:rPr>
                <w:rFonts w:ascii="黑体" w:hAnsi="黑体" w:eastAsia="黑体"/>
                <w:b/>
                <w:sz w:val="18"/>
              </w:rPr>
              <w:t>样本标准差</w:t>
            </w:r>
          </w:p>
        </w:tc>
        <w:tc>
          <w:tcPr>
            <w:tcW w:type="dxa" w:w="2834"/>
            <w:vAlign w:val="center"/>
            <w:shd w:fill="D9EAF7"/>
          </w:tcPr>
          <w:p>
            <w:pPr>
              <w:spacing w:before="30" w:after="30" w:line="252" w:lineRule="auto"/>
              <w:jc w:val="center"/>
            </w:pPr>
            <w:r>
              <w:rPr>
                <w:rFonts w:ascii="黑体" w:hAnsi="黑体" w:eastAsia="黑体"/>
                <w:b/>
                <w:sz w:val="18"/>
              </w:rPr>
              <w:t>解释</w:t>
            </w:r>
          </w:p>
        </w:tc>
      </w:tr>
      <w:tr>
        <w:tc>
          <w:tcPr>
            <w:tcW w:type="dxa" w:w="2437"/>
            <w:vAlign w:val="center"/>
          </w:tcPr>
          <w:p>
            <w:pPr>
              <w:spacing w:before="30" w:after="30" w:line="252" w:lineRule="auto"/>
              <w:jc w:val="center"/>
            </w:pPr>
            <w:r>
              <w:rPr>
                <w:rFonts w:ascii="宋体" w:hAnsi="宋体" w:eastAsia="宋体"/>
                <w:b w:val="0"/>
                <w:sz w:val="18"/>
              </w:rPr>
              <w:t>17类种类准确率</w:t>
            </w:r>
          </w:p>
        </w:tc>
        <w:tc>
          <w:tcPr>
            <w:tcW w:type="dxa" w:w="1757"/>
            <w:vAlign w:val="center"/>
          </w:tcPr>
          <w:p>
            <w:pPr>
              <w:spacing w:before="30" w:after="30" w:line="252" w:lineRule="auto"/>
              <w:jc w:val="center"/>
            </w:pPr>
            <w:r>
              <w:rPr>
                <w:rFonts w:ascii="宋体" w:hAnsi="宋体" w:eastAsia="宋体"/>
                <w:b w:val="0"/>
                <w:sz w:val="18"/>
              </w:rPr>
              <w:t>56.80%</w:t>
            </w:r>
          </w:p>
        </w:tc>
        <w:tc>
          <w:tcPr>
            <w:tcW w:type="dxa" w:w="1700"/>
            <w:vAlign w:val="center"/>
          </w:tcPr>
          <w:p>
            <w:pPr>
              <w:spacing w:before="30" w:after="30" w:line="252" w:lineRule="auto"/>
              <w:jc w:val="center"/>
            </w:pPr>
            <w:r>
              <w:rPr>
                <w:rFonts w:ascii="宋体" w:hAnsi="宋体" w:eastAsia="宋体"/>
                <w:b w:val="0"/>
                <w:sz w:val="18"/>
              </w:rPr>
              <w:t>2.23%</w:t>
            </w:r>
          </w:p>
        </w:tc>
        <w:tc>
          <w:tcPr>
            <w:tcW w:type="dxa" w:w="2834"/>
            <w:vAlign w:val="center"/>
          </w:tcPr>
          <w:p>
            <w:pPr>
              <w:spacing w:before="30" w:after="30" w:line="252" w:lineRule="auto"/>
              <w:jc w:val="center"/>
            </w:pPr>
            <w:r>
              <w:rPr>
                <w:rFonts w:ascii="宋体" w:hAnsi="宋体" w:eastAsia="宋体"/>
                <w:b w:val="0"/>
                <w:sz w:val="18"/>
              </w:rPr>
              <w:t>细粒度识别</w:t>
            </w:r>
          </w:p>
        </w:tc>
      </w:tr>
      <w:tr>
        <w:tc>
          <w:tcPr>
            <w:tcW w:type="dxa" w:w="2437"/>
            <w:vAlign w:val="center"/>
          </w:tcPr>
          <w:p>
            <w:pPr>
              <w:spacing w:before="30" w:after="30" w:line="252" w:lineRule="auto"/>
              <w:jc w:val="center"/>
            </w:pPr>
            <w:r>
              <w:rPr>
                <w:rFonts w:ascii="宋体" w:hAnsi="宋体" w:eastAsia="宋体"/>
                <w:b w:val="0"/>
                <w:sz w:val="18"/>
              </w:rPr>
              <w:t>直接角色头准确率</w:t>
            </w:r>
          </w:p>
        </w:tc>
        <w:tc>
          <w:tcPr>
            <w:tcW w:type="dxa" w:w="1757"/>
            <w:vAlign w:val="center"/>
          </w:tcPr>
          <w:p>
            <w:pPr>
              <w:spacing w:before="30" w:after="30" w:line="252" w:lineRule="auto"/>
              <w:jc w:val="center"/>
            </w:pPr>
            <w:r>
              <w:rPr>
                <w:rFonts w:ascii="宋体" w:hAnsi="宋体" w:eastAsia="宋体"/>
                <w:b w:val="0"/>
                <w:sz w:val="18"/>
              </w:rPr>
              <w:t>75.42%</w:t>
            </w:r>
          </w:p>
        </w:tc>
        <w:tc>
          <w:tcPr>
            <w:tcW w:type="dxa" w:w="1700"/>
            <w:vAlign w:val="center"/>
          </w:tcPr>
          <w:p>
            <w:pPr>
              <w:spacing w:before="30" w:after="30" w:line="252" w:lineRule="auto"/>
              <w:jc w:val="center"/>
            </w:pPr>
            <w:r>
              <w:rPr>
                <w:rFonts w:ascii="宋体" w:hAnsi="宋体" w:eastAsia="宋体"/>
                <w:b w:val="0"/>
                <w:sz w:val="18"/>
              </w:rPr>
              <w:t>2.59%</w:t>
            </w:r>
          </w:p>
        </w:tc>
        <w:tc>
          <w:tcPr>
            <w:tcW w:type="dxa" w:w="2834"/>
            <w:vAlign w:val="center"/>
          </w:tcPr>
          <w:p>
            <w:pPr>
              <w:spacing w:before="30" w:after="30" w:line="252" w:lineRule="auto"/>
              <w:jc w:val="center"/>
            </w:pPr>
            <w:r>
              <w:rPr>
                <w:rFonts w:ascii="宋体" w:hAnsi="宋体" w:eastAsia="宋体"/>
                <w:b w:val="0"/>
                <w:sz w:val="18"/>
              </w:rPr>
              <w:t>四类角色决策</w:t>
            </w:r>
          </w:p>
        </w:tc>
      </w:tr>
      <w:tr>
        <w:tc>
          <w:tcPr>
            <w:tcW w:type="dxa" w:w="2437"/>
            <w:vAlign w:val="center"/>
          </w:tcPr>
          <w:p>
            <w:pPr>
              <w:spacing w:before="30" w:after="30" w:line="252" w:lineRule="auto"/>
              <w:jc w:val="center"/>
            </w:pPr>
            <w:r>
              <w:rPr>
                <w:rFonts w:ascii="宋体" w:hAnsi="宋体" w:eastAsia="宋体"/>
                <w:b w:val="0"/>
                <w:sz w:val="18"/>
              </w:rPr>
              <w:t>种类预测映射角色准确率</w:t>
            </w:r>
          </w:p>
        </w:tc>
        <w:tc>
          <w:tcPr>
            <w:tcW w:type="dxa" w:w="1757"/>
            <w:vAlign w:val="center"/>
          </w:tcPr>
          <w:p>
            <w:pPr>
              <w:spacing w:before="30" w:after="30" w:line="252" w:lineRule="auto"/>
              <w:jc w:val="center"/>
            </w:pPr>
            <w:r>
              <w:rPr>
                <w:rFonts w:ascii="宋体" w:hAnsi="宋体" w:eastAsia="宋体"/>
                <w:b w:val="0"/>
                <w:sz w:val="18"/>
              </w:rPr>
              <w:t>75.55%</w:t>
            </w:r>
          </w:p>
        </w:tc>
        <w:tc>
          <w:tcPr>
            <w:tcW w:type="dxa" w:w="1700"/>
            <w:vAlign w:val="center"/>
          </w:tcPr>
          <w:p>
            <w:pPr>
              <w:spacing w:before="30" w:after="30" w:line="252" w:lineRule="auto"/>
              <w:jc w:val="center"/>
            </w:pPr>
            <w:r>
              <w:rPr>
                <w:rFonts w:ascii="宋体" w:hAnsi="宋体" w:eastAsia="宋体"/>
                <w:b w:val="0"/>
                <w:sz w:val="18"/>
              </w:rPr>
              <w:t>1.93%</w:t>
            </w:r>
          </w:p>
        </w:tc>
        <w:tc>
          <w:tcPr>
            <w:tcW w:type="dxa" w:w="2834"/>
            <w:vAlign w:val="center"/>
          </w:tcPr>
          <w:p>
            <w:pPr>
              <w:spacing w:before="30" w:after="30" w:line="252" w:lineRule="auto"/>
              <w:jc w:val="center"/>
            </w:pPr>
            <w:r>
              <w:rPr>
                <w:rFonts w:ascii="宋体" w:hAnsi="宋体" w:eastAsia="宋体"/>
                <w:b w:val="0"/>
                <w:sz w:val="18"/>
              </w:rPr>
              <w:t>g(ŝ) 的硬映射</w:t>
            </w:r>
          </w:p>
        </w:tc>
      </w:tr>
      <w:tr>
        <w:tc>
          <w:tcPr>
            <w:tcW w:type="dxa" w:w="2437"/>
            <w:vAlign w:val="center"/>
          </w:tcPr>
          <w:p>
            <w:pPr>
              <w:spacing w:before="30" w:after="30" w:line="252" w:lineRule="auto"/>
              <w:jc w:val="center"/>
            </w:pPr>
            <w:r>
              <w:rPr>
                <w:rFonts w:ascii="宋体" w:hAnsi="宋体" w:eastAsia="宋体"/>
                <w:b w:val="0"/>
                <w:sz w:val="18"/>
              </w:rPr>
              <w:t>经验角色风险收缩</w:t>
            </w:r>
          </w:p>
        </w:tc>
        <w:tc>
          <w:tcPr>
            <w:tcW w:type="dxa" w:w="1757"/>
            <w:vAlign w:val="center"/>
          </w:tcPr>
          <w:p>
            <w:pPr>
              <w:spacing w:before="30" w:after="30" w:line="252" w:lineRule="auto"/>
              <w:jc w:val="center"/>
            </w:pPr>
            <w:r>
              <w:rPr>
                <w:rFonts w:ascii="宋体" w:hAnsi="宋体" w:eastAsia="宋体"/>
                <w:b w:val="0"/>
                <w:sz w:val="18"/>
              </w:rPr>
              <w:t>18.74个百分点</w:t>
            </w:r>
          </w:p>
        </w:tc>
        <w:tc>
          <w:tcPr>
            <w:tcW w:type="dxa" w:w="1700"/>
            <w:vAlign w:val="center"/>
          </w:tcPr>
          <w:p>
            <w:pPr>
              <w:spacing w:before="30" w:after="30" w:line="252" w:lineRule="auto"/>
              <w:jc w:val="center"/>
            </w:pPr>
            <w:r>
              <w:rPr>
                <w:rFonts w:ascii="宋体" w:hAnsi="宋体" w:eastAsia="宋体"/>
                <w:b w:val="0"/>
                <w:sz w:val="18"/>
              </w:rPr>
              <w:t>1.29</w:t>
            </w:r>
          </w:p>
        </w:tc>
        <w:tc>
          <w:tcPr>
            <w:tcW w:type="dxa" w:w="2834"/>
            <w:vAlign w:val="center"/>
          </w:tcPr>
          <w:p>
            <w:pPr>
              <w:spacing w:before="30" w:after="30" w:line="252" w:lineRule="auto"/>
              <w:jc w:val="center"/>
            </w:pPr>
            <w:r>
              <w:rPr>
                <w:rFonts w:ascii="宋体" w:hAnsi="宋体" w:eastAsia="宋体"/>
                <w:b w:val="0"/>
                <w:sz w:val="18"/>
              </w:rPr>
              <w:t>种类错但角色仍对</w:t>
            </w:r>
          </w:p>
        </w:tc>
      </w:tr>
      <w:tr>
        <w:tc>
          <w:tcPr>
            <w:tcW w:type="dxa" w:w="2437"/>
            <w:vAlign w:val="center"/>
          </w:tcPr>
          <w:p>
            <w:pPr>
              <w:spacing w:before="30" w:after="30" w:line="252" w:lineRule="auto"/>
              <w:jc w:val="center"/>
            </w:pPr>
            <w:r>
              <w:rPr>
                <w:rFonts w:ascii="宋体" w:hAnsi="宋体" w:eastAsia="宋体"/>
                <w:b w:val="0"/>
                <w:sz w:val="18"/>
              </w:rPr>
              <w:t>种类错误中角色仍正确</w:t>
            </w:r>
          </w:p>
        </w:tc>
        <w:tc>
          <w:tcPr>
            <w:tcW w:type="dxa" w:w="1757"/>
            <w:vAlign w:val="center"/>
          </w:tcPr>
          <w:p>
            <w:pPr>
              <w:spacing w:before="30" w:after="30" w:line="252" w:lineRule="auto"/>
              <w:jc w:val="center"/>
            </w:pPr>
            <w:r>
              <w:rPr>
                <w:rFonts w:ascii="宋体" w:hAnsi="宋体" w:eastAsia="宋体"/>
                <w:b w:val="0"/>
                <w:sz w:val="18"/>
              </w:rPr>
              <w:t>43.41%</w:t>
            </w:r>
          </w:p>
        </w:tc>
        <w:tc>
          <w:tcPr>
            <w:tcW w:type="dxa" w:w="1700"/>
            <w:vAlign w:val="center"/>
          </w:tcPr>
          <w:p>
            <w:pPr>
              <w:spacing w:before="30" w:after="30" w:line="252" w:lineRule="auto"/>
              <w:jc w:val="center"/>
            </w:pPr>
            <w:r>
              <w:rPr>
                <w:rFonts w:ascii="宋体" w:hAnsi="宋体" w:eastAsia="宋体"/>
                <w:b w:val="0"/>
                <w:sz w:val="18"/>
              </w:rPr>
              <w:t>2.66%</w:t>
            </w:r>
          </w:p>
        </w:tc>
        <w:tc>
          <w:tcPr>
            <w:tcW w:type="dxa" w:w="2834"/>
            <w:vAlign w:val="center"/>
          </w:tcPr>
          <w:p>
            <w:pPr>
              <w:spacing w:before="30" w:after="30" w:line="252" w:lineRule="auto"/>
              <w:jc w:val="center"/>
            </w:pPr>
            <w:r>
              <w:rPr>
                <w:rFonts w:ascii="宋体" w:hAnsi="宋体" w:eastAsia="宋体"/>
                <w:b w:val="0"/>
                <w:sz w:val="18"/>
              </w:rPr>
              <w:t>同角色混淆占比</w:t>
            </w:r>
          </w:p>
        </w:tc>
      </w:tr>
    </w:tbl>
    <w:p>
      <w:pPr>
        <w:spacing w:after="60"/>
      </w:pPr>
    </w:p>
    <w:p>
      <w:pPr>
        <w:spacing w:line="360" w:lineRule="auto" w:after="80"/>
      </w:pPr>
      <w:r>
        <w:rPr>
          <w:rFonts w:ascii="宋体" w:hAnsi="宋体" w:eastAsia="宋体"/>
          <w:sz w:val="21"/>
        </w:rPr>
        <w:t>结果表明，种类分类平均错误率约为43.20%，但其中43.41%的种类错误没有改变上层选矿角色，最终形成18.74±1.29个百分点的经验角色风险收缩。该结果验证的是固定映射所诱导的决策层风险收缩，不代表细粒度矿物识别问题已解决。</w:t>
      </w:r>
    </w:p>
    <w:p>
      <w:pPr>
        <w:pStyle w:val="21"/>
      </w:pPr>
      <w:r>
        <w:t>5.12 双头分布一致性与 Pinsker 上界</w:t>
      </w:r>
    </w:p>
    <w:p>
      <w:pPr>
        <w:spacing w:line="360" w:lineRule="auto" w:after="80"/>
      </w:pPr>
      <w:r>
        <w:rPr>
          <w:rFonts w:ascii="宋体" w:hAnsi="宋体" w:eastAsia="宋体"/>
          <w:sz w:val="21"/>
        </w:rPr>
        <w:t>种类头经固定矩阵 A 聚合得到角色分布 p̃r，角色头直接输出 pr。训练中实际采用 DKL(p̃r||pr) 约束两者。Pinsker 不等式给出分布差异的可计算上界：</w:t>
      </w:r>
    </w:p>
    <w:p>
      <w:pPr>
        <w:keepNext/>
        <w:jc w:val="center"/>
      </w:pPr>
      <w:r>
        <w:drawing>
          <wp:inline xmlns:a="http://schemas.openxmlformats.org/drawingml/2006/main" xmlns:pic="http://schemas.openxmlformats.org/drawingml/2006/picture">
            <wp:extent cx="5328000" cy="551307"/>
            <wp:docPr id="19" name="Picture 19"/>
            <wp:cNvGraphicFramePr>
              <a:graphicFrameLocks noChangeAspect="1"/>
            </wp:cNvGraphicFramePr>
            <a:graphic>
              <a:graphicData uri="http://schemas.openxmlformats.org/drawingml/2006/picture">
                <pic:pic>
                  <pic:nvPicPr>
                    <pic:cNvPr id="0" name="pinsker.png"/>
                    <pic:cNvPicPr/>
                  </pic:nvPicPr>
                  <pic:blipFill>
                    <a:blip r:embed="rId30"/>
                    <a:stretch>
                      <a:fillRect/>
                    </a:stretch>
                  </pic:blipFill>
                  <pic:spPr>
                    <a:xfrm>
                      <a:off x="0" y="0"/>
                      <a:ext cx="5328000" cy="551307"/>
                    </a:xfrm>
                    <a:prstGeom prst="rect"/>
                  </pic:spPr>
                </pic:pic>
              </a:graphicData>
            </a:graphic>
          </wp:inline>
        </w:drawing>
      </w:r>
    </w:p>
    <w:p>
      <w:pPr>
        <w:pStyle w:val="af7"/>
        <w:spacing w:line="360" w:lineRule="auto"/>
        <w:jc w:val="center"/>
      </w:pPr>
      <w:r>
        <w:rPr>
          <w:rFonts w:ascii="宋体" w:hAnsi="宋体" w:eastAsia="宋体"/>
          <w:sz w:val="21"/>
        </w:rPr>
        <w:t>式（8） 层级一致性损失与总变差上界</w:t>
      </w:r>
    </w:p>
    <w:p>
      <w:pPr>
        <w:pStyle w:val="af7"/>
        <w:jc w:val="center"/>
      </w:pPr>
      <w:r>
        <w:rPr>
          <w:rFonts w:ascii="宋体" w:hAnsi="宋体" w:eastAsia="宋体"/>
          <w:sz w:val="19"/>
        </w:rPr>
        <w:t>表 19 层级一致性约束的分布效果</w:t>
      </w:r>
    </w:p>
    <w:tbl>
      <w:tblPr>
        <w:tblStyle w:val="aff1"/>
        <w:tblW w:type="auto" w:w="0"/>
        <w:jc w:val="center"/>
        <w:tblLayout w:type="fixed"/>
        <w:tblLook w:firstColumn="1" w:firstRow="1" w:lastColumn="0" w:lastRow="0" w:noHBand="0" w:noVBand="1" w:val="04A0"/>
      </w:tblPr>
      <w:tblGrid>
        <w:gridCol w:w="2296"/>
        <w:gridCol w:w="2296"/>
        <w:gridCol w:w="2296"/>
        <w:gridCol w:w="2296"/>
      </w:tblGrid>
      <w:tr>
        <w:trPr>
          <w:tblHeader w:val="true"/>
        </w:trPr>
        <w:tc>
          <w:tcPr>
            <w:tcW w:type="dxa" w:w="2267"/>
            <w:vAlign w:val="center"/>
            <w:shd w:fill="D9EAF7"/>
          </w:tcPr>
          <w:p>
            <w:pPr>
              <w:spacing w:before="30" w:after="30" w:line="252" w:lineRule="auto"/>
              <w:jc w:val="center"/>
            </w:pPr>
            <w:r>
              <w:rPr>
                <w:rFonts w:ascii="黑体" w:hAnsi="黑体" w:eastAsia="黑体"/>
                <w:b/>
                <w:sz w:val="18"/>
              </w:rPr>
              <w:t>设置</w:t>
            </w:r>
          </w:p>
        </w:tc>
        <w:tc>
          <w:tcPr>
            <w:tcW w:type="dxa" w:w="2267"/>
            <w:vAlign w:val="center"/>
            <w:shd w:fill="D9EAF7"/>
          </w:tcPr>
          <w:p>
            <w:pPr>
              <w:spacing w:before="30" w:after="30" w:line="252" w:lineRule="auto"/>
              <w:jc w:val="center"/>
            </w:pPr>
            <w:r>
              <w:rPr>
                <w:rFonts w:ascii="黑体" w:hAnsi="黑体" w:eastAsia="黑体"/>
                <w:b/>
                <w:sz w:val="18"/>
              </w:rPr>
              <w:t>平均 KL</w:t>
            </w:r>
          </w:p>
        </w:tc>
        <w:tc>
          <w:tcPr>
            <w:tcW w:type="dxa" w:w="2267"/>
            <w:vAlign w:val="center"/>
            <w:shd w:fill="D9EAF7"/>
          </w:tcPr>
          <w:p>
            <w:pPr>
              <w:spacing w:before="30" w:after="30" w:line="252" w:lineRule="auto"/>
              <w:jc w:val="center"/>
            </w:pPr>
            <w:r>
              <w:rPr>
                <w:rFonts w:ascii="黑体" w:hAnsi="黑体" w:eastAsia="黑体"/>
                <w:b/>
                <w:sz w:val="18"/>
              </w:rPr>
              <w:t>平均 TV</w:t>
            </w:r>
          </w:p>
        </w:tc>
        <w:tc>
          <w:tcPr>
            <w:tcW w:type="dxa" w:w="2267"/>
            <w:vAlign w:val="center"/>
            <w:shd w:fill="D9EAF7"/>
          </w:tcPr>
          <w:p>
            <w:pPr>
              <w:spacing w:before="30" w:after="30" w:line="252" w:lineRule="auto"/>
              <w:jc w:val="center"/>
            </w:pPr>
            <w:r>
              <w:rPr>
                <w:rFonts w:ascii="黑体" w:hAnsi="黑体" w:eastAsia="黑体"/>
                <w:b/>
                <w:sz w:val="18"/>
              </w:rPr>
              <w:t>双头预测分歧率</w:t>
            </w:r>
          </w:p>
        </w:tc>
      </w:tr>
      <w:tr>
        <w:tc>
          <w:tcPr>
            <w:tcW w:type="dxa" w:w="2267"/>
            <w:vAlign w:val="center"/>
          </w:tcPr>
          <w:p>
            <w:pPr>
              <w:spacing w:before="30" w:after="30" w:line="252" w:lineRule="auto"/>
              <w:jc w:val="center"/>
            </w:pPr>
            <w:r>
              <w:rPr>
                <w:rFonts w:ascii="宋体" w:hAnsi="宋体" w:eastAsia="宋体"/>
                <w:b w:val="0"/>
                <w:sz w:val="18"/>
              </w:rPr>
              <w:t>完整分层模型</w:t>
            </w:r>
          </w:p>
        </w:tc>
        <w:tc>
          <w:tcPr>
            <w:tcW w:type="dxa" w:w="2267"/>
            <w:vAlign w:val="center"/>
          </w:tcPr>
          <w:p>
            <w:pPr>
              <w:spacing w:before="30" w:after="30" w:line="252" w:lineRule="auto"/>
              <w:jc w:val="center"/>
            </w:pPr>
            <w:r>
              <w:rPr>
                <w:rFonts w:ascii="宋体" w:hAnsi="宋体" w:eastAsia="宋体"/>
                <w:b w:val="0"/>
                <w:sz w:val="18"/>
              </w:rPr>
              <w:t>0.0426±0.0028</w:t>
            </w:r>
          </w:p>
        </w:tc>
        <w:tc>
          <w:tcPr>
            <w:tcW w:type="dxa" w:w="2267"/>
            <w:vAlign w:val="center"/>
          </w:tcPr>
          <w:p>
            <w:pPr>
              <w:spacing w:before="30" w:after="30" w:line="252" w:lineRule="auto"/>
              <w:jc w:val="center"/>
            </w:pPr>
            <w:r>
              <w:rPr>
                <w:rFonts w:ascii="宋体" w:hAnsi="宋体" w:eastAsia="宋体"/>
                <w:b w:val="0"/>
                <w:sz w:val="18"/>
              </w:rPr>
              <w:t>0.0661±0.0080</w:t>
            </w:r>
          </w:p>
        </w:tc>
        <w:tc>
          <w:tcPr>
            <w:tcW w:type="dxa" w:w="2267"/>
            <w:vAlign w:val="center"/>
          </w:tcPr>
          <w:p>
            <w:pPr>
              <w:spacing w:before="30" w:after="30" w:line="252" w:lineRule="auto"/>
              <w:jc w:val="center"/>
            </w:pPr>
            <w:r>
              <w:rPr>
                <w:rFonts w:ascii="宋体" w:hAnsi="宋体" w:eastAsia="宋体"/>
                <w:b w:val="0"/>
                <w:sz w:val="18"/>
              </w:rPr>
              <w:t>6.36%±1.25%</w:t>
            </w:r>
          </w:p>
        </w:tc>
      </w:tr>
      <w:tr>
        <w:tc>
          <w:tcPr>
            <w:tcW w:type="dxa" w:w="2267"/>
            <w:vAlign w:val="center"/>
          </w:tcPr>
          <w:p>
            <w:pPr>
              <w:spacing w:before="30" w:after="30" w:line="252" w:lineRule="auto"/>
              <w:jc w:val="center"/>
            </w:pPr>
            <w:r>
              <w:rPr>
                <w:rFonts w:ascii="宋体" w:hAnsi="宋体" w:eastAsia="宋体"/>
                <w:b w:val="0"/>
                <w:sz w:val="18"/>
              </w:rPr>
              <w:t>移除一致性项</w:t>
            </w:r>
          </w:p>
        </w:tc>
        <w:tc>
          <w:tcPr>
            <w:tcW w:type="dxa" w:w="2267"/>
            <w:vAlign w:val="center"/>
          </w:tcPr>
          <w:p>
            <w:pPr>
              <w:spacing w:before="30" w:after="30" w:line="252" w:lineRule="auto"/>
              <w:jc w:val="center"/>
            </w:pPr>
            <w:r>
              <w:rPr>
                <w:rFonts w:ascii="宋体" w:hAnsi="宋体" w:eastAsia="宋体"/>
                <w:b w:val="0"/>
                <w:sz w:val="18"/>
              </w:rPr>
              <w:t>0.0565±0.0012</w:t>
            </w:r>
          </w:p>
        </w:tc>
        <w:tc>
          <w:tcPr>
            <w:tcW w:type="dxa" w:w="2267"/>
            <w:vAlign w:val="center"/>
          </w:tcPr>
          <w:p>
            <w:pPr>
              <w:spacing w:before="30" w:after="30" w:line="252" w:lineRule="auto"/>
              <w:jc w:val="center"/>
            </w:pPr>
            <w:r>
              <w:rPr>
                <w:rFonts w:ascii="宋体" w:hAnsi="宋体" w:eastAsia="宋体"/>
                <w:b w:val="0"/>
                <w:sz w:val="18"/>
              </w:rPr>
              <w:t>0.0752±0.0117</w:t>
            </w:r>
          </w:p>
        </w:tc>
        <w:tc>
          <w:tcPr>
            <w:tcW w:type="dxa" w:w="2267"/>
            <w:vAlign w:val="center"/>
          </w:tcPr>
          <w:p>
            <w:pPr>
              <w:spacing w:before="30" w:after="30" w:line="252" w:lineRule="auto"/>
              <w:jc w:val="center"/>
            </w:pPr>
            <w:r>
              <w:rPr>
                <w:rFonts w:ascii="宋体" w:hAnsi="宋体" w:eastAsia="宋体"/>
                <w:b w:val="0"/>
                <w:sz w:val="18"/>
              </w:rPr>
              <w:t>7.42%±1.17%</w:t>
            </w:r>
          </w:p>
        </w:tc>
      </w:tr>
    </w:tbl>
    <w:p>
      <w:pPr>
        <w:spacing w:after="60"/>
      </w:pPr>
    </w:p>
    <w:p>
      <w:pPr>
        <w:keepNext/>
        <w:jc w:val="center"/>
      </w:pPr>
      <w:r>
        <w:drawing>
          <wp:inline xmlns:a="http://schemas.openxmlformats.org/drawingml/2006/main" xmlns:pic="http://schemas.openxmlformats.org/drawingml/2006/picture">
            <wp:extent cx="5472000" cy="3648000"/>
            <wp:docPr id="20" name="Picture 20"/>
            <wp:cNvGraphicFramePr>
              <a:graphicFrameLocks noChangeAspect="1"/>
            </wp:cNvGraphicFramePr>
            <a:graphic>
              <a:graphicData uri="http://schemas.openxmlformats.org/drawingml/2006/picture">
                <pic:pic>
                  <pic:nvPicPr>
                    <pic:cNvPr id="0" name="fig_hierarchy_kl_disagreement.png"/>
                    <pic:cNvPicPr/>
                  </pic:nvPicPr>
                  <pic:blipFill>
                    <a:blip r:embed="rId31"/>
                    <a:stretch>
                      <a:fillRect/>
                    </a:stretch>
                  </pic:blipFill>
                  <pic:spPr>
                    <a:xfrm>
                      <a:off x="0" y="0"/>
                      <a:ext cx="5472000" cy="3648000"/>
                    </a:xfrm>
                    <a:prstGeom prst="rect"/>
                  </pic:spPr>
                </pic:pic>
              </a:graphicData>
            </a:graphic>
          </wp:inline>
        </w:drawing>
      </w:r>
    </w:p>
    <w:p>
      <w:pPr>
        <w:pStyle w:val="af7"/>
        <w:jc w:val="center"/>
      </w:pPr>
      <w:r>
        <w:rPr>
          <w:rFonts w:ascii="宋体" w:hAnsi="宋体" w:eastAsia="宋体"/>
          <w:sz w:val="19"/>
        </w:rPr>
        <w:t>图 13 一致性约束对 KL 散度和双头分歧的影响</w:t>
      </w:r>
    </w:p>
    <w:p>
      <w:pPr>
        <w:spacing w:line="360" w:lineRule="auto" w:after="80"/>
      </w:pPr>
      <w:r>
        <w:rPr>
          <w:rFonts w:ascii="宋体" w:hAnsi="宋体" w:eastAsia="宋体"/>
          <w:sz w:val="21"/>
        </w:rPr>
        <w:t>一致性项使平均 KL 由0.0565降至0.0426，平均 TV 由0.0752降至0.0661，双头预测分歧率由7.42%降至6.36%。三种子上 KL 均下降，但角色准确率没有同步稳定提高，因此该约束的可辩护贡献是提高层级分布一致性，而不是保证分类精度提升。</w:t>
      </w:r>
    </w:p>
    <w:p>
      <w:pPr>
        <w:pStyle w:val="21"/>
      </w:pPr>
      <w:r>
        <w:t>5.13 温度校准与独立风险认证</w:t>
      </w:r>
    </w:p>
    <w:p>
      <w:pPr>
        <w:spacing w:line="360" w:lineRule="auto" w:after="80"/>
      </w:pPr>
      <w:r>
        <w:rPr>
          <w:rFonts w:ascii="宋体" w:hAnsi="宋体" w:eastAsia="宋体"/>
          <w:sz w:val="21"/>
        </w:rPr>
        <w:t>为避免在测试集上反复选择阈值，将原验证集按 split_group_id 分组并按角色分层拆为温度拟合集与风险认证集，二者无分组重叠。温度参数仅在拟合集上最小化 NLL：</w:t>
      </w:r>
    </w:p>
    <w:p>
      <w:pPr>
        <w:keepNext/>
        <w:jc w:val="center"/>
      </w:pPr>
      <w:r>
        <w:drawing>
          <wp:inline xmlns:a="http://schemas.openxmlformats.org/drawingml/2006/main" xmlns:pic="http://schemas.openxmlformats.org/drawingml/2006/picture">
            <wp:extent cx="5580000" cy="488822"/>
            <wp:docPr id="21" name="Picture 21"/>
            <wp:cNvGraphicFramePr>
              <a:graphicFrameLocks noChangeAspect="1"/>
            </wp:cNvGraphicFramePr>
            <a:graphic>
              <a:graphicData uri="http://schemas.openxmlformats.org/drawingml/2006/picture">
                <pic:pic>
                  <pic:nvPicPr>
                    <pic:cNvPr id="0" name="calibration.png"/>
                    <pic:cNvPicPr/>
                  </pic:nvPicPr>
                  <pic:blipFill>
                    <a:blip r:embed="rId32"/>
                    <a:stretch>
                      <a:fillRect/>
                    </a:stretch>
                  </pic:blipFill>
                  <pic:spPr>
                    <a:xfrm>
                      <a:off x="0" y="0"/>
                      <a:ext cx="5580000" cy="488822"/>
                    </a:xfrm>
                    <a:prstGeom prst="rect"/>
                  </pic:spPr>
                </pic:pic>
              </a:graphicData>
            </a:graphic>
          </wp:inline>
        </w:drawing>
      </w:r>
    </w:p>
    <w:p>
      <w:pPr>
        <w:pStyle w:val="af7"/>
        <w:spacing w:line="360" w:lineRule="auto"/>
        <w:jc w:val="center"/>
      </w:pPr>
      <w:r>
        <w:rPr>
          <w:rFonts w:ascii="宋体" w:hAnsi="宋体" w:eastAsia="宋体"/>
          <w:sz w:val="21"/>
        </w:rPr>
        <w:t>式（9） 验证集温度缩放</w:t>
      </w:r>
    </w:p>
    <w:p>
      <w:pPr>
        <w:spacing w:line="360" w:lineRule="auto" w:after="80"/>
      </w:pPr>
      <w:r>
        <w:rPr>
          <w:rFonts w:ascii="宋体" w:hAnsi="宋体" w:eastAsia="宋体"/>
          <w:sz w:val="21"/>
        </w:rPr>
        <w:t>对预先给定的21个阈值同时计算单侧 Clopper–Pearson 上界，并采用 Bonferroni 校正控制多阈值选择误差；随后在认证集上选择满足风险上界 δ 的最大覆盖率阈值：</w:t>
      </w:r>
    </w:p>
    <w:p>
      <w:pPr>
        <w:keepNext/>
        <w:jc w:val="center"/>
      </w:pPr>
      <w:r>
        <w:drawing>
          <wp:inline xmlns:a="http://schemas.openxmlformats.org/drawingml/2006/main" xmlns:pic="http://schemas.openxmlformats.org/drawingml/2006/picture">
            <wp:extent cx="5688000" cy="370453"/>
            <wp:docPr id="22" name="Picture 22"/>
            <wp:cNvGraphicFramePr>
              <a:graphicFrameLocks noChangeAspect="1"/>
            </wp:cNvGraphicFramePr>
            <a:graphic>
              <a:graphicData uri="http://schemas.openxmlformats.org/drawingml/2006/picture">
                <pic:pic>
                  <pic:nvPicPr>
                    <pic:cNvPr id="0" name="certificate.png"/>
                    <pic:cNvPicPr/>
                  </pic:nvPicPr>
                  <pic:blipFill>
                    <a:blip r:embed="rId33"/>
                    <a:stretch>
                      <a:fillRect/>
                    </a:stretch>
                  </pic:blipFill>
                  <pic:spPr>
                    <a:xfrm>
                      <a:off x="0" y="0"/>
                      <a:ext cx="5688000" cy="370453"/>
                    </a:xfrm>
                    <a:prstGeom prst="rect"/>
                  </pic:spPr>
                </pic:pic>
              </a:graphicData>
            </a:graphic>
          </wp:inline>
        </w:drawing>
      </w:r>
    </w:p>
    <w:p>
      <w:pPr>
        <w:pStyle w:val="af7"/>
        <w:spacing w:line="360" w:lineRule="auto"/>
        <w:jc w:val="center"/>
      </w:pPr>
      <w:r>
        <w:rPr>
          <w:rFonts w:ascii="宋体" w:hAnsi="宋体" w:eastAsia="宋体"/>
          <w:sz w:val="21"/>
        </w:rPr>
        <w:t>式（10） 多阈值校正后的选择性风险证书</w:t>
      </w:r>
    </w:p>
    <w:p>
      <w:pPr>
        <w:pStyle w:val="af7"/>
        <w:jc w:val="center"/>
      </w:pPr>
      <w:r>
        <w:rPr>
          <w:rFonts w:ascii="宋体" w:hAnsi="宋体" w:eastAsia="宋体"/>
          <w:sz w:val="19"/>
        </w:rPr>
        <w:t>表 20 温度校准与选择性识别总体指标</w:t>
      </w:r>
    </w:p>
    <w:tbl>
      <w:tblPr>
        <w:tblStyle w:val="aff1"/>
        <w:tblW w:type="auto" w:w="0"/>
        <w:jc w:val="center"/>
        <w:tblLayout w:type="fixed"/>
        <w:tblLook w:firstColumn="1" w:firstRow="1" w:lastColumn="0" w:lastRow="0" w:noHBand="0" w:noVBand="1" w:val="04A0"/>
      </w:tblPr>
      <w:tblGrid>
        <w:gridCol w:w="2296"/>
        <w:gridCol w:w="2296"/>
        <w:gridCol w:w="2296"/>
        <w:gridCol w:w="2296"/>
      </w:tblGrid>
      <w:tr>
        <w:trPr>
          <w:tblHeader w:val="true"/>
        </w:trPr>
        <w:tc>
          <w:tcPr>
            <w:tcW w:type="dxa" w:w="2267"/>
            <w:vAlign w:val="center"/>
            <w:shd w:fill="D9EAF7"/>
          </w:tcPr>
          <w:p>
            <w:pPr>
              <w:spacing w:before="30" w:after="30" w:line="252" w:lineRule="auto"/>
              <w:jc w:val="center"/>
            </w:pPr>
            <w:r>
              <w:rPr>
                <w:rFonts w:ascii="黑体" w:hAnsi="黑体" w:eastAsia="黑体"/>
                <w:b/>
                <w:sz w:val="18"/>
              </w:rPr>
              <w:t>指标</w:t>
            </w:r>
          </w:p>
        </w:tc>
        <w:tc>
          <w:tcPr>
            <w:tcW w:type="dxa" w:w="2267"/>
            <w:vAlign w:val="center"/>
            <w:shd w:fill="D9EAF7"/>
          </w:tcPr>
          <w:p>
            <w:pPr>
              <w:spacing w:before="30" w:after="30" w:line="252" w:lineRule="auto"/>
              <w:jc w:val="center"/>
            </w:pPr>
            <w:r>
              <w:rPr>
                <w:rFonts w:ascii="黑体" w:hAnsi="黑体" w:eastAsia="黑体"/>
                <w:b/>
                <w:sz w:val="18"/>
              </w:rPr>
              <w:t>校准前</w:t>
            </w:r>
          </w:p>
        </w:tc>
        <w:tc>
          <w:tcPr>
            <w:tcW w:type="dxa" w:w="2267"/>
            <w:vAlign w:val="center"/>
            <w:shd w:fill="D9EAF7"/>
          </w:tcPr>
          <w:p>
            <w:pPr>
              <w:spacing w:before="30" w:after="30" w:line="252" w:lineRule="auto"/>
              <w:jc w:val="center"/>
            </w:pPr>
            <w:r>
              <w:rPr>
                <w:rFonts w:ascii="黑体" w:hAnsi="黑体" w:eastAsia="黑体"/>
                <w:b/>
                <w:sz w:val="18"/>
              </w:rPr>
              <w:t>校准后</w:t>
            </w:r>
          </w:p>
        </w:tc>
        <w:tc>
          <w:tcPr>
            <w:tcW w:type="dxa" w:w="2154"/>
            <w:vAlign w:val="center"/>
            <w:shd w:fill="D9EAF7"/>
          </w:tcPr>
          <w:p>
            <w:pPr>
              <w:spacing w:before="30" w:after="30" w:line="252" w:lineRule="auto"/>
              <w:jc w:val="center"/>
            </w:pPr>
            <w:r>
              <w:rPr>
                <w:rFonts w:ascii="黑体" w:hAnsi="黑体" w:eastAsia="黑体"/>
                <w:b/>
                <w:sz w:val="18"/>
              </w:rPr>
              <w:t>变化</w:t>
            </w:r>
          </w:p>
        </w:tc>
      </w:tr>
      <w:tr>
        <w:tc>
          <w:tcPr>
            <w:tcW w:type="dxa" w:w="2267"/>
            <w:vAlign w:val="center"/>
          </w:tcPr>
          <w:p>
            <w:pPr>
              <w:spacing w:before="30" w:after="30" w:line="252" w:lineRule="auto"/>
              <w:jc w:val="center"/>
            </w:pPr>
            <w:r>
              <w:rPr>
                <w:rFonts w:ascii="宋体" w:hAnsi="宋体" w:eastAsia="宋体"/>
                <w:b w:val="0"/>
                <w:sz w:val="18"/>
              </w:rPr>
              <w:t>测试集 ECE（15箱）</w:t>
            </w:r>
          </w:p>
        </w:tc>
        <w:tc>
          <w:tcPr>
            <w:tcW w:type="dxa" w:w="2267"/>
            <w:vAlign w:val="center"/>
          </w:tcPr>
          <w:p>
            <w:pPr>
              <w:spacing w:before="30" w:after="30" w:line="252" w:lineRule="auto"/>
              <w:jc w:val="center"/>
            </w:pPr>
            <w:r>
              <w:rPr>
                <w:rFonts w:ascii="宋体" w:hAnsi="宋体" w:eastAsia="宋体"/>
                <w:b w:val="0"/>
                <w:sz w:val="18"/>
              </w:rPr>
              <w:t>0.1131±0.0273</w:t>
            </w:r>
          </w:p>
        </w:tc>
        <w:tc>
          <w:tcPr>
            <w:tcW w:type="dxa" w:w="2267"/>
            <w:vAlign w:val="center"/>
          </w:tcPr>
          <w:p>
            <w:pPr>
              <w:spacing w:before="30" w:after="30" w:line="252" w:lineRule="auto"/>
              <w:jc w:val="center"/>
            </w:pPr>
            <w:r>
              <w:rPr>
                <w:rFonts w:ascii="宋体" w:hAnsi="宋体" w:eastAsia="宋体"/>
                <w:b w:val="0"/>
                <w:sz w:val="18"/>
              </w:rPr>
              <w:t>0.0342±0.0053</w:t>
            </w:r>
          </w:p>
        </w:tc>
        <w:tc>
          <w:tcPr>
            <w:tcW w:type="dxa" w:w="2154"/>
            <w:vAlign w:val="center"/>
          </w:tcPr>
          <w:p>
            <w:pPr>
              <w:spacing w:before="30" w:after="30" w:line="252" w:lineRule="auto"/>
              <w:jc w:val="center"/>
            </w:pPr>
            <w:r>
              <w:rPr>
                <w:rFonts w:ascii="宋体" w:hAnsi="宋体" w:eastAsia="宋体"/>
                <w:b w:val="0"/>
                <w:sz w:val="18"/>
              </w:rPr>
              <w:t>降低</w:t>
            </w:r>
          </w:p>
        </w:tc>
      </w:tr>
      <w:tr>
        <w:tc>
          <w:tcPr>
            <w:tcW w:type="dxa" w:w="2267"/>
            <w:vAlign w:val="center"/>
          </w:tcPr>
          <w:p>
            <w:pPr>
              <w:spacing w:before="30" w:after="30" w:line="252" w:lineRule="auto"/>
              <w:jc w:val="center"/>
            </w:pPr>
            <w:r>
              <w:rPr>
                <w:rFonts w:ascii="宋体" w:hAnsi="宋体" w:eastAsia="宋体"/>
                <w:b w:val="0"/>
                <w:sz w:val="18"/>
              </w:rPr>
              <w:t>测试集 NLL</w:t>
            </w:r>
          </w:p>
        </w:tc>
        <w:tc>
          <w:tcPr>
            <w:tcW w:type="dxa" w:w="2267"/>
            <w:vAlign w:val="center"/>
          </w:tcPr>
          <w:p>
            <w:pPr>
              <w:spacing w:before="30" w:after="30" w:line="252" w:lineRule="auto"/>
              <w:jc w:val="center"/>
            </w:pPr>
            <w:r>
              <w:rPr>
                <w:rFonts w:ascii="宋体" w:hAnsi="宋体" w:eastAsia="宋体"/>
                <w:b w:val="0"/>
                <w:sz w:val="18"/>
              </w:rPr>
              <w:t>0.8399±0.1252</w:t>
            </w:r>
          </w:p>
        </w:tc>
        <w:tc>
          <w:tcPr>
            <w:tcW w:type="dxa" w:w="2267"/>
            <w:vAlign w:val="center"/>
          </w:tcPr>
          <w:p>
            <w:pPr>
              <w:spacing w:before="30" w:after="30" w:line="252" w:lineRule="auto"/>
              <w:jc w:val="center"/>
            </w:pPr>
            <w:r>
              <w:rPr>
                <w:rFonts w:ascii="宋体" w:hAnsi="宋体" w:eastAsia="宋体"/>
                <w:b w:val="0"/>
                <w:sz w:val="18"/>
              </w:rPr>
              <w:t>0.6633±0.0272</w:t>
            </w:r>
          </w:p>
        </w:tc>
        <w:tc>
          <w:tcPr>
            <w:tcW w:type="dxa" w:w="2154"/>
            <w:vAlign w:val="center"/>
          </w:tcPr>
          <w:p>
            <w:pPr>
              <w:spacing w:before="30" w:after="30" w:line="252" w:lineRule="auto"/>
              <w:jc w:val="center"/>
            </w:pPr>
            <w:r>
              <w:rPr>
                <w:rFonts w:ascii="宋体" w:hAnsi="宋体" w:eastAsia="宋体"/>
                <w:b w:val="0"/>
                <w:sz w:val="18"/>
              </w:rPr>
              <w:t>降低</w:t>
            </w:r>
          </w:p>
        </w:tc>
      </w:tr>
      <w:tr>
        <w:tc>
          <w:tcPr>
            <w:tcW w:type="dxa" w:w="2267"/>
            <w:vAlign w:val="center"/>
          </w:tcPr>
          <w:p>
            <w:pPr>
              <w:spacing w:before="30" w:after="30" w:line="252" w:lineRule="auto"/>
              <w:jc w:val="center"/>
            </w:pPr>
            <w:r>
              <w:rPr>
                <w:rFonts w:ascii="宋体" w:hAnsi="宋体" w:eastAsia="宋体"/>
                <w:b w:val="0"/>
                <w:sz w:val="18"/>
              </w:rPr>
              <w:t>温度 T*</w:t>
            </w:r>
          </w:p>
        </w:tc>
        <w:tc>
          <w:tcPr>
            <w:tcW w:type="dxa" w:w="2267"/>
            <w:vAlign w:val="center"/>
          </w:tcPr>
          <w:p>
            <w:pPr>
              <w:spacing w:before="30" w:after="30" w:line="252" w:lineRule="auto"/>
              <w:jc w:val="center"/>
            </w:pPr>
            <w:r>
              <w:rPr>
                <w:rFonts w:ascii="宋体" w:hAnsi="宋体" w:eastAsia="宋体"/>
                <w:b w:val="0"/>
                <w:sz w:val="18"/>
              </w:rPr>
              <w:t>—</w:t>
            </w:r>
          </w:p>
        </w:tc>
        <w:tc>
          <w:tcPr>
            <w:tcW w:type="dxa" w:w="2267"/>
            <w:vAlign w:val="center"/>
          </w:tcPr>
          <w:p>
            <w:pPr>
              <w:spacing w:before="30" w:after="30" w:line="252" w:lineRule="auto"/>
              <w:jc w:val="center"/>
            </w:pPr>
            <w:r>
              <w:rPr>
                <w:rFonts w:ascii="宋体" w:hAnsi="宋体" w:eastAsia="宋体"/>
                <w:b w:val="0"/>
                <w:sz w:val="18"/>
              </w:rPr>
              <w:t>1.974±0.619</w:t>
            </w:r>
          </w:p>
        </w:tc>
        <w:tc>
          <w:tcPr>
            <w:tcW w:type="dxa" w:w="2154"/>
            <w:vAlign w:val="center"/>
          </w:tcPr>
          <w:p>
            <w:pPr>
              <w:spacing w:before="30" w:after="30" w:line="252" w:lineRule="auto"/>
              <w:jc w:val="center"/>
            </w:pPr>
            <w:r>
              <w:rPr>
                <w:rFonts w:ascii="宋体" w:hAnsi="宋体" w:eastAsia="宋体"/>
                <w:b w:val="0"/>
                <w:sz w:val="18"/>
              </w:rPr>
              <w:t>验证集拟合</w:t>
            </w:r>
          </w:p>
        </w:tc>
      </w:tr>
      <w:tr>
        <w:tc>
          <w:tcPr>
            <w:tcW w:type="dxa" w:w="2267"/>
            <w:vAlign w:val="center"/>
          </w:tcPr>
          <w:p>
            <w:pPr>
              <w:spacing w:before="30" w:after="30" w:line="252" w:lineRule="auto"/>
              <w:jc w:val="center"/>
            </w:pPr>
            <w:r>
              <w:rPr>
                <w:rFonts w:ascii="宋体" w:hAnsi="宋体" w:eastAsia="宋体"/>
                <w:b w:val="0"/>
                <w:sz w:val="18"/>
              </w:rPr>
              <w:t>测试集 AURC</w:t>
            </w:r>
          </w:p>
        </w:tc>
        <w:tc>
          <w:tcPr>
            <w:tcW w:type="dxa" w:w="2267"/>
            <w:vAlign w:val="center"/>
          </w:tcPr>
          <w:p>
            <w:pPr>
              <w:spacing w:before="30" w:after="30" w:line="252" w:lineRule="auto"/>
              <w:jc w:val="center"/>
            </w:pPr>
            <w:r>
              <w:rPr>
                <w:rFonts w:ascii="宋体" w:hAnsi="宋体" w:eastAsia="宋体"/>
                <w:b w:val="0"/>
                <w:sz w:val="18"/>
              </w:rPr>
              <w:t>—</w:t>
            </w:r>
          </w:p>
        </w:tc>
        <w:tc>
          <w:tcPr>
            <w:tcW w:type="dxa" w:w="2267"/>
            <w:vAlign w:val="center"/>
          </w:tcPr>
          <w:p>
            <w:pPr>
              <w:spacing w:before="30" w:after="30" w:line="252" w:lineRule="auto"/>
              <w:jc w:val="center"/>
            </w:pPr>
            <w:r>
              <w:rPr>
                <w:rFonts w:ascii="宋体" w:hAnsi="宋体" w:eastAsia="宋体"/>
                <w:b w:val="0"/>
                <w:sz w:val="18"/>
              </w:rPr>
              <w:t>0.1026±0.0141</w:t>
            </w:r>
          </w:p>
        </w:tc>
        <w:tc>
          <w:tcPr>
            <w:tcW w:type="dxa" w:w="2154"/>
            <w:vAlign w:val="center"/>
          </w:tcPr>
          <w:p>
            <w:pPr>
              <w:spacing w:before="30" w:after="30" w:line="252" w:lineRule="auto"/>
              <w:jc w:val="center"/>
            </w:pPr>
            <w:r>
              <w:rPr>
                <w:rFonts w:ascii="宋体" w:hAnsi="宋体" w:eastAsia="宋体"/>
                <w:b w:val="0"/>
                <w:sz w:val="18"/>
              </w:rPr>
              <w:t>越低越好</w:t>
            </w:r>
          </w:p>
        </w:tc>
      </w:tr>
    </w:tbl>
    <w:p>
      <w:pPr>
        <w:spacing w:after="60"/>
      </w:pPr>
    </w:p>
    <w:p>
      <w:pPr>
        <w:pStyle w:val="af7"/>
        <w:jc w:val="center"/>
      </w:pPr>
      <w:r>
        <w:rPr>
          <w:rFonts w:ascii="宋体" w:hAnsi="宋体" w:eastAsia="宋体"/>
          <w:sz w:val="19"/>
        </w:rPr>
        <w:t>表 21 独立认证集上的风险证书及一次性测试结果</w:t>
      </w:r>
    </w:p>
    <w:tbl>
      <w:tblPr>
        <w:tblStyle w:val="aff1"/>
        <w:tblW w:type="auto" w:w="0"/>
        <w:jc w:val="center"/>
        <w:tblLayout w:type="fixed"/>
        <w:tblLook w:firstColumn="1" w:firstRow="1" w:lastColumn="0" w:lastRow="0" w:noHBand="0" w:noVBand="1" w:val="04A0"/>
      </w:tblPr>
      <w:tblGrid>
        <w:gridCol w:w="1837"/>
        <w:gridCol w:w="1837"/>
        <w:gridCol w:w="1837"/>
        <w:gridCol w:w="1837"/>
        <w:gridCol w:w="1837"/>
      </w:tblGrid>
      <w:tr>
        <w:trPr>
          <w:tblHeader w:val="true"/>
        </w:trPr>
        <w:tc>
          <w:tcPr>
            <w:tcW w:type="dxa" w:w="1700"/>
            <w:vAlign w:val="center"/>
            <w:shd w:fill="D9EAF7"/>
          </w:tcPr>
          <w:p>
            <w:pPr>
              <w:spacing w:before="30" w:after="30" w:line="252" w:lineRule="auto"/>
              <w:jc w:val="center"/>
            </w:pPr>
            <w:r>
              <w:rPr>
                <w:rFonts w:ascii="黑体" w:hAnsi="黑体" w:eastAsia="黑体"/>
                <w:b/>
                <w:sz w:val="18"/>
              </w:rPr>
              <w:t>风险约束</w:t>
            </w:r>
          </w:p>
        </w:tc>
        <w:tc>
          <w:tcPr>
            <w:tcW w:type="dxa" w:w="1700"/>
            <w:vAlign w:val="center"/>
            <w:shd w:fill="D9EAF7"/>
          </w:tcPr>
          <w:p>
            <w:pPr>
              <w:spacing w:before="30" w:after="30" w:line="252" w:lineRule="auto"/>
              <w:jc w:val="center"/>
            </w:pPr>
            <w:r>
              <w:rPr>
                <w:rFonts w:ascii="黑体" w:hAnsi="黑体" w:eastAsia="黑体"/>
                <w:b/>
                <w:sz w:val="18"/>
              </w:rPr>
              <w:t>取得证书种子</w:t>
            </w:r>
          </w:p>
        </w:tc>
        <w:tc>
          <w:tcPr>
            <w:tcW w:type="dxa" w:w="2154"/>
            <w:vAlign w:val="center"/>
            <w:shd w:fill="D9EAF7"/>
          </w:tcPr>
          <w:p>
            <w:pPr>
              <w:spacing w:before="30" w:after="30" w:line="252" w:lineRule="auto"/>
              <w:jc w:val="center"/>
            </w:pPr>
            <w:r>
              <w:rPr>
                <w:rFonts w:ascii="黑体" w:hAnsi="黑体" w:eastAsia="黑体"/>
                <w:b/>
                <w:sz w:val="18"/>
              </w:rPr>
              <w:t>认证阈值</w:t>
            </w:r>
          </w:p>
        </w:tc>
        <w:tc>
          <w:tcPr>
            <w:tcW w:type="dxa" w:w="1927"/>
            <w:vAlign w:val="center"/>
            <w:shd w:fill="D9EAF7"/>
          </w:tcPr>
          <w:p>
            <w:pPr>
              <w:spacing w:before="30" w:after="30" w:line="252" w:lineRule="auto"/>
              <w:jc w:val="center"/>
            </w:pPr>
            <w:r>
              <w:rPr>
                <w:rFonts w:ascii="黑体" w:hAnsi="黑体" w:eastAsia="黑体"/>
                <w:b/>
                <w:sz w:val="18"/>
              </w:rPr>
              <w:t>测试平均覆盖率</w:t>
            </w:r>
          </w:p>
        </w:tc>
        <w:tc>
          <w:tcPr>
            <w:tcW w:type="dxa" w:w="1927"/>
            <w:vAlign w:val="center"/>
            <w:shd w:fill="D9EAF7"/>
          </w:tcPr>
          <w:p>
            <w:pPr>
              <w:spacing w:before="30" w:after="30" w:line="252" w:lineRule="auto"/>
              <w:jc w:val="center"/>
            </w:pPr>
            <w:r>
              <w:rPr>
                <w:rFonts w:ascii="黑体" w:hAnsi="黑体" w:eastAsia="黑体"/>
                <w:b/>
                <w:sz w:val="18"/>
              </w:rPr>
              <w:t>测试平均风险</w:t>
            </w:r>
          </w:p>
        </w:tc>
      </w:tr>
      <w:tr>
        <w:tc>
          <w:tcPr>
            <w:tcW w:type="dxa" w:w="1700"/>
            <w:vAlign w:val="center"/>
          </w:tcPr>
          <w:p>
            <w:pPr>
              <w:spacing w:before="30" w:after="30" w:line="252" w:lineRule="auto"/>
              <w:jc w:val="center"/>
            </w:pPr>
            <w:r>
              <w:rPr>
                <w:rFonts w:ascii="宋体" w:hAnsi="宋体" w:eastAsia="宋体"/>
                <w:b w:val="0"/>
                <w:sz w:val="18"/>
              </w:rPr>
              <w:t>δ=0.10</w:t>
            </w:r>
          </w:p>
        </w:tc>
        <w:tc>
          <w:tcPr>
            <w:tcW w:type="dxa" w:w="1700"/>
            <w:vAlign w:val="center"/>
          </w:tcPr>
          <w:p>
            <w:pPr>
              <w:spacing w:before="30" w:after="30" w:line="252" w:lineRule="auto"/>
              <w:jc w:val="center"/>
            </w:pPr>
            <w:r>
              <w:rPr>
                <w:rFonts w:ascii="宋体" w:hAnsi="宋体" w:eastAsia="宋体"/>
                <w:b w:val="0"/>
                <w:sz w:val="18"/>
              </w:rPr>
              <w:t>1/3</w:t>
            </w:r>
          </w:p>
        </w:tc>
        <w:tc>
          <w:tcPr>
            <w:tcW w:type="dxa" w:w="2154"/>
            <w:vAlign w:val="center"/>
          </w:tcPr>
          <w:p>
            <w:pPr>
              <w:spacing w:before="30" w:after="30" w:line="252" w:lineRule="auto"/>
              <w:jc w:val="center"/>
            </w:pPr>
            <w:r>
              <w:rPr>
                <w:rFonts w:ascii="宋体" w:hAnsi="宋体" w:eastAsia="宋体"/>
                <w:b w:val="0"/>
                <w:sz w:val="18"/>
              </w:rPr>
              <w:t>0.95</w:t>
            </w:r>
          </w:p>
        </w:tc>
        <w:tc>
          <w:tcPr>
            <w:tcW w:type="dxa" w:w="1927"/>
            <w:vAlign w:val="center"/>
          </w:tcPr>
          <w:p>
            <w:pPr>
              <w:spacing w:before="30" w:after="30" w:line="252" w:lineRule="auto"/>
              <w:jc w:val="center"/>
            </w:pPr>
            <w:r>
              <w:rPr>
                <w:rFonts w:ascii="宋体" w:hAnsi="宋体" w:eastAsia="宋体"/>
                <w:b w:val="0"/>
                <w:sz w:val="18"/>
              </w:rPr>
              <w:t>19.78%</w:t>
            </w:r>
          </w:p>
        </w:tc>
        <w:tc>
          <w:tcPr>
            <w:tcW w:type="dxa" w:w="1927"/>
            <w:vAlign w:val="center"/>
          </w:tcPr>
          <w:p>
            <w:pPr>
              <w:spacing w:before="30" w:after="30" w:line="252" w:lineRule="auto"/>
              <w:jc w:val="center"/>
            </w:pPr>
            <w:r>
              <w:rPr>
                <w:rFonts w:ascii="宋体" w:hAnsi="宋体" w:eastAsia="宋体"/>
                <w:b w:val="0"/>
                <w:sz w:val="18"/>
              </w:rPr>
              <w:t>1.97%</w:t>
            </w:r>
          </w:p>
        </w:tc>
      </w:tr>
      <w:tr>
        <w:tc>
          <w:tcPr>
            <w:tcW w:type="dxa" w:w="1700"/>
            <w:vAlign w:val="center"/>
          </w:tcPr>
          <w:p>
            <w:pPr>
              <w:spacing w:before="30" w:after="30" w:line="252" w:lineRule="auto"/>
              <w:jc w:val="center"/>
            </w:pPr>
            <w:r>
              <w:rPr>
                <w:rFonts w:ascii="宋体" w:hAnsi="宋体" w:eastAsia="宋体"/>
                <w:b w:val="0"/>
                <w:sz w:val="18"/>
              </w:rPr>
              <w:t>δ=0.15</w:t>
            </w:r>
          </w:p>
        </w:tc>
        <w:tc>
          <w:tcPr>
            <w:tcW w:type="dxa" w:w="1700"/>
            <w:vAlign w:val="center"/>
          </w:tcPr>
          <w:p>
            <w:pPr>
              <w:spacing w:before="30" w:after="30" w:line="252" w:lineRule="auto"/>
              <w:jc w:val="center"/>
            </w:pPr>
            <w:r>
              <w:rPr>
                <w:rFonts w:ascii="宋体" w:hAnsi="宋体" w:eastAsia="宋体"/>
                <w:b w:val="0"/>
                <w:sz w:val="18"/>
              </w:rPr>
              <w:t>3/3</w:t>
            </w:r>
          </w:p>
        </w:tc>
        <w:tc>
          <w:tcPr>
            <w:tcW w:type="dxa" w:w="2154"/>
            <w:vAlign w:val="center"/>
          </w:tcPr>
          <w:p>
            <w:pPr>
              <w:spacing w:before="30" w:after="30" w:line="252" w:lineRule="auto"/>
              <w:jc w:val="center"/>
            </w:pPr>
            <w:r>
              <w:rPr>
                <w:rFonts w:ascii="宋体" w:hAnsi="宋体" w:eastAsia="宋体"/>
                <w:b w:val="0"/>
                <w:sz w:val="18"/>
              </w:rPr>
              <w:t>0.85, 0.80, 0.80</w:t>
            </w:r>
          </w:p>
        </w:tc>
        <w:tc>
          <w:tcPr>
            <w:tcW w:type="dxa" w:w="1927"/>
            <w:vAlign w:val="center"/>
          </w:tcPr>
          <w:p>
            <w:pPr>
              <w:spacing w:before="30" w:after="30" w:line="252" w:lineRule="auto"/>
              <w:jc w:val="center"/>
            </w:pPr>
            <w:r>
              <w:rPr>
                <w:rFonts w:ascii="宋体" w:hAnsi="宋体" w:eastAsia="宋体"/>
                <w:b w:val="0"/>
                <w:sz w:val="18"/>
              </w:rPr>
              <w:t>46.29%</w:t>
            </w:r>
          </w:p>
        </w:tc>
        <w:tc>
          <w:tcPr>
            <w:tcW w:type="dxa" w:w="1927"/>
            <w:vAlign w:val="center"/>
          </w:tcPr>
          <w:p>
            <w:pPr>
              <w:spacing w:before="30" w:after="30" w:line="252" w:lineRule="auto"/>
              <w:jc w:val="center"/>
            </w:pPr>
            <w:r>
              <w:rPr>
                <w:rFonts w:ascii="宋体" w:hAnsi="宋体" w:eastAsia="宋体"/>
                <w:b w:val="0"/>
                <w:sz w:val="18"/>
              </w:rPr>
              <w:t>8.48%</w:t>
            </w:r>
          </w:p>
        </w:tc>
      </w:tr>
      <w:tr>
        <w:tc>
          <w:tcPr>
            <w:tcW w:type="dxa" w:w="1700"/>
            <w:vAlign w:val="center"/>
          </w:tcPr>
          <w:p>
            <w:pPr>
              <w:spacing w:before="30" w:after="30" w:line="252" w:lineRule="auto"/>
              <w:jc w:val="center"/>
            </w:pPr>
            <w:r>
              <w:rPr>
                <w:rFonts w:ascii="宋体" w:hAnsi="宋体" w:eastAsia="宋体"/>
                <w:b w:val="0"/>
                <w:sz w:val="18"/>
              </w:rPr>
              <w:t>δ=0.20</w:t>
            </w:r>
          </w:p>
        </w:tc>
        <w:tc>
          <w:tcPr>
            <w:tcW w:type="dxa" w:w="1700"/>
            <w:vAlign w:val="center"/>
          </w:tcPr>
          <w:p>
            <w:pPr>
              <w:spacing w:before="30" w:after="30" w:line="252" w:lineRule="auto"/>
              <w:jc w:val="center"/>
            </w:pPr>
            <w:r>
              <w:rPr>
                <w:rFonts w:ascii="宋体" w:hAnsi="宋体" w:eastAsia="宋体"/>
                <w:b w:val="0"/>
                <w:sz w:val="18"/>
              </w:rPr>
              <w:t>3/3</w:t>
            </w:r>
          </w:p>
        </w:tc>
        <w:tc>
          <w:tcPr>
            <w:tcW w:type="dxa" w:w="2154"/>
            <w:vAlign w:val="center"/>
          </w:tcPr>
          <w:p>
            <w:pPr>
              <w:spacing w:before="30" w:after="30" w:line="252" w:lineRule="auto"/>
              <w:jc w:val="center"/>
            </w:pPr>
            <w:r>
              <w:rPr>
                <w:rFonts w:ascii="宋体" w:hAnsi="宋体" w:eastAsia="宋体"/>
                <w:b w:val="0"/>
                <w:sz w:val="18"/>
              </w:rPr>
              <w:t>0.70, 0.65, 0.65</w:t>
            </w:r>
          </w:p>
        </w:tc>
        <w:tc>
          <w:tcPr>
            <w:tcW w:type="dxa" w:w="1927"/>
            <w:vAlign w:val="center"/>
          </w:tcPr>
          <w:p>
            <w:pPr>
              <w:spacing w:before="30" w:after="30" w:line="252" w:lineRule="auto"/>
              <w:jc w:val="center"/>
            </w:pPr>
            <w:r>
              <w:rPr>
                <w:rFonts w:ascii="宋体" w:hAnsi="宋体" w:eastAsia="宋体"/>
                <w:b w:val="0"/>
                <w:sz w:val="18"/>
              </w:rPr>
              <w:t>66.74%</w:t>
            </w:r>
          </w:p>
        </w:tc>
        <w:tc>
          <w:tcPr>
            <w:tcW w:type="dxa" w:w="1927"/>
            <w:vAlign w:val="center"/>
          </w:tcPr>
          <w:p>
            <w:pPr>
              <w:spacing w:before="30" w:after="30" w:line="252" w:lineRule="auto"/>
              <w:jc w:val="center"/>
            </w:pPr>
            <w:r>
              <w:rPr>
                <w:rFonts w:ascii="宋体" w:hAnsi="宋体" w:eastAsia="宋体"/>
                <w:b w:val="0"/>
                <w:sz w:val="18"/>
              </w:rPr>
              <w:t>13.41%</w:t>
            </w:r>
          </w:p>
        </w:tc>
      </w:tr>
    </w:tbl>
    <w:p>
      <w:pPr>
        <w:spacing w:after="60"/>
      </w:pPr>
    </w:p>
    <w:p>
      <w:pPr>
        <w:keepNext/>
        <w:jc w:val="center"/>
      </w:pPr>
      <w:r>
        <w:drawing>
          <wp:inline xmlns:a="http://schemas.openxmlformats.org/drawingml/2006/main" xmlns:pic="http://schemas.openxmlformats.org/drawingml/2006/picture">
            <wp:extent cx="5400000" cy="5014286"/>
            <wp:docPr id="23" name="Picture 23"/>
            <wp:cNvGraphicFramePr>
              <a:graphicFrameLocks noChangeAspect="1"/>
            </wp:cNvGraphicFramePr>
            <a:graphic>
              <a:graphicData uri="http://schemas.openxmlformats.org/drawingml/2006/picture">
                <pic:pic>
                  <pic:nvPicPr>
                    <pic:cNvPr id="0" name="fig_calibrated_reliability.png"/>
                    <pic:cNvPicPr/>
                  </pic:nvPicPr>
                  <pic:blipFill>
                    <a:blip r:embed="rId34"/>
                    <a:stretch>
                      <a:fillRect/>
                    </a:stretch>
                  </pic:blipFill>
                  <pic:spPr>
                    <a:xfrm>
                      <a:off x="0" y="0"/>
                      <a:ext cx="5400000" cy="5014286"/>
                    </a:xfrm>
                    <a:prstGeom prst="rect"/>
                  </pic:spPr>
                </pic:pic>
              </a:graphicData>
            </a:graphic>
          </wp:inline>
        </w:drawing>
      </w:r>
    </w:p>
    <w:p>
      <w:pPr>
        <w:pStyle w:val="af7"/>
        <w:jc w:val="center"/>
      </w:pPr>
      <w:r>
        <w:rPr>
          <w:rFonts w:ascii="宋体" w:hAnsi="宋体" w:eastAsia="宋体"/>
          <w:sz w:val="19"/>
        </w:rPr>
        <w:t>图 14 温度校准前后的可靠性曲线</w:t>
      </w:r>
    </w:p>
    <w:p>
      <w:pPr>
        <w:spacing w:line="360" w:lineRule="auto" w:after="80"/>
      </w:pPr>
      <w:r>
        <w:rPr>
          <w:rFonts w:ascii="宋体" w:hAnsi="宋体" w:eastAsia="宋体"/>
          <w:sz w:val="21"/>
        </w:rPr>
        <w:t>温度缩放将测试 ECE 从0.1131降至0.0342，NLL 从0.8399降至0.6633。在δ=0.15和δ=0.20时三个种子均取得验证集风险证书；δ=0.10仅一个种子取得证书，说明严格低风险要求仍受校准样本规模和模型稳定性限制。证书只约束当前公开图像分布，不等同于工业回收率或真实送检成本最优。</w:t>
      </w:r>
    </w:p>
    <w:p>
      <w:pPr>
        <w:pStyle w:val="21"/>
      </w:pPr>
      <w:r>
        <w:t>5.14 摄影者留出条件下的来源外泛化</w:t>
      </w:r>
    </w:p>
    <w:p>
      <w:pPr>
        <w:spacing w:line="360" w:lineRule="auto" w:after="80"/>
      </w:pPr>
      <w:r>
        <w:rPr>
          <w:rFonts w:ascii="宋体" w:hAnsi="宋体" w:eastAsia="宋体"/>
          <w:sz w:val="21"/>
        </w:rPr>
        <w:t>为检验模型是否依赖摄影背景和布光风格，从元数据中筛出5,639张具有摄影者字段的样本，以摄影者与重复图像组的并查集作为不可拆分单元，构建3,947/846/846张的训练、验证和测试划分。三个划分的摄影者及 split_group_id 均无交叉；缺失摄影者的2,890张样本不进入该严格实验。</w:t>
      </w:r>
    </w:p>
    <w:p>
      <w:pPr>
        <w:pStyle w:val="af7"/>
        <w:jc w:val="center"/>
      </w:pPr>
      <w:r>
        <w:rPr>
          <w:rFonts w:ascii="宋体" w:hAnsi="宋体" w:eastAsia="宋体"/>
          <w:sz w:val="19"/>
        </w:rPr>
        <w:t>表 22 摄影者留出测试的三随机种子结果</w:t>
      </w:r>
    </w:p>
    <w:tbl>
      <w:tblPr>
        <w:tblStyle w:val="aff1"/>
        <w:tblW w:type="auto" w:w="0"/>
        <w:jc w:val="center"/>
        <w:tblLayout w:type="fixed"/>
        <w:tblLook w:firstColumn="1" w:firstRow="1" w:lastColumn="0" w:lastRow="0" w:noHBand="0" w:noVBand="1" w:val="04A0"/>
      </w:tblPr>
      <w:tblGrid>
        <w:gridCol w:w="1837"/>
        <w:gridCol w:w="1837"/>
        <w:gridCol w:w="1837"/>
        <w:gridCol w:w="1837"/>
        <w:gridCol w:w="1837"/>
      </w:tblGrid>
      <w:tr>
        <w:trPr>
          <w:tblHeader w:val="true"/>
        </w:trPr>
        <w:tc>
          <w:tcPr>
            <w:tcW w:type="dxa" w:w="2267"/>
            <w:vAlign w:val="center"/>
            <w:shd w:fill="D9EAF7"/>
          </w:tcPr>
          <w:p>
            <w:pPr>
              <w:spacing w:before="30" w:after="30" w:line="252" w:lineRule="auto"/>
              <w:jc w:val="center"/>
            </w:pPr>
            <w:r>
              <w:rPr>
                <w:rFonts w:ascii="黑体" w:hAnsi="黑体" w:eastAsia="黑体"/>
                <w:b/>
                <w:sz w:val="18"/>
              </w:rPr>
              <w:t>模型</w:t>
            </w:r>
          </w:p>
        </w:tc>
        <w:tc>
          <w:tcPr>
            <w:tcW w:type="dxa" w:w="1700"/>
            <w:vAlign w:val="center"/>
            <w:shd w:fill="D9EAF7"/>
          </w:tcPr>
          <w:p>
            <w:pPr>
              <w:spacing w:before="30" w:after="30" w:line="252" w:lineRule="auto"/>
              <w:jc w:val="center"/>
            </w:pPr>
            <w:r>
              <w:rPr>
                <w:rFonts w:ascii="黑体" w:hAnsi="黑体" w:eastAsia="黑体"/>
                <w:b/>
                <w:sz w:val="18"/>
              </w:rPr>
              <w:t>Accuracy</w:t>
            </w:r>
          </w:p>
        </w:tc>
        <w:tc>
          <w:tcPr>
            <w:tcW w:type="dxa" w:w="1700"/>
            <w:vAlign w:val="center"/>
            <w:shd w:fill="D9EAF7"/>
          </w:tcPr>
          <w:p>
            <w:pPr>
              <w:spacing w:before="30" w:after="30" w:line="252" w:lineRule="auto"/>
              <w:jc w:val="center"/>
            </w:pPr>
            <w:r>
              <w:rPr>
                <w:rFonts w:ascii="黑体" w:hAnsi="黑体" w:eastAsia="黑体"/>
                <w:b/>
                <w:sz w:val="18"/>
              </w:rPr>
              <w:t>Macro F1</w:t>
            </w:r>
          </w:p>
        </w:tc>
        <w:tc>
          <w:tcPr>
            <w:tcW w:type="dxa" w:w="1700"/>
            <w:vAlign w:val="center"/>
            <w:shd w:fill="D9EAF7"/>
          </w:tcPr>
          <w:p>
            <w:pPr>
              <w:spacing w:before="30" w:after="30" w:line="252" w:lineRule="auto"/>
              <w:jc w:val="center"/>
            </w:pPr>
            <w:r>
              <w:rPr>
                <w:rFonts w:ascii="黑体" w:hAnsi="黑体" w:eastAsia="黑体"/>
                <w:b/>
                <w:sz w:val="18"/>
              </w:rPr>
              <w:t>目标召回</w:t>
            </w:r>
          </w:p>
        </w:tc>
        <w:tc>
          <w:tcPr>
            <w:tcW w:type="dxa" w:w="1927"/>
            <w:vAlign w:val="center"/>
            <w:shd w:fill="D9EAF7"/>
          </w:tcPr>
          <w:p>
            <w:pPr>
              <w:spacing w:before="30" w:after="30" w:line="252" w:lineRule="auto"/>
              <w:jc w:val="center"/>
            </w:pPr>
            <w:r>
              <w:rPr>
                <w:rFonts w:ascii="黑体" w:hAnsi="黑体" w:eastAsia="黑体"/>
                <w:b/>
                <w:sz w:val="18"/>
              </w:rPr>
              <w:t>金属光泽干扰召回</w:t>
            </w:r>
          </w:p>
        </w:tc>
      </w:tr>
      <w:tr>
        <w:tc>
          <w:tcPr>
            <w:tcW w:type="dxa" w:w="2267"/>
            <w:vAlign w:val="center"/>
          </w:tcPr>
          <w:p>
            <w:pPr>
              <w:spacing w:before="30" w:after="30" w:line="252" w:lineRule="auto"/>
              <w:jc w:val="center"/>
            </w:pPr>
            <w:r>
              <w:rPr>
                <w:rFonts w:ascii="宋体" w:hAnsi="宋体" w:eastAsia="宋体"/>
                <w:b w:val="0"/>
                <w:sz w:val="18"/>
              </w:rPr>
              <w:t>EfficientNet-B0</w:t>
            </w:r>
          </w:p>
        </w:tc>
        <w:tc>
          <w:tcPr>
            <w:tcW w:type="dxa" w:w="1700"/>
            <w:vAlign w:val="center"/>
          </w:tcPr>
          <w:p>
            <w:pPr>
              <w:spacing w:before="30" w:after="30" w:line="252" w:lineRule="auto"/>
              <w:jc w:val="center"/>
            </w:pPr>
            <w:r>
              <w:rPr>
                <w:rFonts w:ascii="宋体" w:hAnsi="宋体" w:eastAsia="宋体"/>
                <w:b w:val="0"/>
                <w:sz w:val="18"/>
              </w:rPr>
              <w:t>69.42%±2.20%</w:t>
            </w:r>
          </w:p>
        </w:tc>
        <w:tc>
          <w:tcPr>
            <w:tcW w:type="dxa" w:w="1700"/>
            <w:vAlign w:val="center"/>
          </w:tcPr>
          <w:p>
            <w:pPr>
              <w:spacing w:before="30" w:after="30" w:line="252" w:lineRule="auto"/>
              <w:jc w:val="center"/>
            </w:pPr>
            <w:r>
              <w:rPr>
                <w:rFonts w:ascii="宋体" w:hAnsi="宋体" w:eastAsia="宋体"/>
                <w:b w:val="0"/>
                <w:sz w:val="18"/>
              </w:rPr>
              <w:t>67.00%±2.19%</w:t>
            </w:r>
          </w:p>
        </w:tc>
        <w:tc>
          <w:tcPr>
            <w:tcW w:type="dxa" w:w="1700"/>
            <w:vAlign w:val="center"/>
          </w:tcPr>
          <w:p>
            <w:pPr>
              <w:spacing w:before="30" w:after="30" w:line="252" w:lineRule="auto"/>
              <w:jc w:val="center"/>
            </w:pPr>
            <w:r>
              <w:rPr>
                <w:rFonts w:ascii="宋体" w:hAnsi="宋体" w:eastAsia="宋体"/>
                <w:b w:val="0"/>
                <w:sz w:val="18"/>
              </w:rPr>
              <w:t>68.09%±1.52%</w:t>
            </w:r>
          </w:p>
        </w:tc>
        <w:tc>
          <w:tcPr>
            <w:tcW w:type="dxa" w:w="1927"/>
            <w:vAlign w:val="center"/>
          </w:tcPr>
          <w:p>
            <w:pPr>
              <w:spacing w:before="30" w:after="30" w:line="252" w:lineRule="auto"/>
              <w:jc w:val="center"/>
            </w:pPr>
            <w:r>
              <w:rPr>
                <w:rFonts w:ascii="宋体" w:hAnsi="宋体" w:eastAsia="宋体"/>
                <w:b w:val="0"/>
                <w:sz w:val="18"/>
              </w:rPr>
              <w:t>54.13%±7.02%</w:t>
            </w:r>
          </w:p>
        </w:tc>
      </w:tr>
      <w:tr>
        <w:tc>
          <w:tcPr>
            <w:tcW w:type="dxa" w:w="2267"/>
            <w:vAlign w:val="center"/>
          </w:tcPr>
          <w:p>
            <w:pPr>
              <w:spacing w:before="30" w:after="30" w:line="252" w:lineRule="auto"/>
              <w:jc w:val="center"/>
            </w:pPr>
            <w:r>
              <w:rPr>
                <w:rFonts w:ascii="宋体" w:hAnsi="宋体" w:eastAsia="宋体"/>
                <w:b w:val="0"/>
                <w:sz w:val="18"/>
              </w:rPr>
              <w:t>分层一致性模型</w:t>
            </w:r>
          </w:p>
        </w:tc>
        <w:tc>
          <w:tcPr>
            <w:tcW w:type="dxa" w:w="1700"/>
            <w:vAlign w:val="center"/>
          </w:tcPr>
          <w:p>
            <w:pPr>
              <w:spacing w:before="30" w:after="30" w:line="252" w:lineRule="auto"/>
              <w:jc w:val="center"/>
            </w:pPr>
            <w:r>
              <w:rPr>
                <w:rFonts w:ascii="宋体" w:hAnsi="宋体" w:eastAsia="宋体"/>
                <w:b w:val="0"/>
                <w:sz w:val="18"/>
              </w:rPr>
              <w:t>71.55%±0.69%</w:t>
            </w:r>
          </w:p>
        </w:tc>
        <w:tc>
          <w:tcPr>
            <w:tcW w:type="dxa" w:w="1700"/>
            <w:vAlign w:val="center"/>
          </w:tcPr>
          <w:p>
            <w:pPr>
              <w:spacing w:before="30" w:after="30" w:line="252" w:lineRule="auto"/>
              <w:jc w:val="center"/>
            </w:pPr>
            <w:r>
              <w:rPr>
                <w:rFonts w:ascii="宋体" w:hAnsi="宋体" w:eastAsia="宋体"/>
                <w:b w:val="0"/>
                <w:sz w:val="18"/>
              </w:rPr>
              <w:t>69.70%±0.90%</w:t>
            </w:r>
          </w:p>
        </w:tc>
        <w:tc>
          <w:tcPr>
            <w:tcW w:type="dxa" w:w="1700"/>
            <w:vAlign w:val="center"/>
          </w:tcPr>
          <w:p>
            <w:pPr>
              <w:spacing w:before="30" w:after="30" w:line="252" w:lineRule="auto"/>
              <w:jc w:val="center"/>
            </w:pPr>
            <w:r>
              <w:rPr>
                <w:rFonts w:ascii="宋体" w:hAnsi="宋体" w:eastAsia="宋体"/>
                <w:b w:val="0"/>
                <w:sz w:val="18"/>
              </w:rPr>
              <w:t>71.41%±3.16%</w:t>
            </w:r>
          </w:p>
        </w:tc>
        <w:tc>
          <w:tcPr>
            <w:tcW w:type="dxa" w:w="1927"/>
            <w:vAlign w:val="center"/>
          </w:tcPr>
          <w:p>
            <w:pPr>
              <w:spacing w:before="30" w:after="30" w:line="252" w:lineRule="auto"/>
              <w:jc w:val="center"/>
            </w:pPr>
            <w:r>
              <w:rPr>
                <w:rFonts w:ascii="宋体" w:hAnsi="宋体" w:eastAsia="宋体"/>
                <w:b w:val="0"/>
                <w:sz w:val="18"/>
              </w:rPr>
              <w:t>62.71%±1.51%</w:t>
            </w:r>
          </w:p>
        </w:tc>
      </w:tr>
    </w:tbl>
    <w:p>
      <w:pPr>
        <w:spacing w:after="60"/>
      </w:pPr>
    </w:p>
    <w:p>
      <w:pPr>
        <w:keepNext/>
        <w:jc w:val="center"/>
      </w:pPr>
      <w:r>
        <w:drawing>
          <wp:inline xmlns:a="http://schemas.openxmlformats.org/drawingml/2006/main" xmlns:pic="http://schemas.openxmlformats.org/drawingml/2006/picture">
            <wp:extent cx="5472000" cy="3648000"/>
            <wp:docPr id="24" name="Picture 24"/>
            <wp:cNvGraphicFramePr>
              <a:graphicFrameLocks noChangeAspect="1"/>
            </wp:cNvGraphicFramePr>
            <a:graphic>
              <a:graphicData uri="http://schemas.openxmlformats.org/drawingml/2006/picture">
                <pic:pic>
                  <pic:nvPicPr>
                    <pic:cNvPr id="0" name="fig_source_holdout_comparison.png"/>
                    <pic:cNvPicPr/>
                  </pic:nvPicPr>
                  <pic:blipFill>
                    <a:blip r:embed="rId35"/>
                    <a:stretch>
                      <a:fillRect/>
                    </a:stretch>
                  </pic:blipFill>
                  <pic:spPr>
                    <a:xfrm>
                      <a:off x="0" y="0"/>
                      <a:ext cx="5472000" cy="3648000"/>
                    </a:xfrm>
                    <a:prstGeom prst="rect"/>
                  </pic:spPr>
                </pic:pic>
              </a:graphicData>
            </a:graphic>
          </wp:inline>
        </w:drawing>
      </w:r>
    </w:p>
    <w:p>
      <w:pPr>
        <w:pStyle w:val="af7"/>
        <w:jc w:val="center"/>
      </w:pPr>
      <w:r>
        <w:rPr>
          <w:rFonts w:ascii="宋体" w:hAnsi="宋体" w:eastAsia="宋体"/>
          <w:sz w:val="19"/>
        </w:rPr>
        <w:t>图 15 摄影者留出测试中的基线与分层模型比较</w:t>
      </w:r>
    </w:p>
    <w:p>
      <w:pPr>
        <w:spacing w:line="360" w:lineRule="auto" w:after="80"/>
      </w:pPr>
      <w:r>
        <w:rPr>
          <w:rFonts w:ascii="宋体" w:hAnsi="宋体" w:eastAsia="宋体"/>
          <w:sz w:val="21"/>
        </w:rPr>
        <w:t>在更严格的摄影者留出测试中，分层模型相对基线的 Macro F1 平均提高2.70个百分点，目标召回提高3.32个百分点，金属光泽干扰召回提高8.58个百分点。由于只有三个随机种子且数据仍来自 Mindat，该结果支持来源外条件下的稳定改进趋势，但不构成统计显著性或跨网站泛化结论。</w:t>
      </w:r>
    </w:p>
    <w:p>
      <w:pPr>
        <w:pStyle w:val="21"/>
      </w:pPr>
      <w:r>
        <w:t>5.15 普通磁铁矿代理样本消融</w:t>
      </w:r>
    </w:p>
    <w:p>
      <w:pPr>
        <w:spacing w:line="360" w:lineRule="auto" w:after="80"/>
      </w:pPr>
      <w:r>
        <w:rPr>
          <w:rFonts w:ascii="宋体" w:hAnsi="宋体" w:eastAsia="宋体"/>
          <w:sz w:val="21"/>
        </w:rPr>
        <w:t>35张钛磁铁矿下载图像中，12张因跨标签完全重复或近重复冲突被排除，最终数据集保留23张。为区分普通磁铁矿代理的训练价值与钛磁铁矿真实性，移除1,316张普通磁铁矿后重新训练分层模型，并在与完整模型共有的固定测试子集上比较。</w:t>
      </w:r>
    </w:p>
    <w:p>
      <w:pPr>
        <w:pStyle w:val="af7"/>
        <w:jc w:val="center"/>
      </w:pPr>
      <w:r>
        <w:rPr>
          <w:rFonts w:ascii="宋体" w:hAnsi="宋体" w:eastAsia="宋体"/>
          <w:sz w:val="19"/>
        </w:rPr>
        <w:t>表 23 普通磁铁矿代理样本消融</w:t>
      </w:r>
    </w:p>
    <w:tbl>
      <w:tblPr>
        <w:tblStyle w:val="aff1"/>
        <w:tblW w:type="auto" w:w="0"/>
        <w:jc w:val="center"/>
        <w:tblLayout w:type="fixed"/>
        <w:tblLook w:firstColumn="1" w:firstRow="1" w:lastColumn="0" w:lastRow="0" w:noHBand="0" w:noVBand="1" w:val="04A0"/>
      </w:tblPr>
      <w:tblGrid>
        <w:gridCol w:w="1837"/>
        <w:gridCol w:w="1837"/>
        <w:gridCol w:w="1837"/>
        <w:gridCol w:w="1837"/>
        <w:gridCol w:w="1837"/>
      </w:tblGrid>
      <w:tr>
        <w:trPr>
          <w:tblHeader w:val="true"/>
        </w:trPr>
        <w:tc>
          <w:tcPr>
            <w:tcW w:type="dxa" w:w="1984"/>
            <w:vAlign w:val="center"/>
            <w:shd w:fill="D9EAF7"/>
          </w:tcPr>
          <w:p>
            <w:pPr>
              <w:spacing w:before="30" w:after="30" w:line="252" w:lineRule="auto"/>
              <w:jc w:val="center"/>
            </w:pPr>
            <w:r>
              <w:rPr>
                <w:rFonts w:ascii="黑体" w:hAnsi="黑体" w:eastAsia="黑体"/>
                <w:b/>
                <w:sz w:val="18"/>
              </w:rPr>
              <w:t>设置</w:t>
            </w:r>
          </w:p>
        </w:tc>
        <w:tc>
          <w:tcPr>
            <w:tcW w:type="dxa" w:w="1814"/>
            <w:vAlign w:val="center"/>
            <w:shd w:fill="D9EAF7"/>
          </w:tcPr>
          <w:p>
            <w:pPr>
              <w:spacing w:before="30" w:after="30" w:line="252" w:lineRule="auto"/>
              <w:jc w:val="center"/>
            </w:pPr>
            <w:r>
              <w:rPr>
                <w:rFonts w:ascii="黑体" w:hAnsi="黑体" w:eastAsia="黑体"/>
                <w:b/>
                <w:sz w:val="18"/>
              </w:rPr>
              <w:t>共同子集 Macro F1</w:t>
            </w:r>
          </w:p>
        </w:tc>
        <w:tc>
          <w:tcPr>
            <w:tcW w:type="dxa" w:w="1587"/>
            <w:vAlign w:val="center"/>
            <w:shd w:fill="D9EAF7"/>
          </w:tcPr>
          <w:p>
            <w:pPr>
              <w:spacing w:before="30" w:after="30" w:line="252" w:lineRule="auto"/>
              <w:jc w:val="center"/>
            </w:pPr>
            <w:r>
              <w:rPr>
                <w:rFonts w:ascii="黑体" w:hAnsi="黑体" w:eastAsia="黑体"/>
                <w:b/>
                <w:sz w:val="18"/>
              </w:rPr>
              <w:t>目标召回</w:t>
            </w:r>
          </w:p>
        </w:tc>
        <w:tc>
          <w:tcPr>
            <w:tcW w:type="dxa" w:w="1984"/>
            <w:vAlign w:val="center"/>
            <w:shd w:fill="D9EAF7"/>
          </w:tcPr>
          <w:p>
            <w:pPr>
              <w:spacing w:before="30" w:after="30" w:line="252" w:lineRule="auto"/>
              <w:jc w:val="center"/>
            </w:pPr>
            <w:r>
              <w:rPr>
                <w:rFonts w:ascii="黑体" w:hAnsi="黑体" w:eastAsia="黑体"/>
                <w:b/>
                <w:sz w:val="18"/>
              </w:rPr>
              <w:t>钛铁矿召回（n=50）</w:t>
            </w:r>
          </w:p>
        </w:tc>
        <w:tc>
          <w:tcPr>
            <w:tcW w:type="dxa" w:w="1984"/>
            <w:vAlign w:val="center"/>
            <w:shd w:fill="D9EAF7"/>
          </w:tcPr>
          <w:p>
            <w:pPr>
              <w:spacing w:before="30" w:after="30" w:line="252" w:lineRule="auto"/>
              <w:jc w:val="center"/>
            </w:pPr>
            <w:r>
              <w:rPr>
                <w:rFonts w:ascii="黑体" w:hAnsi="黑体" w:eastAsia="黑体"/>
                <w:b/>
                <w:sz w:val="18"/>
              </w:rPr>
              <w:t>钛磁铁矿召回（n=4）</w:t>
            </w:r>
          </w:p>
        </w:tc>
      </w:tr>
      <w:tr>
        <w:tc>
          <w:tcPr>
            <w:tcW w:type="dxa" w:w="1984"/>
            <w:vAlign w:val="center"/>
          </w:tcPr>
          <w:p>
            <w:pPr>
              <w:spacing w:before="30" w:after="30" w:line="252" w:lineRule="auto"/>
              <w:jc w:val="center"/>
            </w:pPr>
            <w:r>
              <w:rPr>
                <w:rFonts w:ascii="宋体" w:hAnsi="宋体" w:eastAsia="宋体"/>
                <w:b w:val="0"/>
                <w:sz w:val="18"/>
              </w:rPr>
              <w:t>完整数据</w:t>
            </w:r>
          </w:p>
        </w:tc>
        <w:tc>
          <w:tcPr>
            <w:tcW w:type="dxa" w:w="1814"/>
            <w:vAlign w:val="center"/>
          </w:tcPr>
          <w:p>
            <w:pPr>
              <w:spacing w:before="30" w:after="30" w:line="252" w:lineRule="auto"/>
              <w:jc w:val="center"/>
            </w:pPr>
            <w:r>
              <w:rPr>
                <w:rFonts w:ascii="宋体" w:hAnsi="宋体" w:eastAsia="宋体"/>
                <w:b w:val="0"/>
                <w:sz w:val="18"/>
              </w:rPr>
              <w:t>67.08%±4.06%</w:t>
            </w:r>
          </w:p>
        </w:tc>
        <w:tc>
          <w:tcPr>
            <w:tcW w:type="dxa" w:w="1587"/>
            <w:vAlign w:val="center"/>
          </w:tcPr>
          <w:p>
            <w:pPr>
              <w:spacing w:before="30" w:after="30" w:line="252" w:lineRule="auto"/>
              <w:jc w:val="center"/>
            </w:pPr>
            <w:r>
              <w:rPr>
                <w:rFonts w:ascii="宋体" w:hAnsi="宋体" w:eastAsia="宋体"/>
                <w:b w:val="0"/>
                <w:sz w:val="18"/>
              </w:rPr>
              <w:t>72.22%±5.56%</w:t>
            </w:r>
          </w:p>
        </w:tc>
        <w:tc>
          <w:tcPr>
            <w:tcW w:type="dxa" w:w="1984"/>
            <w:vAlign w:val="center"/>
          </w:tcPr>
          <w:p>
            <w:pPr>
              <w:spacing w:before="30" w:after="30" w:line="252" w:lineRule="auto"/>
              <w:jc w:val="center"/>
            </w:pPr>
            <w:r>
              <w:rPr>
                <w:rFonts w:ascii="宋体" w:hAnsi="宋体" w:eastAsia="宋体"/>
                <w:b w:val="0"/>
                <w:sz w:val="18"/>
              </w:rPr>
              <w:t>70.67%±6.11%</w:t>
            </w:r>
          </w:p>
        </w:tc>
        <w:tc>
          <w:tcPr>
            <w:tcW w:type="dxa" w:w="1984"/>
            <w:vAlign w:val="center"/>
          </w:tcPr>
          <w:p>
            <w:pPr>
              <w:spacing w:before="30" w:after="30" w:line="252" w:lineRule="auto"/>
              <w:jc w:val="center"/>
            </w:pPr>
            <w:r>
              <w:rPr>
                <w:rFonts w:ascii="宋体" w:hAnsi="宋体" w:eastAsia="宋体"/>
                <w:b w:val="0"/>
                <w:sz w:val="18"/>
              </w:rPr>
              <w:t>91.67%±14.43%</w:t>
            </w:r>
          </w:p>
        </w:tc>
      </w:tr>
      <w:tr>
        <w:tc>
          <w:tcPr>
            <w:tcW w:type="dxa" w:w="1984"/>
            <w:vAlign w:val="center"/>
          </w:tcPr>
          <w:p>
            <w:pPr>
              <w:spacing w:before="30" w:after="30" w:line="252" w:lineRule="auto"/>
              <w:jc w:val="center"/>
            </w:pPr>
            <w:r>
              <w:rPr>
                <w:rFonts w:ascii="宋体" w:hAnsi="宋体" w:eastAsia="宋体"/>
                <w:b w:val="0"/>
                <w:sz w:val="18"/>
              </w:rPr>
              <w:t>移除普通磁铁矿代理</w:t>
            </w:r>
          </w:p>
        </w:tc>
        <w:tc>
          <w:tcPr>
            <w:tcW w:type="dxa" w:w="1814"/>
            <w:vAlign w:val="center"/>
          </w:tcPr>
          <w:p>
            <w:pPr>
              <w:spacing w:before="30" w:after="30" w:line="252" w:lineRule="auto"/>
              <w:jc w:val="center"/>
            </w:pPr>
            <w:r>
              <w:rPr>
                <w:rFonts w:ascii="宋体" w:hAnsi="宋体" w:eastAsia="宋体"/>
                <w:b w:val="0"/>
                <w:sz w:val="18"/>
              </w:rPr>
              <w:t>70.45%±0.61%</w:t>
            </w:r>
          </w:p>
        </w:tc>
        <w:tc>
          <w:tcPr>
            <w:tcW w:type="dxa" w:w="1587"/>
            <w:vAlign w:val="center"/>
          </w:tcPr>
          <w:p>
            <w:pPr>
              <w:spacing w:before="30" w:after="30" w:line="252" w:lineRule="auto"/>
              <w:jc w:val="center"/>
            </w:pPr>
            <w:r>
              <w:rPr>
                <w:rFonts w:ascii="宋体" w:hAnsi="宋体" w:eastAsia="宋体"/>
                <w:b w:val="0"/>
                <w:sz w:val="18"/>
              </w:rPr>
              <w:t>45.06%±6.50%</w:t>
            </w:r>
          </w:p>
        </w:tc>
        <w:tc>
          <w:tcPr>
            <w:tcW w:type="dxa" w:w="1984"/>
            <w:vAlign w:val="center"/>
          </w:tcPr>
          <w:p>
            <w:pPr>
              <w:spacing w:before="30" w:after="30" w:line="252" w:lineRule="auto"/>
              <w:jc w:val="center"/>
            </w:pPr>
            <w:r>
              <w:rPr>
                <w:rFonts w:ascii="宋体" w:hAnsi="宋体" w:eastAsia="宋体"/>
                <w:b w:val="0"/>
                <w:sz w:val="18"/>
              </w:rPr>
              <w:t>44.67%±5.03%</w:t>
            </w:r>
          </w:p>
        </w:tc>
        <w:tc>
          <w:tcPr>
            <w:tcW w:type="dxa" w:w="1984"/>
            <w:vAlign w:val="center"/>
          </w:tcPr>
          <w:p>
            <w:pPr>
              <w:spacing w:before="30" w:after="30" w:line="252" w:lineRule="auto"/>
              <w:jc w:val="center"/>
            </w:pPr>
            <w:r>
              <w:rPr>
                <w:rFonts w:ascii="宋体" w:hAnsi="宋体" w:eastAsia="宋体"/>
                <w:b w:val="0"/>
                <w:sz w:val="18"/>
              </w:rPr>
              <w:t>50.00%±25.00%</w:t>
            </w:r>
          </w:p>
        </w:tc>
      </w:tr>
    </w:tbl>
    <w:p>
      <w:pPr>
        <w:spacing w:after="60"/>
      </w:pPr>
    </w:p>
    <w:p>
      <w:pPr>
        <w:spacing w:line="360" w:lineRule="auto" w:after="80"/>
      </w:pPr>
      <w:r>
        <w:rPr>
          <w:rFonts w:ascii="宋体" w:hAnsi="宋体" w:eastAsia="宋体"/>
          <w:sz w:val="21"/>
        </w:rPr>
        <w:t>移除代理样本后，共同子集总体准确率上升，但目标召回由72.22%降至45.06%，钛铁矿召回由70.67%降至44.67%。这说明类别组成变化会使总体准确率产生误导，同时普通磁铁矿可增强目标类视觉表征；然而其结果不能替代真实钛磁铁矿验证。钛磁铁矿测试仅4张，其召回率只能作描述性展示。</w:t>
      </w:r>
    </w:p>
    <w:p>
      <w:pPr>
        <w:pStyle w:val="21"/>
      </w:pPr>
      <w:r>
        <w:t>5.16 成对簇 Bootstrap 与配对统计推断</w:t>
      </w:r>
    </w:p>
    <w:p>
      <w:pPr>
        <w:spacing w:line="360" w:lineRule="auto" w:after="80"/>
      </w:pPr>
      <w:r>
        <w:rPr>
          <w:rFonts w:ascii="宋体" w:hAnsi="宋体" w:eastAsia="宋体"/>
          <w:sz w:val="21"/>
        </w:rPr>
        <w:t>为避免仅凭三随机种子均值判断模型优劣，本研究在固定测试集上按 image_id 对齐普通 EfficientNet-B0 与分层模型的逐图预测。每次重复首先对三个训练随机种子有放回抽样，再在每个真实角色内部以 split_group_id 为不可拆分簇进行有放回抽样；同一簇内的原图、重复图或近重复图始终共同进入样本。设 B 和 H 分别表示基线与分层模型，m 为评价指标，则第 b 次模型效应及其百分位区间定义为：</w:t>
      </w:r>
    </w:p>
    <w:p>
      <w:pPr>
        <w:keepNext/>
        <w:jc w:val="center"/>
      </w:pPr>
      <w:r>
        <w:drawing>
          <wp:inline xmlns:a="http://schemas.openxmlformats.org/drawingml/2006/main" xmlns:pic="http://schemas.openxmlformats.org/drawingml/2006/picture">
            <wp:extent cx="5760000" cy="402813"/>
            <wp:docPr id="26" name="Picture 26"/>
            <wp:cNvGraphicFramePr>
              <a:graphicFrameLocks noChangeAspect="1"/>
            </wp:cNvGraphicFramePr>
            <a:graphic>
              <a:graphicData uri="http://schemas.openxmlformats.org/drawingml/2006/picture">
                <pic:pic>
                  <pic:nvPicPr>
                    <pic:cNvPr id="0" name="paired_cluster_bootstrap.png"/>
                    <pic:cNvPicPr/>
                  </pic:nvPicPr>
                  <pic:blipFill>
                    <a:blip r:embed="rId37"/>
                    <a:stretch>
                      <a:fillRect/>
                    </a:stretch>
                  </pic:blipFill>
                  <pic:spPr>
                    <a:xfrm>
                      <a:off x="0" y="0"/>
                      <a:ext cx="5760000" cy="402813"/>
                    </a:xfrm>
                    <a:prstGeom prst="rect"/>
                  </pic:spPr>
                </pic:pic>
              </a:graphicData>
            </a:graphic>
          </wp:inline>
        </w:drawing>
      </w:r>
    </w:p>
    <w:p>
      <w:pPr>
        <w:pStyle w:val="af7"/>
        <w:jc w:val="center"/>
      </w:pPr>
      <w:r>
        <w:rPr>
          <w:rFonts w:ascii="宋体" w:hAnsi="宋体" w:eastAsia="宋体"/>
          <w:sz w:val="19"/>
        </w:rPr>
        <w:t>式（11） 两阶段成对簇 Bootstrap 的模型效应估计</w:t>
      </w:r>
    </w:p>
    <w:p>
      <w:pPr>
        <w:spacing w:line="360" w:lineRule="auto" w:after="80"/>
      </w:pPr>
      <w:r>
        <w:rPr>
          <w:rFonts w:ascii="宋体" w:hAnsi="宋体" w:eastAsia="宋体"/>
          <w:sz w:val="21"/>
        </w:rPr>
        <w:t>正式实验采用10,000次重复，区间为2.5%和97.5%分位数。Accuracy、Macro F1 和目标召回以正差值为改善；目标漏选率及两类干扰误入目标的比例以负差值为改善。该方法同时反映当前三个训练种子和测试图像簇的抽样不确定性，但不外推到未观测的矿区、网站或工业现场。</w:t>
      </w:r>
    </w:p>
    <w:p>
      <w:pPr>
        <w:pStyle w:val="af7"/>
        <w:jc w:val="center"/>
      </w:pPr>
      <w:r>
        <w:rPr>
          <w:rFonts w:ascii="宋体" w:hAnsi="宋体" w:eastAsia="宋体"/>
          <w:sz w:val="19"/>
        </w:rPr>
        <w:t>表 24 固定测试集上的成对统计推断</w:t>
      </w:r>
    </w:p>
    <w:tbl>
      <w:tblPr>
        <w:tblStyle w:val="aff1"/>
        <w:tblW w:type="auto" w:w="0"/>
        <w:jc w:val="center"/>
        <w:tblLayout w:type="fixed"/>
        <w:tblLook w:firstColumn="1" w:firstRow="1" w:lastColumn="0" w:lastRow="0" w:noHBand="0" w:noVBand="1" w:val="04A0"/>
      </w:tblPr>
      <w:tblGrid>
        <w:gridCol w:w="1531"/>
        <w:gridCol w:w="1531"/>
        <w:gridCol w:w="1531"/>
        <w:gridCol w:w="1531"/>
        <w:gridCol w:w="1531"/>
        <w:gridCol w:w="1531"/>
      </w:tblGrid>
      <w:tr>
        <w:trPr>
          <w:tblHeader w:val="true"/>
        </w:trPr>
        <w:tc>
          <w:tcPr>
            <w:tcW w:type="dxa" w:w="1927"/>
            <w:vAlign w:val="center"/>
            <w:shd w:fill="D9EAF7"/>
          </w:tcPr>
          <w:p>
            <w:pPr>
              <w:spacing w:before="30" w:after="30" w:line="252" w:lineRule="auto"/>
              <w:jc w:val="center"/>
            </w:pPr>
            <w:r>
              <w:rPr>
                <w:rFonts w:ascii="黑体" w:hAnsi="黑体" w:eastAsia="黑体"/>
                <w:b/>
                <w:sz w:val="18"/>
              </w:rPr>
              <w:t>指标</w:t>
            </w:r>
          </w:p>
        </w:tc>
        <w:tc>
          <w:tcPr>
            <w:tcW w:type="dxa" w:w="1360"/>
            <w:vAlign w:val="center"/>
            <w:shd w:fill="D9EAF7"/>
          </w:tcPr>
          <w:p>
            <w:pPr>
              <w:spacing w:before="30" w:after="30" w:line="252" w:lineRule="auto"/>
              <w:jc w:val="center"/>
            </w:pPr>
            <w:r>
              <w:rPr>
                <w:rFonts w:ascii="黑体" w:hAnsi="黑体" w:eastAsia="黑体"/>
                <w:b/>
                <w:sz w:val="18"/>
              </w:rPr>
              <w:t>基线均值</w:t>
            </w:r>
          </w:p>
        </w:tc>
        <w:tc>
          <w:tcPr>
            <w:tcW w:type="dxa" w:w="1587"/>
            <w:vAlign w:val="center"/>
            <w:shd w:fill="D9EAF7"/>
          </w:tcPr>
          <w:p>
            <w:pPr>
              <w:spacing w:before="30" w:after="30" w:line="252" w:lineRule="auto"/>
              <w:jc w:val="center"/>
            </w:pPr>
            <w:r>
              <w:rPr>
                <w:rFonts w:ascii="黑体" w:hAnsi="黑体" w:eastAsia="黑体"/>
                <w:b/>
                <w:sz w:val="18"/>
              </w:rPr>
              <w:t>分层模型均值</w:t>
            </w:r>
          </w:p>
        </w:tc>
        <w:tc>
          <w:tcPr>
            <w:tcW w:type="dxa" w:w="1530"/>
            <w:vAlign w:val="center"/>
            <w:shd w:fill="D9EAF7"/>
          </w:tcPr>
          <w:p>
            <w:pPr>
              <w:spacing w:before="30" w:after="30" w:line="252" w:lineRule="auto"/>
              <w:jc w:val="center"/>
            </w:pPr>
            <w:r>
              <w:rPr>
                <w:rFonts w:ascii="黑体" w:hAnsi="黑体" w:eastAsia="黑体"/>
                <w:b/>
                <w:sz w:val="18"/>
              </w:rPr>
              <w:t>差值/百分点</w:t>
            </w:r>
          </w:p>
        </w:tc>
        <w:tc>
          <w:tcPr>
            <w:tcW w:type="dxa" w:w="2040"/>
            <w:vAlign w:val="center"/>
            <w:shd w:fill="D9EAF7"/>
          </w:tcPr>
          <w:p>
            <w:pPr>
              <w:spacing w:before="30" w:after="30" w:line="252" w:lineRule="auto"/>
              <w:jc w:val="center"/>
            </w:pPr>
            <w:r>
              <w:rPr>
                <w:rFonts w:ascii="黑体" w:hAnsi="黑体" w:eastAsia="黑体"/>
                <w:b/>
                <w:sz w:val="18"/>
              </w:rPr>
              <w:t>95%簇区间/百分点</w:t>
            </w:r>
          </w:p>
        </w:tc>
        <w:tc>
          <w:tcPr>
            <w:tcW w:type="dxa" w:w="1417"/>
            <w:vAlign w:val="center"/>
            <w:shd w:fill="D9EAF7"/>
          </w:tcPr>
          <w:p>
            <w:pPr>
              <w:spacing w:before="30" w:after="30" w:line="252" w:lineRule="auto"/>
              <w:jc w:val="center"/>
            </w:pPr>
            <w:r>
              <w:rPr>
                <w:rFonts w:ascii="黑体" w:hAnsi="黑体" w:eastAsia="黑体"/>
                <w:b/>
                <w:sz w:val="18"/>
              </w:rPr>
              <w:t>判断</w:t>
            </w:r>
          </w:p>
        </w:tc>
      </w:tr>
      <w:tr>
        <w:tc>
          <w:tcPr>
            <w:tcW w:type="dxa" w:w="1927"/>
            <w:vAlign w:val="center"/>
          </w:tcPr>
          <w:p>
            <w:pPr>
              <w:spacing w:before="30" w:after="30" w:line="252" w:lineRule="auto"/>
              <w:jc w:val="center"/>
            </w:pPr>
            <w:r>
              <w:rPr>
                <w:rFonts w:ascii="宋体" w:hAnsi="宋体" w:eastAsia="宋体"/>
                <w:b w:val="0"/>
                <w:sz w:val="18"/>
              </w:rPr>
              <w:t>Accuracy</w:t>
            </w:r>
          </w:p>
        </w:tc>
        <w:tc>
          <w:tcPr>
            <w:tcW w:type="dxa" w:w="1360"/>
            <w:vAlign w:val="center"/>
          </w:tcPr>
          <w:p>
            <w:pPr>
              <w:spacing w:before="30" w:after="30" w:line="252" w:lineRule="auto"/>
              <w:jc w:val="center"/>
            </w:pPr>
            <w:r>
              <w:rPr>
                <w:rFonts w:ascii="宋体" w:hAnsi="宋体" w:eastAsia="宋体"/>
                <w:b w:val="0"/>
                <w:sz w:val="18"/>
              </w:rPr>
              <w:t>74.79%</w:t>
            </w:r>
          </w:p>
        </w:tc>
        <w:tc>
          <w:tcPr>
            <w:tcW w:type="dxa" w:w="1587"/>
            <w:vAlign w:val="center"/>
          </w:tcPr>
          <w:p>
            <w:pPr>
              <w:spacing w:before="30" w:after="30" w:line="252" w:lineRule="auto"/>
              <w:jc w:val="center"/>
            </w:pPr>
            <w:r>
              <w:rPr>
                <w:rFonts w:ascii="宋体" w:hAnsi="宋体" w:eastAsia="宋体"/>
                <w:b w:val="0"/>
                <w:sz w:val="18"/>
              </w:rPr>
              <w:t>75.42%</w:t>
            </w:r>
          </w:p>
        </w:tc>
        <w:tc>
          <w:tcPr>
            <w:tcW w:type="dxa" w:w="1530"/>
            <w:vAlign w:val="center"/>
          </w:tcPr>
          <w:p>
            <w:pPr>
              <w:spacing w:before="30" w:after="30" w:line="252" w:lineRule="auto"/>
              <w:jc w:val="center"/>
            </w:pPr>
            <w:r>
              <w:rPr>
                <w:rFonts w:ascii="宋体" w:hAnsi="宋体" w:eastAsia="宋体"/>
                <w:b w:val="0"/>
                <w:sz w:val="18"/>
              </w:rPr>
              <w:t>+0.62</w:t>
            </w:r>
          </w:p>
        </w:tc>
        <w:tc>
          <w:tcPr>
            <w:tcW w:type="dxa" w:w="2040"/>
            <w:vAlign w:val="center"/>
          </w:tcPr>
          <w:p>
            <w:pPr>
              <w:spacing w:before="30" w:after="30" w:line="252" w:lineRule="auto"/>
              <w:jc w:val="center"/>
            </w:pPr>
            <w:r>
              <w:rPr>
                <w:rFonts w:ascii="宋体" w:hAnsi="宋体" w:eastAsia="宋体"/>
                <w:b w:val="0"/>
                <w:sz w:val="18"/>
              </w:rPr>
              <w:t>[-2.39, 3.22]</w:t>
            </w:r>
          </w:p>
        </w:tc>
        <w:tc>
          <w:tcPr>
            <w:tcW w:type="dxa" w:w="1417"/>
            <w:vAlign w:val="center"/>
          </w:tcPr>
          <w:p>
            <w:pPr>
              <w:spacing w:before="30" w:after="30" w:line="252" w:lineRule="auto"/>
              <w:jc w:val="center"/>
            </w:pPr>
            <w:r>
              <w:rPr>
                <w:rFonts w:ascii="宋体" w:hAnsi="宋体" w:eastAsia="宋体"/>
                <w:b w:val="0"/>
                <w:sz w:val="18"/>
              </w:rPr>
              <w:t>区间跨0</w:t>
            </w:r>
          </w:p>
        </w:tc>
      </w:tr>
      <w:tr>
        <w:tc>
          <w:tcPr>
            <w:tcW w:type="dxa" w:w="1927"/>
            <w:vAlign w:val="center"/>
          </w:tcPr>
          <w:p>
            <w:pPr>
              <w:spacing w:before="30" w:after="30" w:line="252" w:lineRule="auto"/>
              <w:jc w:val="center"/>
            </w:pPr>
            <w:r>
              <w:rPr>
                <w:rFonts w:ascii="宋体" w:hAnsi="宋体" w:eastAsia="宋体"/>
                <w:b w:val="0"/>
                <w:sz w:val="18"/>
              </w:rPr>
              <w:t>Macro F1</w:t>
            </w:r>
          </w:p>
        </w:tc>
        <w:tc>
          <w:tcPr>
            <w:tcW w:type="dxa" w:w="1360"/>
            <w:vAlign w:val="center"/>
          </w:tcPr>
          <w:p>
            <w:pPr>
              <w:spacing w:before="30" w:after="30" w:line="252" w:lineRule="auto"/>
              <w:jc w:val="center"/>
            </w:pPr>
            <w:r>
              <w:rPr>
                <w:rFonts w:ascii="宋体" w:hAnsi="宋体" w:eastAsia="宋体"/>
                <w:b w:val="0"/>
                <w:sz w:val="18"/>
              </w:rPr>
              <w:t>73.02%</w:t>
            </w:r>
          </w:p>
        </w:tc>
        <w:tc>
          <w:tcPr>
            <w:tcW w:type="dxa" w:w="1587"/>
            <w:vAlign w:val="center"/>
          </w:tcPr>
          <w:p>
            <w:pPr>
              <w:spacing w:before="30" w:after="30" w:line="252" w:lineRule="auto"/>
              <w:jc w:val="center"/>
            </w:pPr>
            <w:r>
              <w:rPr>
                <w:rFonts w:ascii="宋体" w:hAnsi="宋体" w:eastAsia="宋体"/>
                <w:b w:val="0"/>
                <w:sz w:val="18"/>
              </w:rPr>
              <w:t>73.41%</w:t>
            </w:r>
          </w:p>
        </w:tc>
        <w:tc>
          <w:tcPr>
            <w:tcW w:type="dxa" w:w="1530"/>
            <w:vAlign w:val="center"/>
          </w:tcPr>
          <w:p>
            <w:pPr>
              <w:spacing w:before="30" w:after="30" w:line="252" w:lineRule="auto"/>
              <w:jc w:val="center"/>
            </w:pPr>
            <w:r>
              <w:rPr>
                <w:rFonts w:ascii="宋体" w:hAnsi="宋体" w:eastAsia="宋体"/>
                <w:b w:val="0"/>
                <w:sz w:val="18"/>
              </w:rPr>
              <w:t>+0.39</w:t>
            </w:r>
          </w:p>
        </w:tc>
        <w:tc>
          <w:tcPr>
            <w:tcW w:type="dxa" w:w="2040"/>
            <w:vAlign w:val="center"/>
          </w:tcPr>
          <w:p>
            <w:pPr>
              <w:spacing w:before="30" w:after="30" w:line="252" w:lineRule="auto"/>
              <w:jc w:val="center"/>
            </w:pPr>
            <w:r>
              <w:rPr>
                <w:rFonts w:ascii="宋体" w:hAnsi="宋体" w:eastAsia="宋体"/>
                <w:b w:val="0"/>
                <w:sz w:val="18"/>
              </w:rPr>
              <w:t>[-2.46, 3.04]</w:t>
            </w:r>
          </w:p>
        </w:tc>
        <w:tc>
          <w:tcPr>
            <w:tcW w:type="dxa" w:w="1417"/>
            <w:vAlign w:val="center"/>
          </w:tcPr>
          <w:p>
            <w:pPr>
              <w:spacing w:before="30" w:after="30" w:line="252" w:lineRule="auto"/>
              <w:jc w:val="center"/>
            </w:pPr>
            <w:r>
              <w:rPr>
                <w:rFonts w:ascii="宋体" w:hAnsi="宋体" w:eastAsia="宋体"/>
                <w:b w:val="0"/>
                <w:sz w:val="18"/>
              </w:rPr>
              <w:t>区间跨0</w:t>
            </w:r>
          </w:p>
        </w:tc>
      </w:tr>
      <w:tr>
        <w:tc>
          <w:tcPr>
            <w:tcW w:type="dxa" w:w="1927"/>
            <w:vAlign w:val="center"/>
          </w:tcPr>
          <w:p>
            <w:pPr>
              <w:spacing w:before="30" w:after="30" w:line="252" w:lineRule="auto"/>
              <w:jc w:val="center"/>
            </w:pPr>
            <w:r>
              <w:rPr>
                <w:rFonts w:ascii="宋体" w:hAnsi="宋体" w:eastAsia="宋体"/>
                <w:b w:val="0"/>
                <w:sz w:val="18"/>
              </w:rPr>
              <w:t>目标召回</w:t>
            </w:r>
          </w:p>
        </w:tc>
        <w:tc>
          <w:tcPr>
            <w:tcW w:type="dxa" w:w="1360"/>
            <w:vAlign w:val="center"/>
          </w:tcPr>
          <w:p>
            <w:pPr>
              <w:spacing w:before="30" w:after="30" w:line="252" w:lineRule="auto"/>
              <w:jc w:val="center"/>
            </w:pPr>
            <w:r>
              <w:rPr>
                <w:rFonts w:ascii="宋体" w:hAnsi="宋体" w:eastAsia="宋体"/>
                <w:b w:val="0"/>
                <w:sz w:val="18"/>
              </w:rPr>
              <w:t>68.39%</w:t>
            </w:r>
          </w:p>
        </w:tc>
        <w:tc>
          <w:tcPr>
            <w:tcW w:type="dxa" w:w="1587"/>
            <w:vAlign w:val="center"/>
          </w:tcPr>
          <w:p>
            <w:pPr>
              <w:spacing w:before="30" w:after="30" w:line="252" w:lineRule="auto"/>
              <w:jc w:val="center"/>
            </w:pPr>
            <w:r>
              <w:rPr>
                <w:rFonts w:ascii="宋体" w:hAnsi="宋体" w:eastAsia="宋体"/>
                <w:b w:val="0"/>
                <w:sz w:val="18"/>
              </w:rPr>
              <w:t>77.56%</w:t>
            </w:r>
          </w:p>
        </w:tc>
        <w:tc>
          <w:tcPr>
            <w:tcW w:type="dxa" w:w="1530"/>
            <w:vAlign w:val="center"/>
          </w:tcPr>
          <w:p>
            <w:pPr>
              <w:spacing w:before="30" w:after="30" w:line="252" w:lineRule="auto"/>
              <w:jc w:val="center"/>
            </w:pPr>
            <w:r>
              <w:rPr>
                <w:rFonts w:ascii="宋体" w:hAnsi="宋体" w:eastAsia="宋体"/>
                <w:b w:val="0"/>
                <w:sz w:val="18"/>
              </w:rPr>
              <w:t>+9.16</w:t>
            </w:r>
          </w:p>
        </w:tc>
        <w:tc>
          <w:tcPr>
            <w:tcW w:type="dxa" w:w="2040"/>
            <w:vAlign w:val="center"/>
          </w:tcPr>
          <w:p>
            <w:pPr>
              <w:spacing w:before="30" w:after="30" w:line="252" w:lineRule="auto"/>
              <w:jc w:val="center"/>
            </w:pPr>
            <w:r>
              <w:rPr>
                <w:rFonts w:ascii="宋体" w:hAnsi="宋体" w:eastAsia="宋体"/>
                <w:b w:val="0"/>
                <w:sz w:val="18"/>
              </w:rPr>
              <w:t>[5.18, 13.28]</w:t>
            </w:r>
          </w:p>
        </w:tc>
        <w:tc>
          <w:tcPr>
            <w:tcW w:type="dxa" w:w="1417"/>
            <w:vAlign w:val="center"/>
          </w:tcPr>
          <w:p>
            <w:pPr>
              <w:spacing w:before="30" w:after="30" w:line="252" w:lineRule="auto"/>
              <w:jc w:val="center"/>
            </w:pPr>
            <w:r>
              <w:rPr>
                <w:rFonts w:ascii="宋体" w:hAnsi="宋体" w:eastAsia="宋体"/>
                <w:b w:val="0"/>
                <w:sz w:val="18"/>
              </w:rPr>
              <w:t>稳定改善</w:t>
            </w:r>
          </w:p>
        </w:tc>
      </w:tr>
      <w:tr>
        <w:tc>
          <w:tcPr>
            <w:tcW w:type="dxa" w:w="1927"/>
            <w:vAlign w:val="center"/>
          </w:tcPr>
          <w:p>
            <w:pPr>
              <w:spacing w:before="30" w:after="30" w:line="252" w:lineRule="auto"/>
              <w:jc w:val="center"/>
            </w:pPr>
            <w:r>
              <w:rPr>
                <w:rFonts w:ascii="宋体" w:hAnsi="宋体" w:eastAsia="宋体"/>
                <w:b w:val="0"/>
                <w:sz w:val="18"/>
              </w:rPr>
              <w:t>目标漏选率</w:t>
            </w:r>
          </w:p>
        </w:tc>
        <w:tc>
          <w:tcPr>
            <w:tcW w:type="dxa" w:w="1360"/>
            <w:vAlign w:val="center"/>
          </w:tcPr>
          <w:p>
            <w:pPr>
              <w:spacing w:before="30" w:after="30" w:line="252" w:lineRule="auto"/>
              <w:jc w:val="center"/>
            </w:pPr>
            <w:r>
              <w:rPr>
                <w:rFonts w:ascii="宋体" w:hAnsi="宋体" w:eastAsia="宋体"/>
                <w:b w:val="0"/>
                <w:sz w:val="18"/>
              </w:rPr>
              <w:t>31.61%</w:t>
            </w:r>
          </w:p>
        </w:tc>
        <w:tc>
          <w:tcPr>
            <w:tcW w:type="dxa" w:w="1587"/>
            <w:vAlign w:val="center"/>
          </w:tcPr>
          <w:p>
            <w:pPr>
              <w:spacing w:before="30" w:after="30" w:line="252" w:lineRule="auto"/>
              <w:jc w:val="center"/>
            </w:pPr>
            <w:r>
              <w:rPr>
                <w:rFonts w:ascii="宋体" w:hAnsi="宋体" w:eastAsia="宋体"/>
                <w:b w:val="0"/>
                <w:sz w:val="18"/>
              </w:rPr>
              <w:t>22.44%</w:t>
            </w:r>
          </w:p>
        </w:tc>
        <w:tc>
          <w:tcPr>
            <w:tcW w:type="dxa" w:w="1530"/>
            <w:vAlign w:val="center"/>
          </w:tcPr>
          <w:p>
            <w:pPr>
              <w:spacing w:before="30" w:after="30" w:line="252" w:lineRule="auto"/>
              <w:jc w:val="center"/>
            </w:pPr>
            <w:r>
              <w:rPr>
                <w:rFonts w:ascii="宋体" w:hAnsi="宋体" w:eastAsia="宋体"/>
                <w:b w:val="0"/>
                <w:sz w:val="18"/>
              </w:rPr>
              <w:t>-9.16</w:t>
            </w:r>
          </w:p>
        </w:tc>
        <w:tc>
          <w:tcPr>
            <w:tcW w:type="dxa" w:w="2040"/>
            <w:vAlign w:val="center"/>
          </w:tcPr>
          <w:p>
            <w:pPr>
              <w:spacing w:before="30" w:after="30" w:line="252" w:lineRule="auto"/>
              <w:jc w:val="center"/>
            </w:pPr>
            <w:r>
              <w:rPr>
                <w:rFonts w:ascii="宋体" w:hAnsi="宋体" w:eastAsia="宋体"/>
                <w:b w:val="0"/>
                <w:sz w:val="18"/>
              </w:rPr>
              <w:t>[-13.28, -5.18]</w:t>
            </w:r>
          </w:p>
        </w:tc>
        <w:tc>
          <w:tcPr>
            <w:tcW w:type="dxa" w:w="1417"/>
            <w:vAlign w:val="center"/>
          </w:tcPr>
          <w:p>
            <w:pPr>
              <w:spacing w:before="30" w:after="30" w:line="252" w:lineRule="auto"/>
              <w:jc w:val="center"/>
            </w:pPr>
            <w:r>
              <w:rPr>
                <w:rFonts w:ascii="宋体" w:hAnsi="宋体" w:eastAsia="宋体"/>
                <w:b w:val="0"/>
                <w:sz w:val="18"/>
              </w:rPr>
              <w:t>稳定下降</w:t>
            </w:r>
          </w:p>
        </w:tc>
      </w:tr>
      <w:tr>
        <w:tc>
          <w:tcPr>
            <w:tcW w:type="dxa" w:w="1927"/>
            <w:vAlign w:val="center"/>
          </w:tcPr>
          <w:p>
            <w:pPr>
              <w:spacing w:before="30" w:after="30" w:line="252" w:lineRule="auto"/>
              <w:jc w:val="center"/>
            </w:pPr>
            <w:r>
              <w:rPr>
                <w:rFonts w:ascii="宋体" w:hAnsi="宋体" w:eastAsia="宋体"/>
                <w:b w:val="0"/>
                <w:sz w:val="18"/>
              </w:rPr>
              <w:t>含钛干扰误入目标</w:t>
            </w:r>
          </w:p>
        </w:tc>
        <w:tc>
          <w:tcPr>
            <w:tcW w:type="dxa" w:w="1360"/>
            <w:vAlign w:val="center"/>
          </w:tcPr>
          <w:p>
            <w:pPr>
              <w:spacing w:before="30" w:after="30" w:line="252" w:lineRule="auto"/>
              <w:jc w:val="center"/>
            </w:pPr>
            <w:r>
              <w:rPr>
                <w:rFonts w:ascii="宋体" w:hAnsi="宋体" w:eastAsia="宋体"/>
                <w:b w:val="0"/>
                <w:sz w:val="18"/>
              </w:rPr>
              <w:t>7.74%</w:t>
            </w:r>
          </w:p>
        </w:tc>
        <w:tc>
          <w:tcPr>
            <w:tcW w:type="dxa" w:w="1587"/>
            <w:vAlign w:val="center"/>
          </w:tcPr>
          <w:p>
            <w:pPr>
              <w:spacing w:before="30" w:after="30" w:line="252" w:lineRule="auto"/>
              <w:jc w:val="center"/>
            </w:pPr>
            <w:r>
              <w:rPr>
                <w:rFonts w:ascii="宋体" w:hAnsi="宋体" w:eastAsia="宋体"/>
                <w:b w:val="0"/>
                <w:sz w:val="18"/>
              </w:rPr>
              <w:t>10.93%</w:t>
            </w:r>
          </w:p>
        </w:tc>
        <w:tc>
          <w:tcPr>
            <w:tcW w:type="dxa" w:w="1530"/>
            <w:vAlign w:val="center"/>
          </w:tcPr>
          <w:p>
            <w:pPr>
              <w:spacing w:before="30" w:after="30" w:line="252" w:lineRule="auto"/>
              <w:jc w:val="center"/>
            </w:pPr>
            <w:r>
              <w:rPr>
                <w:rFonts w:ascii="宋体" w:hAnsi="宋体" w:eastAsia="宋体"/>
                <w:b w:val="0"/>
                <w:sz w:val="18"/>
              </w:rPr>
              <w:t>+3.19</w:t>
            </w:r>
          </w:p>
        </w:tc>
        <w:tc>
          <w:tcPr>
            <w:tcW w:type="dxa" w:w="2040"/>
            <w:vAlign w:val="center"/>
          </w:tcPr>
          <w:p>
            <w:pPr>
              <w:spacing w:before="30" w:after="30" w:line="252" w:lineRule="auto"/>
              <w:jc w:val="center"/>
            </w:pPr>
            <w:r>
              <w:rPr>
                <w:rFonts w:ascii="宋体" w:hAnsi="宋体" w:eastAsia="宋体"/>
                <w:b w:val="0"/>
                <w:sz w:val="18"/>
              </w:rPr>
              <w:t>[0.07, 6.79]</w:t>
            </w:r>
          </w:p>
        </w:tc>
        <w:tc>
          <w:tcPr>
            <w:tcW w:type="dxa" w:w="1417"/>
            <w:vAlign w:val="center"/>
          </w:tcPr>
          <w:p>
            <w:pPr>
              <w:spacing w:before="30" w:after="30" w:line="252" w:lineRule="auto"/>
              <w:jc w:val="center"/>
            </w:pPr>
            <w:r>
              <w:rPr>
                <w:rFonts w:ascii="宋体" w:hAnsi="宋体" w:eastAsia="宋体"/>
                <w:b w:val="0"/>
                <w:sz w:val="18"/>
              </w:rPr>
              <w:t>不利上升</w:t>
            </w:r>
          </w:p>
        </w:tc>
      </w:tr>
      <w:tr>
        <w:tc>
          <w:tcPr>
            <w:tcW w:type="dxa" w:w="1927"/>
            <w:vAlign w:val="center"/>
          </w:tcPr>
          <w:p>
            <w:pPr>
              <w:spacing w:before="30" w:after="30" w:line="252" w:lineRule="auto"/>
              <w:jc w:val="center"/>
            </w:pPr>
            <w:r>
              <w:rPr>
                <w:rFonts w:ascii="宋体" w:hAnsi="宋体" w:eastAsia="宋体"/>
                <w:b w:val="0"/>
                <w:sz w:val="18"/>
              </w:rPr>
              <w:t>金属光泽干扰误入目标</w:t>
            </w:r>
          </w:p>
        </w:tc>
        <w:tc>
          <w:tcPr>
            <w:tcW w:type="dxa" w:w="1360"/>
            <w:vAlign w:val="center"/>
          </w:tcPr>
          <w:p>
            <w:pPr>
              <w:spacing w:before="30" w:after="30" w:line="252" w:lineRule="auto"/>
              <w:jc w:val="center"/>
            </w:pPr>
            <w:r>
              <w:rPr>
                <w:rFonts w:ascii="宋体" w:hAnsi="宋体" w:eastAsia="宋体"/>
                <w:b w:val="0"/>
                <w:sz w:val="18"/>
              </w:rPr>
              <w:t>9.66%</w:t>
            </w:r>
          </w:p>
        </w:tc>
        <w:tc>
          <w:tcPr>
            <w:tcW w:type="dxa" w:w="1587"/>
            <w:vAlign w:val="center"/>
          </w:tcPr>
          <w:p>
            <w:pPr>
              <w:spacing w:before="30" w:after="30" w:line="252" w:lineRule="auto"/>
              <w:jc w:val="center"/>
            </w:pPr>
            <w:r>
              <w:rPr>
                <w:rFonts w:ascii="宋体" w:hAnsi="宋体" w:eastAsia="宋体"/>
                <w:b w:val="0"/>
                <w:sz w:val="18"/>
              </w:rPr>
              <w:t>14.39%</w:t>
            </w:r>
          </w:p>
        </w:tc>
        <w:tc>
          <w:tcPr>
            <w:tcW w:type="dxa" w:w="1530"/>
            <w:vAlign w:val="center"/>
          </w:tcPr>
          <w:p>
            <w:pPr>
              <w:spacing w:before="30" w:after="30" w:line="252" w:lineRule="auto"/>
              <w:jc w:val="center"/>
            </w:pPr>
            <w:r>
              <w:rPr>
                <w:rFonts w:ascii="宋体" w:hAnsi="宋体" w:eastAsia="宋体"/>
                <w:b w:val="0"/>
                <w:sz w:val="18"/>
              </w:rPr>
              <w:t>+4.73</w:t>
            </w:r>
          </w:p>
        </w:tc>
        <w:tc>
          <w:tcPr>
            <w:tcW w:type="dxa" w:w="2040"/>
            <w:vAlign w:val="center"/>
          </w:tcPr>
          <w:p>
            <w:pPr>
              <w:spacing w:before="30" w:after="30" w:line="252" w:lineRule="auto"/>
              <w:jc w:val="center"/>
            </w:pPr>
            <w:r>
              <w:rPr>
                <w:rFonts w:ascii="宋体" w:hAnsi="宋体" w:eastAsia="宋体"/>
                <w:b w:val="0"/>
                <w:sz w:val="18"/>
              </w:rPr>
              <w:t>[1.33, 8.14]</w:t>
            </w:r>
          </w:p>
        </w:tc>
        <w:tc>
          <w:tcPr>
            <w:tcW w:type="dxa" w:w="1417"/>
            <w:vAlign w:val="center"/>
          </w:tcPr>
          <w:p>
            <w:pPr>
              <w:spacing w:before="30" w:after="30" w:line="252" w:lineRule="auto"/>
              <w:jc w:val="center"/>
            </w:pPr>
            <w:r>
              <w:rPr>
                <w:rFonts w:ascii="宋体" w:hAnsi="宋体" w:eastAsia="宋体"/>
                <w:b w:val="0"/>
                <w:sz w:val="18"/>
              </w:rPr>
              <w:t>不利上升</w:t>
            </w:r>
          </w:p>
        </w:tc>
      </w:tr>
    </w:tbl>
    <w:p>
      <w:pPr>
        <w:spacing w:after="60"/>
      </w:pPr>
    </w:p>
    <w:p>
      <w:pPr>
        <w:keepNext/>
        <w:jc w:val="center"/>
      </w:pPr>
      <w:r>
        <w:drawing>
          <wp:inline xmlns:a="http://schemas.openxmlformats.org/drawingml/2006/main" xmlns:pic="http://schemas.openxmlformats.org/drawingml/2006/picture">
            <wp:extent cx="5688000" cy="3129200"/>
            <wp:docPr id="27" name="Picture 27"/>
            <wp:cNvGraphicFramePr>
              <a:graphicFrameLocks noChangeAspect="1"/>
            </wp:cNvGraphicFramePr>
            <a:graphic>
              <a:graphicData uri="http://schemas.openxmlformats.org/drawingml/2006/picture">
                <pic:pic>
                  <pic:nvPicPr>
                    <pic:cNvPr id="0" name="fig_paired_cluster_effects.png"/>
                    <pic:cNvPicPr/>
                  </pic:nvPicPr>
                  <pic:blipFill>
                    <a:blip r:embed="rId38"/>
                    <a:stretch>
                      <a:fillRect/>
                    </a:stretch>
                  </pic:blipFill>
                  <pic:spPr>
                    <a:xfrm>
                      <a:off x="0" y="0"/>
                      <a:ext cx="5688000" cy="3129200"/>
                    </a:xfrm>
                    <a:prstGeom prst="rect"/>
                  </pic:spPr>
                </pic:pic>
              </a:graphicData>
            </a:graphic>
          </wp:inline>
        </w:drawing>
      </w:r>
    </w:p>
    <w:p>
      <w:pPr>
        <w:pStyle w:val="af7"/>
        <w:jc w:val="center"/>
      </w:pPr>
      <w:r>
        <w:rPr>
          <w:rFonts w:ascii="宋体" w:hAnsi="宋体" w:eastAsia="宋体"/>
          <w:sz w:val="19"/>
        </w:rPr>
        <w:t>图 16 分层模型相对基线的成对效应及95%簇 Bootstrap 区间</w:t>
      </w:r>
    </w:p>
    <w:p>
      <w:pPr>
        <w:spacing w:line="360" w:lineRule="auto" w:after="80"/>
      </w:pPr>
      <w:r>
        <w:rPr>
          <w:rFonts w:ascii="宋体" w:hAnsi="宋体" w:eastAsia="宋体"/>
          <w:sz w:val="21"/>
        </w:rPr>
        <w:t>结果显示，分层模型的目标召回提高9.16个百分点，95%簇 Bootstrap 区间为[5.18, 13.28]个百分点；目标漏选率相应下降9.16个百分点。与此同时，含钛干扰和金属光泽干扰误入目标类的比例分别上升3.19和4.73个百分点，且对应区间均未跨0。Accuracy仅提高0.62个百分点、Macro F1仅提高0.39个百分点，两者区间均跨0。因此，分层模型的主要效果是改变目标召回—难负样本误收之间的风险分配，而非证明总体性能全面提高。</w:t>
      </w:r>
    </w:p>
    <w:p>
      <w:pPr>
        <w:spacing w:line="360" w:lineRule="auto" w:after="80"/>
      </w:pPr>
      <w:r>
        <w:rPr>
          <w:rFonts w:ascii="宋体" w:hAnsi="宋体" w:eastAsia="宋体"/>
          <w:sz w:val="21"/>
        </w:rPr>
        <w:t>作为逐图正确/错误变化的补充检验，每个随机种子分别进行双侧精确 McNemar 检验，并对三个 p 值作 Holm 校正。三个种子的校正后 p 值依次为0.094、0.110和0.110，三组经 Holm 校正的 p 值均大于0.05；同时第一个种子中基线独有正确135张、分层模型独有正确101张，而另两个种子的方向相反。这表明总体正确率变化存在明显种子异质性，不能将单个未校正结果解释为稳定优势。</w:t>
      </w:r>
    </w:p>
    <w:p>
      <w:pPr>
        <w:spacing w:line="360" w:lineRule="auto" w:after="80"/>
      </w:pPr>
      <w:r>
        <w:rPr>
          <w:rFonts w:ascii="宋体" w:hAnsi="宋体" w:eastAsia="宋体"/>
          <w:sz w:val="21"/>
        </w:rPr>
        <w:t>该统计结果进一步支持本报告的风险敏感理论主线：层级辅助任务可以显著降低目标漏选，但不会自动控制含钛和金属光泽难负样本的误收。后续推理必须结合5.13节的概率校准、风险证书或类别相关阈值，在目标保留与干扰进入之间进行显式权衡。</w:t>
      </w:r>
    </w:p>
    <w:p>
      <w:pPr>
        <w:pStyle w:val="21"/>
      </w:pPr>
      <w:r>
        <w:t>5.17 HRGV-Net 三随机种子实验与组件验证</w:t>
      </w:r>
    </w:p>
    <w:p>
      <w:pPr>
        <w:spacing w:line="360" w:lineRule="auto" w:after="80"/>
      </w:pPr>
      <w:r>
        <w:rPr>
          <w:rFonts w:ascii="宋体" w:hAnsi="宋体" w:eastAsia="宋体"/>
          <w:sz w:val="21"/>
        </w:rPr>
        <w:t>HRGV-Net 与所有组件消融沿用同一数据划分、相同三随机种子和统一评价口径。主模型采用耦合梯度、学习门控、中性区残差双验证器和角色感知对比约束。结果如下：</w:t>
      </w:r>
    </w:p>
    <w:p>
      <w:pPr>
        <w:pStyle w:val="af7"/>
        <w:jc w:val="center"/>
      </w:pPr>
      <w:r>
        <w:rPr>
          <w:rFonts w:ascii="宋体" w:hAnsi="宋体" w:eastAsia="宋体"/>
          <w:sz w:val="19"/>
        </w:rPr>
        <w:t>表 25 HRGV-Net 三随机种子组件消融</w:t>
      </w:r>
    </w:p>
    <w:tbl>
      <w:tblPr>
        <w:tblStyle w:val="aff1"/>
        <w:tblW w:type="auto" w:w="0"/>
        <w:jc w:val="center"/>
        <w:tblLayout w:type="fixed"/>
        <w:tblLook w:firstColumn="1" w:firstRow="1" w:lastColumn="0" w:lastRow="0" w:noHBand="0" w:noVBand="1" w:val="04A0"/>
      </w:tblPr>
      <w:tblGrid>
        <w:gridCol w:w="1531"/>
        <w:gridCol w:w="1531"/>
        <w:gridCol w:w="1531"/>
        <w:gridCol w:w="1531"/>
        <w:gridCol w:w="1531"/>
        <w:gridCol w:w="1531"/>
      </w:tblGrid>
      <w:tr>
        <w:trPr>
          <w:tblHeader w:val="true"/>
        </w:trPr>
        <w:tc>
          <w:tcPr>
            <w:tcW w:type="dxa" w:w="1927"/>
            <w:vAlign w:val="center"/>
            <w:shd w:fill="D9EAF7"/>
          </w:tcPr>
          <w:p>
            <w:pPr>
              <w:spacing w:before="30" w:after="30" w:line="252" w:lineRule="auto"/>
              <w:jc w:val="center"/>
            </w:pPr>
            <w:r>
              <w:rPr>
                <w:rFonts w:ascii="黑体" w:hAnsi="黑体" w:eastAsia="黑体"/>
                <w:b/>
                <w:sz w:val="18"/>
              </w:rPr>
              <w:t>设置</w:t>
            </w:r>
          </w:p>
        </w:tc>
        <w:tc>
          <w:tcPr>
            <w:tcW w:type="dxa" w:w="1247"/>
            <w:vAlign w:val="center"/>
            <w:shd w:fill="D9EAF7"/>
          </w:tcPr>
          <w:p>
            <w:pPr>
              <w:spacing w:before="30" w:after="30" w:line="252" w:lineRule="auto"/>
              <w:jc w:val="center"/>
            </w:pPr>
            <w:r>
              <w:rPr>
                <w:rFonts w:ascii="黑体" w:hAnsi="黑体" w:eastAsia="黑体"/>
                <w:b/>
                <w:sz w:val="18"/>
              </w:rPr>
              <w:t>Accuracy</w:t>
            </w:r>
          </w:p>
        </w:tc>
        <w:tc>
          <w:tcPr>
            <w:tcW w:type="dxa" w:w="1247"/>
            <w:vAlign w:val="center"/>
            <w:shd w:fill="D9EAF7"/>
          </w:tcPr>
          <w:p>
            <w:pPr>
              <w:spacing w:before="30" w:after="30" w:line="252" w:lineRule="auto"/>
              <w:jc w:val="center"/>
            </w:pPr>
            <w:r>
              <w:rPr>
                <w:rFonts w:ascii="黑体" w:hAnsi="黑体" w:eastAsia="黑体"/>
                <w:b/>
                <w:sz w:val="18"/>
              </w:rPr>
              <w:t>Macro F1</w:t>
            </w:r>
          </w:p>
        </w:tc>
        <w:tc>
          <w:tcPr>
            <w:tcW w:type="dxa" w:w="1247"/>
            <w:vAlign w:val="center"/>
            <w:shd w:fill="D9EAF7"/>
          </w:tcPr>
          <w:p>
            <w:pPr>
              <w:spacing w:before="30" w:after="30" w:line="252" w:lineRule="auto"/>
              <w:jc w:val="center"/>
            </w:pPr>
            <w:r>
              <w:rPr>
                <w:rFonts w:ascii="黑体" w:hAnsi="黑体" w:eastAsia="黑体"/>
                <w:b/>
                <w:sz w:val="18"/>
              </w:rPr>
              <w:t>目标召回</w:t>
            </w:r>
          </w:p>
        </w:tc>
        <w:tc>
          <w:tcPr>
            <w:tcW w:type="dxa" w:w="1417"/>
            <w:vAlign w:val="center"/>
            <w:shd w:fill="D9EAF7"/>
          </w:tcPr>
          <w:p>
            <w:pPr>
              <w:spacing w:before="30" w:after="30" w:line="252" w:lineRule="auto"/>
              <w:jc w:val="center"/>
            </w:pPr>
            <w:r>
              <w:rPr>
                <w:rFonts w:ascii="黑体" w:hAnsi="黑体" w:eastAsia="黑体"/>
                <w:b/>
                <w:sz w:val="18"/>
              </w:rPr>
              <w:t>含钛误入目标</w:t>
            </w:r>
          </w:p>
        </w:tc>
        <w:tc>
          <w:tcPr>
            <w:tcW w:type="dxa" w:w="1530"/>
            <w:vAlign w:val="center"/>
            <w:shd w:fill="D9EAF7"/>
          </w:tcPr>
          <w:p>
            <w:pPr>
              <w:spacing w:before="30" w:after="30" w:line="252" w:lineRule="auto"/>
              <w:jc w:val="center"/>
            </w:pPr>
            <w:r>
              <w:rPr>
                <w:rFonts w:ascii="黑体" w:hAnsi="黑体" w:eastAsia="黑体"/>
                <w:b/>
                <w:sz w:val="18"/>
              </w:rPr>
              <w:t>金属光泽误入目标</w:t>
            </w:r>
          </w:p>
        </w:tc>
      </w:tr>
      <w:tr>
        <w:tc>
          <w:tcPr>
            <w:tcW w:type="dxa" w:w="1927"/>
            <w:vAlign w:val="center"/>
          </w:tcPr>
          <w:p>
            <w:pPr>
              <w:spacing w:before="30" w:after="30" w:line="252" w:lineRule="auto"/>
              <w:jc w:val="center"/>
            </w:pPr>
            <w:r>
              <w:rPr>
                <w:rFonts w:ascii="宋体" w:hAnsi="宋体" w:eastAsia="宋体"/>
                <w:b w:val="0"/>
                <w:sz w:val="18"/>
              </w:rPr>
              <w:t>耦合残差 HRGV（主模型）</w:t>
            </w:r>
          </w:p>
        </w:tc>
        <w:tc>
          <w:tcPr>
            <w:tcW w:type="dxa" w:w="1247"/>
            <w:vAlign w:val="center"/>
          </w:tcPr>
          <w:p>
            <w:pPr>
              <w:spacing w:before="30" w:after="30" w:line="252" w:lineRule="auto"/>
              <w:jc w:val="center"/>
            </w:pPr>
            <w:r>
              <w:rPr>
                <w:rFonts w:ascii="宋体" w:hAnsi="宋体" w:eastAsia="宋体"/>
                <w:b w:val="0"/>
                <w:sz w:val="18"/>
              </w:rPr>
              <w:t>76.48% ± 0.23%</w:t>
            </w:r>
          </w:p>
        </w:tc>
        <w:tc>
          <w:tcPr>
            <w:tcW w:type="dxa" w:w="1247"/>
            <w:vAlign w:val="center"/>
          </w:tcPr>
          <w:p>
            <w:pPr>
              <w:spacing w:before="30" w:after="30" w:line="252" w:lineRule="auto"/>
              <w:jc w:val="center"/>
            </w:pPr>
            <w:r>
              <w:rPr>
                <w:rFonts w:ascii="宋体" w:hAnsi="宋体" w:eastAsia="宋体"/>
                <w:b w:val="0"/>
                <w:sz w:val="18"/>
              </w:rPr>
              <w:t>74.59% ± 0.34%</w:t>
            </w:r>
          </w:p>
        </w:tc>
        <w:tc>
          <w:tcPr>
            <w:tcW w:type="dxa" w:w="1247"/>
            <w:vAlign w:val="center"/>
          </w:tcPr>
          <w:p>
            <w:pPr>
              <w:spacing w:before="30" w:after="30" w:line="252" w:lineRule="auto"/>
              <w:jc w:val="center"/>
            </w:pPr>
            <w:r>
              <w:rPr>
                <w:rFonts w:ascii="宋体" w:hAnsi="宋体" w:eastAsia="宋体"/>
                <w:b w:val="0"/>
                <w:sz w:val="18"/>
              </w:rPr>
              <w:t>72.38% ± 3.22%</w:t>
            </w:r>
          </w:p>
        </w:tc>
        <w:tc>
          <w:tcPr>
            <w:tcW w:type="dxa" w:w="1417"/>
            <w:vAlign w:val="center"/>
          </w:tcPr>
          <w:p>
            <w:pPr>
              <w:spacing w:before="30" w:after="30" w:line="252" w:lineRule="auto"/>
              <w:jc w:val="center"/>
            </w:pPr>
            <w:r>
              <w:rPr>
                <w:rFonts w:ascii="宋体" w:hAnsi="宋体" w:eastAsia="宋体"/>
                <w:b w:val="0"/>
                <w:sz w:val="18"/>
              </w:rPr>
              <w:t>9.16% ± 1.13%</w:t>
            </w:r>
          </w:p>
        </w:tc>
        <w:tc>
          <w:tcPr>
            <w:tcW w:type="dxa" w:w="1530"/>
            <w:vAlign w:val="center"/>
          </w:tcPr>
          <w:p>
            <w:pPr>
              <w:spacing w:before="30" w:after="30" w:line="252" w:lineRule="auto"/>
              <w:jc w:val="center"/>
            </w:pPr>
            <w:r>
              <w:rPr>
                <w:rFonts w:ascii="宋体" w:hAnsi="宋体" w:eastAsia="宋体"/>
                <w:b w:val="0"/>
                <w:sz w:val="18"/>
              </w:rPr>
              <w:t>11.55% ± 1.18%</w:t>
            </w:r>
          </w:p>
        </w:tc>
      </w:tr>
      <w:tr>
        <w:tc>
          <w:tcPr>
            <w:tcW w:type="dxa" w:w="1927"/>
            <w:vAlign w:val="center"/>
          </w:tcPr>
          <w:p>
            <w:pPr>
              <w:spacing w:before="30" w:after="30" w:line="252" w:lineRule="auto"/>
              <w:jc w:val="center"/>
            </w:pPr>
            <w:r>
              <w:rPr>
                <w:rFonts w:ascii="宋体" w:hAnsi="宋体" w:eastAsia="宋体"/>
                <w:b w:val="0"/>
                <w:sz w:val="18"/>
              </w:rPr>
              <w:t>等权融合</w:t>
            </w:r>
          </w:p>
        </w:tc>
        <w:tc>
          <w:tcPr>
            <w:tcW w:type="dxa" w:w="1247"/>
            <w:vAlign w:val="center"/>
          </w:tcPr>
          <w:p>
            <w:pPr>
              <w:spacing w:before="30" w:after="30" w:line="252" w:lineRule="auto"/>
              <w:jc w:val="center"/>
            </w:pPr>
            <w:r>
              <w:rPr>
                <w:rFonts w:ascii="宋体" w:hAnsi="宋体" w:eastAsia="宋体"/>
                <w:b w:val="0"/>
                <w:sz w:val="18"/>
              </w:rPr>
              <w:t>75.91% ± 0.29%</w:t>
            </w:r>
          </w:p>
        </w:tc>
        <w:tc>
          <w:tcPr>
            <w:tcW w:type="dxa" w:w="1247"/>
            <w:vAlign w:val="center"/>
          </w:tcPr>
          <w:p>
            <w:pPr>
              <w:spacing w:before="30" w:after="30" w:line="252" w:lineRule="auto"/>
              <w:jc w:val="center"/>
            </w:pPr>
            <w:r>
              <w:rPr>
                <w:rFonts w:ascii="宋体" w:hAnsi="宋体" w:eastAsia="宋体"/>
                <w:b w:val="0"/>
                <w:sz w:val="18"/>
              </w:rPr>
              <w:t>74.01% ± 0.33%</w:t>
            </w:r>
          </w:p>
        </w:tc>
        <w:tc>
          <w:tcPr>
            <w:tcW w:type="dxa" w:w="1247"/>
            <w:vAlign w:val="center"/>
          </w:tcPr>
          <w:p>
            <w:pPr>
              <w:spacing w:before="30" w:after="30" w:line="252" w:lineRule="auto"/>
              <w:jc w:val="center"/>
            </w:pPr>
            <w:r>
              <w:rPr>
                <w:rFonts w:ascii="宋体" w:hAnsi="宋体" w:eastAsia="宋体"/>
                <w:b w:val="0"/>
                <w:sz w:val="18"/>
              </w:rPr>
              <w:t>73.04% ± 2.99%</w:t>
            </w:r>
          </w:p>
        </w:tc>
        <w:tc>
          <w:tcPr>
            <w:tcW w:type="dxa" w:w="1417"/>
            <w:vAlign w:val="center"/>
          </w:tcPr>
          <w:p>
            <w:pPr>
              <w:spacing w:before="30" w:after="30" w:line="252" w:lineRule="auto"/>
              <w:jc w:val="center"/>
            </w:pPr>
            <w:r>
              <w:rPr>
                <w:rFonts w:ascii="宋体" w:hAnsi="宋体" w:eastAsia="宋体"/>
                <w:b w:val="0"/>
                <w:sz w:val="18"/>
              </w:rPr>
              <w:t>9.78% ± 1.47%</w:t>
            </w:r>
          </w:p>
        </w:tc>
        <w:tc>
          <w:tcPr>
            <w:tcW w:type="dxa" w:w="1530"/>
            <w:vAlign w:val="center"/>
          </w:tcPr>
          <w:p>
            <w:pPr>
              <w:spacing w:before="30" w:after="30" w:line="252" w:lineRule="auto"/>
              <w:jc w:val="center"/>
            </w:pPr>
            <w:r>
              <w:rPr>
                <w:rFonts w:ascii="宋体" w:hAnsi="宋体" w:eastAsia="宋体"/>
                <w:b w:val="0"/>
                <w:sz w:val="18"/>
              </w:rPr>
              <w:t>12.31% ± 2.37%</w:t>
            </w:r>
          </w:p>
        </w:tc>
      </w:tr>
      <w:tr>
        <w:tc>
          <w:tcPr>
            <w:tcW w:type="dxa" w:w="1927"/>
            <w:vAlign w:val="center"/>
          </w:tcPr>
          <w:p>
            <w:pPr>
              <w:spacing w:before="30" w:after="30" w:line="252" w:lineRule="auto"/>
              <w:jc w:val="center"/>
            </w:pPr>
            <w:r>
              <w:rPr>
                <w:rFonts w:ascii="宋体" w:hAnsi="宋体" w:eastAsia="宋体"/>
                <w:b w:val="0"/>
                <w:sz w:val="18"/>
              </w:rPr>
              <w:t>无角色感知对比约束</w:t>
            </w:r>
          </w:p>
        </w:tc>
        <w:tc>
          <w:tcPr>
            <w:tcW w:type="dxa" w:w="1247"/>
            <w:vAlign w:val="center"/>
          </w:tcPr>
          <w:p>
            <w:pPr>
              <w:spacing w:before="30" w:after="30" w:line="252" w:lineRule="auto"/>
              <w:jc w:val="center"/>
            </w:pPr>
            <w:r>
              <w:rPr>
                <w:rFonts w:ascii="宋体" w:hAnsi="宋体" w:eastAsia="宋体"/>
                <w:b w:val="0"/>
                <w:sz w:val="18"/>
              </w:rPr>
              <w:t>75.39% ± 0.86%</w:t>
            </w:r>
          </w:p>
        </w:tc>
        <w:tc>
          <w:tcPr>
            <w:tcW w:type="dxa" w:w="1247"/>
            <w:vAlign w:val="center"/>
          </w:tcPr>
          <w:p>
            <w:pPr>
              <w:spacing w:before="30" w:after="30" w:line="252" w:lineRule="auto"/>
              <w:jc w:val="center"/>
            </w:pPr>
            <w:r>
              <w:rPr>
                <w:rFonts w:ascii="宋体" w:hAnsi="宋体" w:eastAsia="宋体"/>
                <w:b w:val="0"/>
                <w:sz w:val="18"/>
              </w:rPr>
              <w:t>73.51% ± 0.56%</w:t>
            </w:r>
          </w:p>
        </w:tc>
        <w:tc>
          <w:tcPr>
            <w:tcW w:type="dxa" w:w="1247"/>
            <w:vAlign w:val="center"/>
          </w:tcPr>
          <w:p>
            <w:pPr>
              <w:spacing w:before="30" w:after="30" w:line="252" w:lineRule="auto"/>
              <w:jc w:val="center"/>
            </w:pPr>
            <w:r>
              <w:rPr>
                <w:rFonts w:ascii="宋体" w:hAnsi="宋体" w:eastAsia="宋体"/>
                <w:b w:val="0"/>
                <w:sz w:val="18"/>
              </w:rPr>
              <w:t>71.05% ± 2.65%</w:t>
            </w:r>
          </w:p>
        </w:tc>
        <w:tc>
          <w:tcPr>
            <w:tcW w:type="dxa" w:w="1417"/>
            <w:vAlign w:val="center"/>
          </w:tcPr>
          <w:p>
            <w:pPr>
              <w:spacing w:before="30" w:after="30" w:line="252" w:lineRule="auto"/>
              <w:jc w:val="center"/>
            </w:pPr>
            <w:r>
              <w:rPr>
                <w:rFonts w:ascii="宋体" w:hAnsi="宋体" w:eastAsia="宋体"/>
                <w:b w:val="0"/>
                <w:sz w:val="18"/>
              </w:rPr>
              <w:t>9.78% ± 2.74%</w:t>
            </w:r>
          </w:p>
        </w:tc>
        <w:tc>
          <w:tcPr>
            <w:tcW w:type="dxa" w:w="1530"/>
            <w:vAlign w:val="center"/>
          </w:tcPr>
          <w:p>
            <w:pPr>
              <w:spacing w:before="30" w:after="30" w:line="252" w:lineRule="auto"/>
              <w:jc w:val="center"/>
            </w:pPr>
            <w:r>
              <w:rPr>
                <w:rFonts w:ascii="宋体" w:hAnsi="宋体" w:eastAsia="宋体"/>
                <w:b w:val="0"/>
                <w:sz w:val="18"/>
              </w:rPr>
              <w:t>10.98% ± 2.15%</w:t>
            </w:r>
          </w:p>
        </w:tc>
      </w:tr>
      <w:tr>
        <w:tc>
          <w:tcPr>
            <w:tcW w:type="dxa" w:w="1927"/>
            <w:vAlign w:val="center"/>
          </w:tcPr>
          <w:p>
            <w:pPr>
              <w:spacing w:before="30" w:after="30" w:line="252" w:lineRule="auto"/>
              <w:jc w:val="center"/>
            </w:pPr>
            <w:r>
              <w:rPr>
                <w:rFonts w:ascii="宋体" w:hAnsi="宋体" w:eastAsia="宋体"/>
                <w:b w:val="0"/>
                <w:sz w:val="18"/>
              </w:rPr>
              <w:t>验证器梯度隔离</w:t>
            </w:r>
          </w:p>
        </w:tc>
        <w:tc>
          <w:tcPr>
            <w:tcW w:type="dxa" w:w="1247"/>
            <w:vAlign w:val="center"/>
          </w:tcPr>
          <w:p>
            <w:pPr>
              <w:spacing w:before="30" w:after="30" w:line="252" w:lineRule="auto"/>
              <w:jc w:val="center"/>
            </w:pPr>
            <w:r>
              <w:rPr>
                <w:rFonts w:ascii="宋体" w:hAnsi="宋体" w:eastAsia="宋体"/>
                <w:b w:val="0"/>
                <w:sz w:val="18"/>
              </w:rPr>
              <w:t>74.71% ± 1.56%</w:t>
            </w:r>
          </w:p>
        </w:tc>
        <w:tc>
          <w:tcPr>
            <w:tcW w:type="dxa" w:w="1247"/>
            <w:vAlign w:val="center"/>
          </w:tcPr>
          <w:p>
            <w:pPr>
              <w:spacing w:before="30" w:after="30" w:line="252" w:lineRule="auto"/>
              <w:jc w:val="center"/>
            </w:pPr>
            <w:r>
              <w:rPr>
                <w:rFonts w:ascii="宋体" w:hAnsi="宋体" w:eastAsia="宋体"/>
                <w:b w:val="0"/>
                <w:sz w:val="18"/>
              </w:rPr>
              <w:t>72.99% ± 2.15%</w:t>
            </w:r>
          </w:p>
        </w:tc>
        <w:tc>
          <w:tcPr>
            <w:tcW w:type="dxa" w:w="1247"/>
            <w:vAlign w:val="center"/>
          </w:tcPr>
          <w:p>
            <w:pPr>
              <w:spacing w:before="30" w:after="30" w:line="252" w:lineRule="auto"/>
              <w:jc w:val="center"/>
            </w:pPr>
            <w:r>
              <w:rPr>
                <w:rFonts w:ascii="宋体" w:hAnsi="宋体" w:eastAsia="宋体"/>
                <w:b w:val="0"/>
                <w:sz w:val="18"/>
              </w:rPr>
              <w:t>75.03% ± 4.30%</w:t>
            </w:r>
          </w:p>
        </w:tc>
        <w:tc>
          <w:tcPr>
            <w:tcW w:type="dxa" w:w="1417"/>
            <w:vAlign w:val="center"/>
          </w:tcPr>
          <w:p>
            <w:pPr>
              <w:spacing w:before="30" w:after="30" w:line="252" w:lineRule="auto"/>
              <w:jc w:val="center"/>
            </w:pPr>
            <w:r>
              <w:rPr>
                <w:rFonts w:ascii="宋体" w:hAnsi="宋体" w:eastAsia="宋体"/>
                <w:b w:val="0"/>
                <w:sz w:val="18"/>
              </w:rPr>
              <w:t>10.05% ± 0.62%</w:t>
            </w:r>
          </w:p>
        </w:tc>
        <w:tc>
          <w:tcPr>
            <w:tcW w:type="dxa" w:w="1530"/>
            <w:vAlign w:val="center"/>
          </w:tcPr>
          <w:p>
            <w:pPr>
              <w:spacing w:before="30" w:after="30" w:line="252" w:lineRule="auto"/>
              <w:jc w:val="center"/>
            </w:pPr>
            <w:r>
              <w:rPr>
                <w:rFonts w:ascii="宋体" w:hAnsi="宋体" w:eastAsia="宋体"/>
                <w:b w:val="0"/>
                <w:sz w:val="18"/>
              </w:rPr>
              <w:t>13.64% ± 2.05%</w:t>
            </w:r>
          </w:p>
        </w:tc>
      </w:tr>
      <w:tr>
        <w:tc>
          <w:tcPr>
            <w:tcW w:type="dxa" w:w="1927"/>
            <w:vAlign w:val="center"/>
          </w:tcPr>
          <w:p>
            <w:pPr>
              <w:spacing w:before="30" w:after="30" w:line="252" w:lineRule="auto"/>
              <w:jc w:val="center"/>
            </w:pPr>
            <w:r>
              <w:rPr>
                <w:rFonts w:ascii="宋体" w:hAnsi="宋体" w:eastAsia="宋体"/>
                <w:b w:val="0"/>
                <w:sz w:val="18"/>
              </w:rPr>
              <w:t>仅门控、无验证器</w:t>
            </w:r>
          </w:p>
        </w:tc>
        <w:tc>
          <w:tcPr>
            <w:tcW w:type="dxa" w:w="1247"/>
            <w:vAlign w:val="center"/>
          </w:tcPr>
          <w:p>
            <w:pPr>
              <w:spacing w:before="30" w:after="30" w:line="252" w:lineRule="auto"/>
              <w:jc w:val="center"/>
            </w:pPr>
            <w:r>
              <w:rPr>
                <w:rFonts w:ascii="宋体" w:hAnsi="宋体" w:eastAsia="宋体"/>
                <w:b w:val="0"/>
                <w:sz w:val="18"/>
              </w:rPr>
              <w:t>76.74% ± 0.65%</w:t>
            </w:r>
          </w:p>
        </w:tc>
        <w:tc>
          <w:tcPr>
            <w:tcW w:type="dxa" w:w="1247"/>
            <w:vAlign w:val="center"/>
          </w:tcPr>
          <w:p>
            <w:pPr>
              <w:spacing w:before="30" w:after="30" w:line="252" w:lineRule="auto"/>
              <w:jc w:val="center"/>
            </w:pPr>
            <w:r>
              <w:rPr>
                <w:rFonts w:ascii="宋体" w:hAnsi="宋体" w:eastAsia="宋体"/>
                <w:b w:val="0"/>
                <w:sz w:val="18"/>
              </w:rPr>
              <w:t>74.91% ± 0.41%</w:t>
            </w:r>
          </w:p>
        </w:tc>
        <w:tc>
          <w:tcPr>
            <w:tcW w:type="dxa" w:w="1247"/>
            <w:vAlign w:val="center"/>
          </w:tcPr>
          <w:p>
            <w:pPr>
              <w:spacing w:before="30" w:after="30" w:line="252" w:lineRule="auto"/>
              <w:jc w:val="center"/>
            </w:pPr>
            <w:r>
              <w:rPr>
                <w:rFonts w:ascii="宋体" w:hAnsi="宋体" w:eastAsia="宋体"/>
                <w:b w:val="0"/>
                <w:sz w:val="18"/>
              </w:rPr>
              <w:t>74.37% ± 0.83%</w:t>
            </w:r>
          </w:p>
        </w:tc>
        <w:tc>
          <w:tcPr>
            <w:tcW w:type="dxa" w:w="1417"/>
            <w:vAlign w:val="center"/>
          </w:tcPr>
          <w:p>
            <w:pPr>
              <w:spacing w:before="30" w:after="30" w:line="252" w:lineRule="auto"/>
              <w:jc w:val="center"/>
            </w:pPr>
            <w:r>
              <w:rPr>
                <w:rFonts w:ascii="宋体" w:hAnsi="宋体" w:eastAsia="宋体"/>
                <w:b w:val="0"/>
                <w:sz w:val="18"/>
              </w:rPr>
              <w:t>9.78% ± 1.47%</w:t>
            </w:r>
          </w:p>
        </w:tc>
        <w:tc>
          <w:tcPr>
            <w:tcW w:type="dxa" w:w="1530"/>
            <w:vAlign w:val="center"/>
          </w:tcPr>
          <w:p>
            <w:pPr>
              <w:spacing w:before="30" w:after="30" w:line="252" w:lineRule="auto"/>
              <w:jc w:val="center"/>
            </w:pPr>
            <w:r>
              <w:rPr>
                <w:rFonts w:ascii="宋体" w:hAnsi="宋体" w:eastAsia="宋体"/>
                <w:b w:val="0"/>
                <w:sz w:val="18"/>
              </w:rPr>
              <w:t>11.74% ± 0.87%</w:t>
            </w:r>
          </w:p>
        </w:tc>
      </w:tr>
      <w:tr>
        <w:tc>
          <w:tcPr>
            <w:tcW w:type="dxa" w:w="1927"/>
            <w:vAlign w:val="center"/>
          </w:tcPr>
          <w:p>
            <w:pPr>
              <w:spacing w:before="30" w:after="30" w:line="252" w:lineRule="auto"/>
              <w:jc w:val="center"/>
            </w:pPr>
            <w:r>
              <w:rPr>
                <w:rFonts w:ascii="宋体" w:hAnsi="宋体" w:eastAsia="宋体"/>
                <w:b w:val="0"/>
                <w:sz w:val="18"/>
              </w:rPr>
              <w:t>旧乘法验证</w:t>
            </w:r>
          </w:p>
        </w:tc>
        <w:tc>
          <w:tcPr>
            <w:tcW w:type="dxa" w:w="1247"/>
            <w:vAlign w:val="center"/>
          </w:tcPr>
          <w:p>
            <w:pPr>
              <w:spacing w:before="30" w:after="30" w:line="252" w:lineRule="auto"/>
              <w:jc w:val="center"/>
            </w:pPr>
            <w:r>
              <w:rPr>
                <w:rFonts w:ascii="宋体" w:hAnsi="宋体" w:eastAsia="宋体"/>
                <w:b w:val="0"/>
                <w:sz w:val="18"/>
              </w:rPr>
              <w:t>75.91% ± 0.83%</w:t>
            </w:r>
          </w:p>
        </w:tc>
        <w:tc>
          <w:tcPr>
            <w:tcW w:type="dxa" w:w="1247"/>
            <w:vAlign w:val="center"/>
          </w:tcPr>
          <w:p>
            <w:pPr>
              <w:spacing w:before="30" w:after="30" w:line="252" w:lineRule="auto"/>
              <w:jc w:val="center"/>
            </w:pPr>
            <w:r>
              <w:rPr>
                <w:rFonts w:ascii="宋体" w:hAnsi="宋体" w:eastAsia="宋体"/>
                <w:b w:val="0"/>
                <w:sz w:val="18"/>
              </w:rPr>
              <w:t>74.25% ± 1.02%</w:t>
            </w:r>
          </w:p>
        </w:tc>
        <w:tc>
          <w:tcPr>
            <w:tcW w:type="dxa" w:w="1247"/>
            <w:vAlign w:val="center"/>
          </w:tcPr>
          <w:p>
            <w:pPr>
              <w:spacing w:before="30" w:after="30" w:line="252" w:lineRule="auto"/>
              <w:jc w:val="center"/>
            </w:pPr>
            <w:r>
              <w:rPr>
                <w:rFonts w:ascii="宋体" w:hAnsi="宋体" w:eastAsia="宋体"/>
                <w:b w:val="0"/>
                <w:sz w:val="18"/>
              </w:rPr>
              <w:t>71.05% ± 1.80%</w:t>
            </w:r>
          </w:p>
        </w:tc>
        <w:tc>
          <w:tcPr>
            <w:tcW w:type="dxa" w:w="1417"/>
            <w:vAlign w:val="center"/>
          </w:tcPr>
          <w:p>
            <w:pPr>
              <w:spacing w:before="30" w:after="30" w:line="252" w:lineRule="auto"/>
              <w:jc w:val="center"/>
            </w:pPr>
            <w:r>
              <w:rPr>
                <w:rFonts w:ascii="宋体" w:hAnsi="宋体" w:eastAsia="宋体"/>
                <w:b w:val="0"/>
                <w:sz w:val="18"/>
              </w:rPr>
              <w:t>9.91% ± 1.05%</w:t>
            </w:r>
          </w:p>
        </w:tc>
        <w:tc>
          <w:tcPr>
            <w:tcW w:type="dxa" w:w="1530"/>
            <w:vAlign w:val="center"/>
          </w:tcPr>
          <w:p>
            <w:pPr>
              <w:spacing w:before="30" w:after="30" w:line="252" w:lineRule="auto"/>
              <w:jc w:val="center"/>
            </w:pPr>
            <w:r>
              <w:rPr>
                <w:rFonts w:ascii="宋体" w:hAnsi="宋体" w:eastAsia="宋体"/>
                <w:b w:val="0"/>
                <w:sz w:val="18"/>
              </w:rPr>
              <w:t>12.12% ± 0.87%</w:t>
            </w:r>
          </w:p>
        </w:tc>
      </w:tr>
    </w:tbl>
    <w:p>
      <w:pPr>
        <w:spacing w:after="60"/>
      </w:pPr>
    </w:p>
    <w:p>
      <w:pPr>
        <w:spacing w:line="360" w:lineRule="auto" w:after="80"/>
      </w:pPr>
      <w:r>
        <w:rPr>
          <w:rFonts w:ascii="宋体" w:hAnsi="宋体" w:eastAsia="宋体"/>
          <w:sz w:val="21"/>
        </w:rPr>
        <w:t>角色感知对比约束给出了当前最明确的组件贡献：主模型相对无对比约束设置的 Accuracy 提高1.09个百分点，95%区间为[0.08, 2.15]个百分点；Macro F1 提高1.08个百分点，95%区间为[0.12, 2.06]个百分点，两个区间均未跨0。学习门控相对等权融合的 Macro F1 提高0.58个百分点，两类误入率分别下降0.61和0.76个百分点，但区间跨0，只能视为有利趋势。</w:t>
      </w:r>
    </w:p>
    <w:p>
      <w:pPr>
        <w:spacing w:line="360" w:lineRule="auto" w:after="80"/>
      </w:pPr>
      <w:r>
        <w:rPr>
          <w:rFonts w:ascii="宋体" w:hAnsi="宋体" w:eastAsia="宋体"/>
          <w:sz w:val="21"/>
        </w:rPr>
        <w:t>完整 HRGV 相对 gate-only 将含钛干扰和金属光泽干扰误入目标的均值分别降低约0.62和0.19个百分点，但目标召回降低约1.99个百分点。两个验证器的 ROC-AUC 约为0.91至0.92，说明其学到可分信息；它们当前属于显式风险控制模块，不是无代价的精度增强模块。旧乘法校正与梯度隔离消融进一步表明，残差设计更稳定，而完全隔离验证器梯度会以总体性能和方差为代价提高目标召回。</w:t>
      </w:r>
    </w:p>
    <w:p>
      <w:pPr>
        <w:keepNext/>
        <w:jc w:val="center"/>
      </w:pPr>
      <w:r>
        <w:drawing>
          <wp:inline xmlns:a="http://schemas.openxmlformats.org/drawingml/2006/main" xmlns:pic="http://schemas.openxmlformats.org/drawingml/2006/picture">
            <wp:extent cx="5688000" cy="3129200"/>
            <wp:docPr id="34" name="Picture 34"/>
            <wp:cNvGraphicFramePr>
              <a:graphicFrameLocks noChangeAspect="1"/>
            </wp:cNvGraphicFramePr>
            <a:graphic>
              <a:graphicData uri="http://schemas.openxmlformats.org/drawingml/2006/picture">
                <pic:pic>
                  <pic:nvPicPr>
                    <pic:cNvPr id="0" name="fig_hrgv_vs_hierarchical_effects.png"/>
                    <pic:cNvPicPr/>
                  </pic:nvPicPr>
                  <pic:blipFill>
                    <a:blip r:embed="rId45"/>
                    <a:stretch>
                      <a:fillRect/>
                    </a:stretch>
                  </pic:blipFill>
                  <pic:spPr>
                    <a:xfrm>
                      <a:off x="0" y="0"/>
                      <a:ext cx="5688000" cy="3129200"/>
                    </a:xfrm>
                    <a:prstGeom prst="rect"/>
                  </pic:spPr>
                </pic:pic>
              </a:graphicData>
            </a:graphic>
          </wp:inline>
        </w:drawing>
      </w:r>
    </w:p>
    <w:p>
      <w:pPr>
        <w:pStyle w:val="af7"/>
        <w:jc w:val="center"/>
      </w:pPr>
      <w:r>
        <w:rPr>
          <w:rFonts w:ascii="宋体" w:hAnsi="宋体" w:eastAsia="宋体"/>
          <w:sz w:val="19"/>
        </w:rPr>
        <w:t>图 17 HRGV-Net 相对既有分层模型的成对效应及95%簇 Bootstrap 区间</w:t>
      </w:r>
    </w:p>
    <w:p>
      <w:pPr>
        <w:spacing w:line="360" w:lineRule="auto" w:after="80"/>
      </w:pPr>
      <w:r>
        <w:rPr>
          <w:rFonts w:ascii="宋体" w:hAnsi="宋体" w:eastAsia="宋体"/>
          <w:sz w:val="21"/>
        </w:rPr>
        <w:t>与既有分层 EfficientNet-B0 相比，HRGV 的 Accuracy 和 Macro F1 均值分别提高1.06和1.18个百分点，两类困难负样本误入目标分别下降1.77和2.84个百分点；但目标召回下降5.18个百分点，且主要95%区间跨0。因此 HRGV 的证据应解释为更均衡、可审计的召回—误入风险重分配，不能解释为总体性能全面显著提高。</w:t>
      </w:r>
    </w:p>
    <w:p>
      <w:pPr>
        <w:pStyle w:val="21"/>
      </w:pPr>
      <w:r>
        <w:t>5.18 RSG-HRGV-Net 后悔监督门控正式验证</w:t>
      </w:r>
    </w:p>
    <w:p>
      <w:pPr>
        <w:spacing w:line="360" w:lineRule="auto" w:after="80"/>
      </w:pPr>
      <w:r>
        <w:rPr>
          <w:rFonts w:ascii="宋体" w:hAnsi="宋体" w:eastAsia="宋体"/>
          <w:sz w:val="21"/>
        </w:rPr>
        <w:t>RSG-HRGV 与参考 HRGV 使用完全相同的数据清单、固定划分、耦合残差验证器推理图和三个随机种子，仅在门控训练中加入冻结的软后悔目标与差距加权。软目标、硬目标、无差距加权和允许后悔监督反传至专家的单种子受控预实验用于冻结配置；下表和统计推断只使用参考 HRGV 与完整 RSG-HRGV 的三随机种子正式对照。</w:t>
      </w:r>
    </w:p>
    <w:p>
      <w:pPr>
        <w:pStyle w:val="af7"/>
        <w:jc w:val="center"/>
      </w:pPr>
      <w:r>
        <w:rPr>
          <w:rFonts w:ascii="宋体" w:hAnsi="宋体" w:eastAsia="宋体"/>
          <w:sz w:val="19"/>
        </w:rPr>
        <w:t>表 26 RSG-HRGV-Net 与 HRGV 的三随机种子正式比较</w:t>
      </w:r>
    </w:p>
    <w:tbl>
      <w:tblPr>
        <w:tblStyle w:val="aff1"/>
        <w:tblW w:type="auto" w:w="0"/>
        <w:jc w:val="center"/>
        <w:tblLayout w:type="fixed"/>
        <w:tblLook w:firstColumn="1" w:firstRow="1" w:lastColumn="0" w:lastRow="0" w:noHBand="0" w:noVBand="1" w:val="04A0"/>
      </w:tblPr>
      <w:tblGrid>
        <w:gridCol w:w="1148"/>
        <w:gridCol w:w="1148"/>
        <w:gridCol w:w="1148"/>
        <w:gridCol w:w="1148"/>
        <w:gridCol w:w="1148"/>
        <w:gridCol w:w="1148"/>
        <w:gridCol w:w="1148"/>
        <w:gridCol w:w="1148"/>
      </w:tblGrid>
      <w:tr>
        <w:trPr>
          <w:tblHeader w:val="true"/>
        </w:trPr>
        <w:tc>
          <w:tcPr>
            <w:tcW w:type="dxa" w:w="1388"/>
            <w:vAlign w:val="center"/>
            <w:shd w:fill="D9EAF7"/>
          </w:tcPr>
          <w:p>
            <w:pPr>
              <w:spacing w:before="30" w:after="30" w:line="252" w:lineRule="auto"/>
              <w:jc w:val="center"/>
            </w:pPr>
            <w:r>
              <w:rPr>
                <w:rFonts w:ascii="黑体" w:hAnsi="黑体" w:eastAsia="黑体"/>
                <w:b/>
                <w:sz w:val="18"/>
              </w:rPr>
              <w:t>设置</w:t>
            </w:r>
          </w:p>
        </w:tc>
        <w:tc>
          <w:tcPr>
            <w:tcW w:type="dxa" w:w="850"/>
            <w:vAlign w:val="center"/>
            <w:shd w:fill="D9EAF7"/>
          </w:tcPr>
          <w:p>
            <w:pPr>
              <w:spacing w:before="30" w:after="30" w:line="252" w:lineRule="auto"/>
              <w:jc w:val="center"/>
            </w:pPr>
            <w:r>
              <w:rPr>
                <w:rFonts w:ascii="黑体" w:hAnsi="黑体" w:eastAsia="黑体"/>
                <w:b/>
                <w:sz w:val="18"/>
              </w:rPr>
              <w:t>Accuracy</w:t>
            </w:r>
          </w:p>
        </w:tc>
        <w:tc>
          <w:tcPr>
            <w:tcW w:type="dxa" w:w="850"/>
            <w:vAlign w:val="center"/>
            <w:shd w:fill="D9EAF7"/>
          </w:tcPr>
          <w:p>
            <w:pPr>
              <w:spacing w:before="30" w:after="30" w:line="252" w:lineRule="auto"/>
              <w:jc w:val="center"/>
            </w:pPr>
            <w:r>
              <w:rPr>
                <w:rFonts w:ascii="黑体" w:hAnsi="黑体" w:eastAsia="黑体"/>
                <w:b/>
                <w:sz w:val="18"/>
              </w:rPr>
              <w:t>Macro F1</w:t>
            </w:r>
          </w:p>
        </w:tc>
        <w:tc>
          <w:tcPr>
            <w:tcW w:type="dxa" w:w="878"/>
            <w:vAlign w:val="center"/>
            <w:shd w:fill="D9EAF7"/>
          </w:tcPr>
          <w:p>
            <w:pPr>
              <w:spacing w:before="30" w:after="30" w:line="252" w:lineRule="auto"/>
              <w:jc w:val="center"/>
            </w:pPr>
            <w:r>
              <w:rPr>
                <w:rFonts w:ascii="黑体" w:hAnsi="黑体" w:eastAsia="黑体"/>
                <w:b/>
                <w:sz w:val="18"/>
              </w:rPr>
              <w:t>目标召回</w:t>
            </w:r>
          </w:p>
        </w:tc>
        <w:tc>
          <w:tcPr>
            <w:tcW w:type="dxa" w:w="878"/>
            <w:vAlign w:val="center"/>
            <w:shd w:fill="D9EAF7"/>
          </w:tcPr>
          <w:p>
            <w:pPr>
              <w:spacing w:before="30" w:after="30" w:line="252" w:lineRule="auto"/>
              <w:jc w:val="center"/>
            </w:pPr>
            <w:r>
              <w:rPr>
                <w:rFonts w:ascii="黑体" w:hAnsi="黑体" w:eastAsia="黑体"/>
                <w:b/>
                <w:sz w:val="18"/>
              </w:rPr>
              <w:t>含钛误入</w:t>
            </w:r>
          </w:p>
        </w:tc>
        <w:tc>
          <w:tcPr>
            <w:tcW w:type="dxa" w:w="878"/>
            <w:vAlign w:val="center"/>
            <w:shd w:fill="D9EAF7"/>
          </w:tcPr>
          <w:p>
            <w:pPr>
              <w:spacing w:before="30" w:after="30" w:line="252" w:lineRule="auto"/>
              <w:jc w:val="center"/>
            </w:pPr>
            <w:r>
              <w:rPr>
                <w:rFonts w:ascii="黑体" w:hAnsi="黑体" w:eastAsia="黑体"/>
                <w:b/>
                <w:sz w:val="18"/>
              </w:rPr>
              <w:t>金属误入</w:t>
            </w:r>
          </w:p>
        </w:tc>
        <w:tc>
          <w:tcPr>
            <w:tcW w:type="dxa" w:w="1162"/>
            <w:vAlign w:val="center"/>
            <w:shd w:fill="D9EAF7"/>
          </w:tcPr>
          <w:p>
            <w:pPr>
              <w:spacing w:before="30" w:after="30" w:line="252" w:lineRule="auto"/>
              <w:jc w:val="center"/>
            </w:pPr>
            <w:r>
              <w:rPr>
                <w:rFonts w:ascii="黑体" w:hAnsi="黑体" w:eastAsia="黑体"/>
                <w:b/>
                <w:sz w:val="18"/>
              </w:rPr>
              <w:t>一对一错路由</w:t>
            </w:r>
          </w:p>
        </w:tc>
        <w:tc>
          <w:tcPr>
            <w:tcW w:type="dxa" w:w="935"/>
            <w:vAlign w:val="center"/>
            <w:shd w:fill="D9EAF7"/>
          </w:tcPr>
          <w:p>
            <w:pPr>
              <w:spacing w:before="30" w:after="30" w:line="252" w:lineRule="auto"/>
              <w:jc w:val="center"/>
            </w:pPr>
            <w:r>
              <w:rPr>
                <w:rFonts w:ascii="黑体" w:hAnsi="黑体" w:eastAsia="黑体"/>
                <w:b/>
                <w:sz w:val="18"/>
              </w:rPr>
              <w:t>平均路由后悔</w:t>
            </w:r>
          </w:p>
        </w:tc>
      </w:tr>
      <w:tr>
        <w:tc>
          <w:tcPr>
            <w:tcW w:type="dxa" w:w="1388"/>
            <w:vAlign w:val="center"/>
          </w:tcPr>
          <w:p>
            <w:pPr>
              <w:spacing w:before="30" w:after="30" w:line="252" w:lineRule="auto"/>
              <w:jc w:val="center"/>
            </w:pPr>
            <w:r>
              <w:rPr>
                <w:rFonts w:ascii="宋体" w:hAnsi="宋体" w:eastAsia="宋体"/>
                <w:b w:val="0"/>
                <w:sz w:val="18"/>
              </w:rPr>
              <w:t>耦合残差 HRGV（参考）</w:t>
            </w:r>
          </w:p>
        </w:tc>
        <w:tc>
          <w:tcPr>
            <w:tcW w:type="dxa" w:w="850"/>
            <w:vAlign w:val="center"/>
          </w:tcPr>
          <w:p>
            <w:pPr>
              <w:spacing w:before="30" w:after="30" w:line="252" w:lineRule="auto"/>
              <w:jc w:val="center"/>
            </w:pPr>
            <w:r>
              <w:rPr>
                <w:rFonts w:ascii="宋体" w:hAnsi="宋体" w:eastAsia="宋体"/>
                <w:b w:val="0"/>
                <w:sz w:val="18"/>
              </w:rPr>
              <w:t>76.48% ± 0.23%</w:t>
            </w:r>
          </w:p>
        </w:tc>
        <w:tc>
          <w:tcPr>
            <w:tcW w:type="dxa" w:w="850"/>
            <w:vAlign w:val="center"/>
          </w:tcPr>
          <w:p>
            <w:pPr>
              <w:spacing w:before="30" w:after="30" w:line="252" w:lineRule="auto"/>
              <w:jc w:val="center"/>
            </w:pPr>
            <w:r>
              <w:rPr>
                <w:rFonts w:ascii="宋体" w:hAnsi="宋体" w:eastAsia="宋体"/>
                <w:b w:val="0"/>
                <w:sz w:val="18"/>
              </w:rPr>
              <w:t>74.59% ± 0.34%</w:t>
            </w:r>
          </w:p>
        </w:tc>
        <w:tc>
          <w:tcPr>
            <w:tcW w:type="dxa" w:w="878"/>
            <w:vAlign w:val="center"/>
          </w:tcPr>
          <w:p>
            <w:pPr>
              <w:spacing w:before="30" w:after="30" w:line="252" w:lineRule="auto"/>
              <w:jc w:val="center"/>
            </w:pPr>
            <w:r>
              <w:rPr>
                <w:rFonts w:ascii="宋体" w:hAnsi="宋体" w:eastAsia="宋体"/>
                <w:b w:val="0"/>
                <w:sz w:val="18"/>
              </w:rPr>
              <w:t>72.38% ± 3.22%</w:t>
            </w:r>
          </w:p>
        </w:tc>
        <w:tc>
          <w:tcPr>
            <w:tcW w:type="dxa" w:w="878"/>
            <w:vAlign w:val="center"/>
          </w:tcPr>
          <w:p>
            <w:pPr>
              <w:spacing w:before="30" w:after="30" w:line="252" w:lineRule="auto"/>
              <w:jc w:val="center"/>
            </w:pPr>
            <w:r>
              <w:rPr>
                <w:rFonts w:ascii="宋体" w:hAnsi="宋体" w:eastAsia="宋体"/>
                <w:b w:val="0"/>
                <w:sz w:val="18"/>
              </w:rPr>
              <w:t>9.16% ± 1.13%</w:t>
            </w:r>
          </w:p>
        </w:tc>
        <w:tc>
          <w:tcPr>
            <w:tcW w:type="dxa" w:w="878"/>
            <w:vAlign w:val="center"/>
          </w:tcPr>
          <w:p>
            <w:pPr>
              <w:spacing w:before="30" w:after="30" w:line="252" w:lineRule="auto"/>
              <w:jc w:val="center"/>
            </w:pPr>
            <w:r>
              <w:rPr>
                <w:rFonts w:ascii="宋体" w:hAnsi="宋体" w:eastAsia="宋体"/>
                <w:b w:val="0"/>
                <w:sz w:val="18"/>
              </w:rPr>
              <w:t>11.55% ± 1.18%</w:t>
            </w:r>
          </w:p>
        </w:tc>
        <w:tc>
          <w:tcPr>
            <w:tcW w:type="dxa" w:w="1162"/>
            <w:vAlign w:val="center"/>
          </w:tcPr>
          <w:p>
            <w:pPr>
              <w:spacing w:before="30" w:after="30" w:line="252" w:lineRule="auto"/>
              <w:jc w:val="center"/>
            </w:pPr>
            <w:r>
              <w:rPr>
                <w:rFonts w:ascii="宋体" w:hAnsi="宋体" w:eastAsia="宋体"/>
                <w:b w:val="0"/>
                <w:sz w:val="18"/>
              </w:rPr>
              <w:t>45.99% ± 4.82%</w:t>
            </w:r>
          </w:p>
        </w:tc>
        <w:tc>
          <w:tcPr>
            <w:tcW w:type="dxa" w:w="935"/>
            <w:vAlign w:val="center"/>
          </w:tcPr>
          <w:p>
            <w:pPr>
              <w:spacing w:before="30" w:after="30" w:line="252" w:lineRule="auto"/>
              <w:jc w:val="center"/>
            </w:pPr>
            <w:r>
              <w:rPr>
                <w:rFonts w:ascii="宋体" w:hAnsi="宋体" w:eastAsia="宋体"/>
                <w:b w:val="0"/>
                <w:sz w:val="18"/>
              </w:rPr>
              <w:t>9.86% ± 0.96%</w:t>
            </w:r>
          </w:p>
        </w:tc>
      </w:tr>
      <w:tr>
        <w:tc>
          <w:tcPr>
            <w:tcW w:type="dxa" w:w="1388"/>
            <w:vAlign w:val="center"/>
          </w:tcPr>
          <w:p>
            <w:pPr>
              <w:spacing w:before="30" w:after="30" w:line="252" w:lineRule="auto"/>
              <w:jc w:val="center"/>
            </w:pPr>
            <w:r>
              <w:rPr>
                <w:rFonts w:ascii="宋体" w:hAnsi="宋体" w:eastAsia="宋体"/>
                <w:b w:val="0"/>
                <w:sz w:val="18"/>
              </w:rPr>
              <w:t>RSG-HRGV（完整）</w:t>
            </w:r>
          </w:p>
        </w:tc>
        <w:tc>
          <w:tcPr>
            <w:tcW w:type="dxa" w:w="850"/>
            <w:vAlign w:val="center"/>
          </w:tcPr>
          <w:p>
            <w:pPr>
              <w:spacing w:before="30" w:after="30" w:line="252" w:lineRule="auto"/>
              <w:jc w:val="center"/>
            </w:pPr>
            <w:r>
              <w:rPr>
                <w:rFonts w:ascii="宋体" w:hAnsi="宋体" w:eastAsia="宋体"/>
                <w:b w:val="0"/>
                <w:sz w:val="18"/>
              </w:rPr>
              <w:t>76.45% ± 0.98%</w:t>
            </w:r>
          </w:p>
        </w:tc>
        <w:tc>
          <w:tcPr>
            <w:tcW w:type="dxa" w:w="850"/>
            <w:vAlign w:val="center"/>
          </w:tcPr>
          <w:p>
            <w:pPr>
              <w:spacing w:before="30" w:after="30" w:line="252" w:lineRule="auto"/>
              <w:jc w:val="center"/>
            </w:pPr>
            <w:r>
              <w:rPr>
                <w:rFonts w:ascii="宋体" w:hAnsi="宋体" w:eastAsia="宋体"/>
                <w:b w:val="0"/>
                <w:sz w:val="18"/>
              </w:rPr>
              <w:t>74.76% ± 0.90%</w:t>
            </w:r>
          </w:p>
        </w:tc>
        <w:tc>
          <w:tcPr>
            <w:tcW w:type="dxa" w:w="878"/>
            <w:vAlign w:val="center"/>
          </w:tcPr>
          <w:p>
            <w:pPr>
              <w:spacing w:before="30" w:after="30" w:line="252" w:lineRule="auto"/>
              <w:jc w:val="center"/>
            </w:pPr>
            <w:r>
              <w:rPr>
                <w:rFonts w:ascii="宋体" w:hAnsi="宋体" w:eastAsia="宋体"/>
                <w:b w:val="0"/>
                <w:sz w:val="18"/>
              </w:rPr>
              <w:t>72.91% ± 1.38%</w:t>
            </w:r>
          </w:p>
        </w:tc>
        <w:tc>
          <w:tcPr>
            <w:tcW w:type="dxa" w:w="878"/>
            <w:vAlign w:val="center"/>
          </w:tcPr>
          <w:p>
            <w:pPr>
              <w:spacing w:before="30" w:after="30" w:line="252" w:lineRule="auto"/>
              <w:jc w:val="center"/>
            </w:pPr>
            <w:r>
              <w:rPr>
                <w:rFonts w:ascii="宋体" w:hAnsi="宋体" w:eastAsia="宋体"/>
                <w:b w:val="0"/>
                <w:sz w:val="18"/>
              </w:rPr>
              <w:t>8.42% ± 1.54%</w:t>
            </w:r>
          </w:p>
        </w:tc>
        <w:tc>
          <w:tcPr>
            <w:tcW w:type="dxa" w:w="878"/>
            <w:vAlign w:val="center"/>
          </w:tcPr>
          <w:p>
            <w:pPr>
              <w:spacing w:before="30" w:after="30" w:line="252" w:lineRule="auto"/>
              <w:jc w:val="center"/>
            </w:pPr>
            <w:r>
              <w:rPr>
                <w:rFonts w:ascii="宋体" w:hAnsi="宋体" w:eastAsia="宋体"/>
                <w:b w:val="0"/>
                <w:sz w:val="18"/>
              </w:rPr>
              <w:t>11.17% ± 0.87%</w:t>
            </w:r>
          </w:p>
        </w:tc>
        <w:tc>
          <w:tcPr>
            <w:tcW w:type="dxa" w:w="1162"/>
            <w:vAlign w:val="center"/>
          </w:tcPr>
          <w:p>
            <w:pPr>
              <w:spacing w:before="30" w:after="30" w:line="252" w:lineRule="auto"/>
              <w:jc w:val="center"/>
            </w:pPr>
            <w:r>
              <w:rPr>
                <w:rFonts w:ascii="宋体" w:hAnsi="宋体" w:eastAsia="宋体"/>
                <w:b w:val="0"/>
                <w:sz w:val="18"/>
              </w:rPr>
              <w:t>58.01% ± 1.76%</w:t>
            </w:r>
          </w:p>
        </w:tc>
        <w:tc>
          <w:tcPr>
            <w:tcW w:type="dxa" w:w="935"/>
            <w:vAlign w:val="center"/>
          </w:tcPr>
          <w:p>
            <w:pPr>
              <w:spacing w:before="30" w:after="30" w:line="252" w:lineRule="auto"/>
              <w:jc w:val="center"/>
            </w:pPr>
            <w:r>
              <w:rPr>
                <w:rFonts w:ascii="宋体" w:hAnsi="宋体" w:eastAsia="宋体"/>
                <w:b w:val="0"/>
                <w:sz w:val="18"/>
              </w:rPr>
              <w:t>8.09% ± 0.17%</w:t>
            </w:r>
          </w:p>
        </w:tc>
      </w:tr>
    </w:tbl>
    <w:p>
      <w:pPr>
        <w:spacing w:after="60"/>
      </w:pPr>
    </w:p>
    <w:p>
      <w:pPr>
        <w:spacing w:line="360" w:lineRule="auto" w:after="80"/>
      </w:pPr>
      <w:r>
        <w:rPr>
          <w:rFonts w:ascii="宋体" w:hAnsi="宋体" w:eastAsia="宋体"/>
          <w:sz w:val="21"/>
        </w:rPr>
        <w:t>完整 RSG-HRGV 的平均 Accuracy 为76.45% ± 0.98%，与参考 HRGV 的76.48% ± 0.23%基本相当；Macro F1 由74.59% ± 0.34%变为74.76% ± 0.90%。目标召回和两类误入目标比例在均值上均呈有利变化，但 Accuracy、Macro F1、目标召回以及两类误入指标的 2,000 次成对簇 Bootstrap 区间均跨0。因此，当前证据不能写成 RSG 对总体四分类性能具有显著优势。</w:t>
      </w:r>
    </w:p>
    <w:p>
      <w:pPr>
        <w:spacing w:line="360" w:lineRule="auto" w:after="80"/>
      </w:pPr>
      <w:r>
        <w:rPr>
          <w:rFonts w:ascii="宋体" w:hAnsi="宋体" w:eastAsia="宋体"/>
          <w:sz w:val="21"/>
        </w:rPr>
        <w:t>RSG 的机制结果更明确：在“恰有一位专家正确”的可路由样本上，门控选择正确专家的比例从45.99% ± 4.82%升至58.01% ± 1.76%，提高12.02个百分点；平均路由后悔从9.86% ± 0.96%降至8.09% ± 0.17%。后者的成对差异（RSG−HRGV）为-1.77个百分点，95%簇 Bootstrap 区间为[-2.86, -0.69]个百分点，未跨0，方向性重采样概率为1.0000。这支持 RSG 在本固定测试协议下确实降低了式（18）所定义的路由后悔。</w:t>
      </w:r>
    </w:p>
    <w:p>
      <w:pPr>
        <w:spacing w:line="360" w:lineRule="auto" w:after="80"/>
      </w:pPr>
      <w:r>
        <w:rPr>
          <w:rFonts w:ascii="宋体" w:hAnsi="宋体" w:eastAsia="宋体"/>
          <w:sz w:val="21"/>
        </w:rPr>
        <w:t>该结果形成了可审计的理论—实验闭环：命题6给出门控误差与路由后悔的上界，命题7给出软目标在专家差异明确时逼近硬选择的理由，命题8限定后悔监督不改写专家证据；正式实验则表明，所设计的局部监督稳定改善了该路由目标。由于分类终端指标的区间仍跨0，论文应将创新表述为“针对跨粒度专家证据选择的后悔监督机制及其可检验路由风险改善”，而不是宣称普适的分类精度突破。</w:t>
      </w:r>
    </w:p>
    <w:p>
      <w:pPr>
        <w:pStyle w:val="21"/>
      </w:pPr>
      <w:r>
        <w:t>5.19 RSG-HRGV-Net 的摄影者留出泛化验证</w:t>
      </w:r>
    </w:p>
    <w:p>
      <w:pPr>
        <w:spacing w:line="360" w:lineRule="auto" w:after="80"/>
      </w:pPr>
      <w:r>
        <w:rPr>
          <w:rFonts w:ascii="宋体" w:hAnsi="宋体" w:eastAsia="宋体"/>
          <w:sz w:val="21"/>
        </w:rPr>
        <w:t>固定随机划分已按重复图像和 Mindat 图片编号控制泄漏，但仍可能受摄影背景、布光与上传者风格影响。为检验后悔监督机制在此类来源变化下是否保持其预期方向，本节沿用摄影者留出清单：5,639张具有摄影者字段的图像按摄影者与重复图像组整体划分为训练/验证/测试集3,947/846/846张，三划分的摄影者与 split_group_id 均不交叉；缺失摄影者字段的2,890张图像不进入本实验。该实验是公开 Mindat 标本图片上的来源留出验证，不是独立工业现场或未知矿物（OOD）测试。</w:t>
      </w:r>
    </w:p>
    <w:p>
      <w:pPr>
        <w:spacing w:line="360" w:lineRule="auto" w:after="80"/>
      </w:pPr>
      <w:r>
        <w:rPr>
          <w:rFonts w:ascii="宋体" w:hAnsi="宋体" w:eastAsia="宋体"/>
          <w:sz w:val="21"/>
        </w:rPr>
        <w:t>为避免使用试跑结果进行重复计数，种子20260728只用于检查执行与冻结流程，不进入统计推断；正式确认比较使用独立种子20260727、20260729和20260730。两组模型使用同一清单、同一 EfficientNet-B0 初始化、优化器、早停规则与耦合残差验证器，唯一差异为完整 RSG-HRGV 加入式（17）的局部梯度隔离软后悔门控监督。</w:t>
      </w:r>
    </w:p>
    <w:p>
      <w:pPr>
        <w:pStyle w:val="af7"/>
        <w:jc w:val="center"/>
      </w:pPr>
      <w:r>
        <w:rPr>
          <w:rFonts w:ascii="宋体" w:hAnsi="宋体" w:eastAsia="宋体"/>
          <w:sz w:val="19"/>
        </w:rPr>
        <w:t>表 27 摄影者留出下 RSG-HRGV-Net 与 HRGV 的独立三随机种子比较</w:t>
      </w:r>
    </w:p>
    <w:tbl>
      <w:tblPr>
        <w:tblStyle w:val="aff1"/>
        <w:tblW w:type="auto" w:w="0"/>
        <w:jc w:val="center"/>
        <w:tblLayout w:type="fixed"/>
        <w:tblLook w:firstColumn="1" w:firstRow="1" w:lastColumn="0" w:lastRow="0" w:noHBand="0" w:noVBand="1" w:val="04A0"/>
      </w:tblPr>
      <w:tblGrid>
        <w:gridCol w:w="1148"/>
        <w:gridCol w:w="1148"/>
        <w:gridCol w:w="1148"/>
        <w:gridCol w:w="1148"/>
        <w:gridCol w:w="1148"/>
        <w:gridCol w:w="1148"/>
        <w:gridCol w:w="1148"/>
        <w:gridCol w:w="1148"/>
      </w:tblGrid>
      <w:tr>
        <w:trPr>
          <w:tblHeader w:val="true"/>
        </w:trPr>
        <w:tc>
          <w:tcPr>
            <w:tcW w:type="dxa" w:w="1388"/>
            <w:vAlign w:val="center"/>
            <w:shd w:fill="D9EAF7"/>
          </w:tcPr>
          <w:p>
            <w:pPr>
              <w:spacing w:before="30" w:after="30" w:line="252" w:lineRule="auto"/>
              <w:jc w:val="center"/>
            </w:pPr>
            <w:r>
              <w:rPr>
                <w:rFonts w:ascii="黑体" w:hAnsi="黑体" w:eastAsia="黑体"/>
                <w:b/>
                <w:sz w:val="18"/>
              </w:rPr>
              <w:t>设置</w:t>
            </w:r>
          </w:p>
        </w:tc>
        <w:tc>
          <w:tcPr>
            <w:tcW w:type="dxa" w:w="822"/>
            <w:vAlign w:val="center"/>
            <w:shd w:fill="D9EAF7"/>
          </w:tcPr>
          <w:p>
            <w:pPr>
              <w:spacing w:before="30" w:after="30" w:line="252" w:lineRule="auto"/>
              <w:jc w:val="center"/>
            </w:pPr>
            <w:r>
              <w:rPr>
                <w:rFonts w:ascii="黑体" w:hAnsi="黑体" w:eastAsia="黑体"/>
                <w:b/>
                <w:sz w:val="18"/>
              </w:rPr>
              <w:t>Accuracy</w:t>
            </w:r>
          </w:p>
        </w:tc>
        <w:tc>
          <w:tcPr>
            <w:tcW w:type="dxa" w:w="822"/>
            <w:vAlign w:val="center"/>
            <w:shd w:fill="D9EAF7"/>
          </w:tcPr>
          <w:p>
            <w:pPr>
              <w:spacing w:before="30" w:after="30" w:line="252" w:lineRule="auto"/>
              <w:jc w:val="center"/>
            </w:pPr>
            <w:r>
              <w:rPr>
                <w:rFonts w:ascii="黑体" w:hAnsi="黑体" w:eastAsia="黑体"/>
                <w:b/>
                <w:sz w:val="18"/>
              </w:rPr>
              <w:t>Macro F1</w:t>
            </w:r>
          </w:p>
        </w:tc>
        <w:tc>
          <w:tcPr>
            <w:tcW w:type="dxa" w:w="878"/>
            <w:vAlign w:val="center"/>
            <w:shd w:fill="D9EAF7"/>
          </w:tcPr>
          <w:p>
            <w:pPr>
              <w:spacing w:before="30" w:after="30" w:line="252" w:lineRule="auto"/>
              <w:jc w:val="center"/>
            </w:pPr>
            <w:r>
              <w:rPr>
                <w:rFonts w:ascii="黑体" w:hAnsi="黑体" w:eastAsia="黑体"/>
                <w:b/>
                <w:sz w:val="18"/>
              </w:rPr>
              <w:t>目标召回</w:t>
            </w:r>
          </w:p>
        </w:tc>
        <w:tc>
          <w:tcPr>
            <w:tcW w:type="dxa" w:w="878"/>
            <w:vAlign w:val="center"/>
            <w:shd w:fill="D9EAF7"/>
          </w:tcPr>
          <w:p>
            <w:pPr>
              <w:spacing w:before="30" w:after="30" w:line="252" w:lineRule="auto"/>
              <w:jc w:val="center"/>
            </w:pPr>
            <w:r>
              <w:rPr>
                <w:rFonts w:ascii="黑体" w:hAnsi="黑体" w:eastAsia="黑体"/>
                <w:b/>
                <w:sz w:val="18"/>
              </w:rPr>
              <w:t>含钛误入</w:t>
            </w:r>
          </w:p>
        </w:tc>
        <w:tc>
          <w:tcPr>
            <w:tcW w:type="dxa" w:w="878"/>
            <w:vAlign w:val="center"/>
            <w:shd w:fill="D9EAF7"/>
          </w:tcPr>
          <w:p>
            <w:pPr>
              <w:spacing w:before="30" w:after="30" w:line="252" w:lineRule="auto"/>
              <w:jc w:val="center"/>
            </w:pPr>
            <w:r>
              <w:rPr>
                <w:rFonts w:ascii="黑体" w:hAnsi="黑体" w:eastAsia="黑体"/>
                <w:b/>
                <w:sz w:val="18"/>
              </w:rPr>
              <w:t>金属误入</w:t>
            </w:r>
          </w:p>
        </w:tc>
        <w:tc>
          <w:tcPr>
            <w:tcW w:type="dxa" w:w="1162"/>
            <w:vAlign w:val="center"/>
            <w:shd w:fill="D9EAF7"/>
          </w:tcPr>
          <w:p>
            <w:pPr>
              <w:spacing w:before="30" w:after="30" w:line="252" w:lineRule="auto"/>
              <w:jc w:val="center"/>
            </w:pPr>
            <w:r>
              <w:rPr>
                <w:rFonts w:ascii="黑体" w:hAnsi="黑体" w:eastAsia="黑体"/>
                <w:b/>
                <w:sz w:val="18"/>
              </w:rPr>
              <w:t>一对一错路由</w:t>
            </w:r>
          </w:p>
        </w:tc>
        <w:tc>
          <w:tcPr>
            <w:tcW w:type="dxa" w:w="935"/>
            <w:vAlign w:val="center"/>
            <w:shd w:fill="D9EAF7"/>
          </w:tcPr>
          <w:p>
            <w:pPr>
              <w:spacing w:before="30" w:after="30" w:line="252" w:lineRule="auto"/>
              <w:jc w:val="center"/>
            </w:pPr>
            <w:r>
              <w:rPr>
                <w:rFonts w:ascii="黑体" w:hAnsi="黑体" w:eastAsia="黑体"/>
                <w:b/>
                <w:sz w:val="18"/>
              </w:rPr>
              <w:t>平均路由后悔</w:t>
            </w:r>
          </w:p>
        </w:tc>
      </w:tr>
      <w:tr>
        <w:tc>
          <w:tcPr>
            <w:tcW w:type="dxa" w:w="1388"/>
            <w:vAlign w:val="center"/>
          </w:tcPr>
          <w:p>
            <w:pPr>
              <w:spacing w:before="30" w:after="30" w:line="252" w:lineRule="auto"/>
              <w:jc w:val="center"/>
            </w:pPr>
            <w:r>
              <w:rPr>
                <w:rFonts w:ascii="宋体" w:hAnsi="宋体" w:eastAsia="宋体"/>
                <w:b w:val="0"/>
                <w:sz w:val="18"/>
              </w:rPr>
              <w:t>耦合残差 HRGV（参考）</w:t>
            </w:r>
          </w:p>
        </w:tc>
        <w:tc>
          <w:tcPr>
            <w:tcW w:type="dxa" w:w="822"/>
            <w:vAlign w:val="center"/>
          </w:tcPr>
          <w:p>
            <w:pPr>
              <w:spacing w:before="30" w:after="30" w:line="252" w:lineRule="auto"/>
              <w:jc w:val="center"/>
            </w:pPr>
            <w:r>
              <w:rPr>
                <w:rFonts w:ascii="宋体" w:hAnsi="宋体" w:eastAsia="宋体"/>
                <w:b w:val="0"/>
                <w:sz w:val="18"/>
              </w:rPr>
              <w:t>71.20% ± 0.69%</w:t>
            </w:r>
          </w:p>
        </w:tc>
        <w:tc>
          <w:tcPr>
            <w:tcW w:type="dxa" w:w="822"/>
            <w:vAlign w:val="center"/>
          </w:tcPr>
          <w:p>
            <w:pPr>
              <w:spacing w:before="30" w:after="30" w:line="252" w:lineRule="auto"/>
              <w:jc w:val="center"/>
            </w:pPr>
            <w:r>
              <w:rPr>
                <w:rFonts w:ascii="宋体" w:hAnsi="宋体" w:eastAsia="宋体"/>
                <w:b w:val="0"/>
                <w:sz w:val="18"/>
              </w:rPr>
              <w:t>68.99% ± 1.17%</w:t>
            </w:r>
          </w:p>
        </w:tc>
        <w:tc>
          <w:tcPr>
            <w:tcW w:type="dxa" w:w="878"/>
            <w:vAlign w:val="center"/>
          </w:tcPr>
          <w:p>
            <w:pPr>
              <w:spacing w:before="30" w:after="30" w:line="252" w:lineRule="auto"/>
              <w:jc w:val="center"/>
            </w:pPr>
            <w:r>
              <w:rPr>
                <w:rFonts w:ascii="宋体" w:hAnsi="宋体" w:eastAsia="宋体"/>
                <w:b w:val="0"/>
                <w:sz w:val="18"/>
              </w:rPr>
              <w:t>71.25% ± 6.31%</w:t>
            </w:r>
          </w:p>
        </w:tc>
        <w:tc>
          <w:tcPr>
            <w:tcW w:type="dxa" w:w="878"/>
            <w:vAlign w:val="center"/>
          </w:tcPr>
          <w:p>
            <w:pPr>
              <w:spacing w:before="30" w:after="30" w:line="252" w:lineRule="auto"/>
              <w:jc w:val="center"/>
            </w:pPr>
            <w:r>
              <w:rPr>
                <w:rFonts w:ascii="宋体" w:hAnsi="宋体" w:eastAsia="宋体"/>
                <w:b w:val="0"/>
                <w:sz w:val="18"/>
              </w:rPr>
              <w:t>12.69% ± 1.83%</w:t>
            </w:r>
          </w:p>
        </w:tc>
        <w:tc>
          <w:tcPr>
            <w:tcW w:type="dxa" w:w="878"/>
            <w:vAlign w:val="center"/>
          </w:tcPr>
          <w:p>
            <w:pPr>
              <w:spacing w:before="30" w:after="30" w:line="252" w:lineRule="auto"/>
              <w:jc w:val="center"/>
            </w:pPr>
            <w:r>
              <w:rPr>
                <w:rFonts w:ascii="宋体" w:hAnsi="宋体" w:eastAsia="宋体"/>
                <w:b w:val="0"/>
                <w:sz w:val="18"/>
              </w:rPr>
              <w:t>11.88% ± 3.96%</w:t>
            </w:r>
          </w:p>
        </w:tc>
        <w:tc>
          <w:tcPr>
            <w:tcW w:type="dxa" w:w="1162"/>
            <w:vAlign w:val="center"/>
          </w:tcPr>
          <w:p>
            <w:pPr>
              <w:spacing w:before="30" w:after="30" w:line="252" w:lineRule="auto"/>
              <w:jc w:val="center"/>
            </w:pPr>
            <w:r>
              <w:rPr>
                <w:rFonts w:ascii="宋体" w:hAnsi="宋体" w:eastAsia="宋体"/>
                <w:b w:val="0"/>
                <w:sz w:val="18"/>
              </w:rPr>
              <w:t>45.19% ± 8.34%</w:t>
            </w:r>
          </w:p>
        </w:tc>
        <w:tc>
          <w:tcPr>
            <w:tcW w:type="dxa" w:w="935"/>
            <w:vAlign w:val="center"/>
          </w:tcPr>
          <w:p>
            <w:pPr>
              <w:spacing w:before="30" w:after="30" w:line="252" w:lineRule="auto"/>
              <w:jc w:val="center"/>
            </w:pPr>
            <w:r>
              <w:rPr>
                <w:rFonts w:ascii="宋体" w:hAnsi="宋体" w:eastAsia="宋体"/>
                <w:b w:val="0"/>
                <w:sz w:val="18"/>
              </w:rPr>
              <w:t>11.77% ± 0.63%</w:t>
            </w:r>
          </w:p>
        </w:tc>
      </w:tr>
      <w:tr>
        <w:tc>
          <w:tcPr>
            <w:tcW w:type="dxa" w:w="1388"/>
            <w:vAlign w:val="center"/>
          </w:tcPr>
          <w:p>
            <w:pPr>
              <w:spacing w:before="30" w:after="30" w:line="252" w:lineRule="auto"/>
              <w:jc w:val="center"/>
            </w:pPr>
            <w:r>
              <w:rPr>
                <w:rFonts w:ascii="宋体" w:hAnsi="宋体" w:eastAsia="宋体"/>
                <w:b w:val="0"/>
                <w:sz w:val="18"/>
              </w:rPr>
              <w:t>RSG-HRGV（完整）</w:t>
            </w:r>
          </w:p>
        </w:tc>
        <w:tc>
          <w:tcPr>
            <w:tcW w:type="dxa" w:w="822"/>
            <w:vAlign w:val="center"/>
          </w:tcPr>
          <w:p>
            <w:pPr>
              <w:spacing w:before="30" w:after="30" w:line="252" w:lineRule="auto"/>
              <w:jc w:val="center"/>
            </w:pPr>
            <w:r>
              <w:rPr>
                <w:rFonts w:ascii="宋体" w:hAnsi="宋体" w:eastAsia="宋体"/>
                <w:b w:val="0"/>
                <w:sz w:val="18"/>
              </w:rPr>
              <w:t>71.47% ± 1.14%</w:t>
            </w:r>
          </w:p>
        </w:tc>
        <w:tc>
          <w:tcPr>
            <w:tcW w:type="dxa" w:w="822"/>
            <w:vAlign w:val="center"/>
          </w:tcPr>
          <w:p>
            <w:pPr>
              <w:spacing w:before="30" w:after="30" w:line="252" w:lineRule="auto"/>
              <w:jc w:val="center"/>
            </w:pPr>
            <w:r>
              <w:rPr>
                <w:rFonts w:ascii="宋体" w:hAnsi="宋体" w:eastAsia="宋体"/>
                <w:b w:val="0"/>
                <w:sz w:val="18"/>
              </w:rPr>
              <w:t>69.25% ± 0.99%</w:t>
            </w:r>
          </w:p>
        </w:tc>
        <w:tc>
          <w:tcPr>
            <w:tcW w:type="dxa" w:w="878"/>
            <w:vAlign w:val="center"/>
          </w:tcPr>
          <w:p>
            <w:pPr>
              <w:spacing w:before="30" w:after="30" w:line="252" w:lineRule="auto"/>
              <w:jc w:val="center"/>
            </w:pPr>
            <w:r>
              <w:rPr>
                <w:rFonts w:ascii="宋体" w:hAnsi="宋体" w:eastAsia="宋体"/>
                <w:b w:val="0"/>
                <w:sz w:val="18"/>
              </w:rPr>
              <w:t>72.04% ± 2.64%</w:t>
            </w:r>
          </w:p>
        </w:tc>
        <w:tc>
          <w:tcPr>
            <w:tcW w:type="dxa" w:w="878"/>
            <w:vAlign w:val="center"/>
          </w:tcPr>
          <w:p>
            <w:pPr>
              <w:spacing w:before="30" w:after="30" w:line="252" w:lineRule="auto"/>
              <w:jc w:val="center"/>
            </w:pPr>
            <w:r>
              <w:rPr>
                <w:rFonts w:ascii="宋体" w:hAnsi="宋体" w:eastAsia="宋体"/>
                <w:b w:val="0"/>
                <w:sz w:val="18"/>
              </w:rPr>
              <w:t>11.40% ± 2.10%</w:t>
            </w:r>
          </w:p>
        </w:tc>
        <w:tc>
          <w:tcPr>
            <w:tcW w:type="dxa" w:w="878"/>
            <w:vAlign w:val="center"/>
          </w:tcPr>
          <w:p>
            <w:pPr>
              <w:spacing w:before="30" w:after="30" w:line="252" w:lineRule="auto"/>
              <w:jc w:val="center"/>
            </w:pPr>
            <w:r>
              <w:rPr>
                <w:rFonts w:ascii="宋体" w:hAnsi="宋体" w:eastAsia="宋体"/>
                <w:b w:val="0"/>
                <w:sz w:val="18"/>
              </w:rPr>
              <w:t>14.19% ± 3.02%</w:t>
            </w:r>
          </w:p>
        </w:tc>
        <w:tc>
          <w:tcPr>
            <w:tcW w:type="dxa" w:w="1162"/>
            <w:vAlign w:val="center"/>
          </w:tcPr>
          <w:p>
            <w:pPr>
              <w:spacing w:before="30" w:after="30" w:line="252" w:lineRule="auto"/>
              <w:jc w:val="center"/>
            </w:pPr>
            <w:r>
              <w:rPr>
                <w:rFonts w:ascii="宋体" w:hAnsi="宋体" w:eastAsia="宋体"/>
                <w:b w:val="0"/>
                <w:sz w:val="18"/>
              </w:rPr>
              <w:t>53.69% ± 4.02%</w:t>
            </w:r>
          </w:p>
        </w:tc>
        <w:tc>
          <w:tcPr>
            <w:tcW w:type="dxa" w:w="935"/>
            <w:vAlign w:val="center"/>
          </w:tcPr>
          <w:p>
            <w:pPr>
              <w:spacing w:before="30" w:after="30" w:line="252" w:lineRule="auto"/>
              <w:jc w:val="center"/>
            </w:pPr>
            <w:r>
              <w:rPr>
                <w:rFonts w:ascii="宋体" w:hAnsi="宋体" w:eastAsia="宋体"/>
                <w:b w:val="0"/>
                <w:sz w:val="18"/>
              </w:rPr>
              <w:t>8.24% ± 0.80%</w:t>
            </w:r>
          </w:p>
        </w:tc>
      </w:tr>
    </w:tbl>
    <w:p>
      <w:pPr>
        <w:spacing w:after="60"/>
      </w:pPr>
    </w:p>
    <w:p>
      <w:pPr>
        <w:keepNext/>
        <w:jc w:val="center"/>
      </w:pPr>
      <w:r>
        <w:drawing>
          <wp:inline xmlns:a="http://schemas.openxmlformats.org/drawingml/2006/main" xmlns:pic="http://schemas.openxmlformats.org/drawingml/2006/picture">
            <wp:extent cx="5760000" cy="2288784"/>
            <wp:docPr id="38" name="Picture 38"/>
            <wp:cNvGraphicFramePr>
              <a:graphicFrameLocks noChangeAspect="1"/>
            </wp:cNvGraphicFramePr>
            <a:graphic>
              <a:graphicData uri="http://schemas.openxmlformats.org/drawingml/2006/picture">
                <pic:pic>
                  <pic:nvPicPr>
                    <pic:cNvPr id="0" name="fig_rsg_source_holdout.png"/>
                    <pic:cNvPicPr/>
                  </pic:nvPicPr>
                  <pic:blipFill>
                    <a:blip r:embed="rId49"/>
                    <a:stretch>
                      <a:fillRect/>
                    </a:stretch>
                  </pic:blipFill>
                  <pic:spPr>
                    <a:xfrm>
                      <a:off x="0" y="0"/>
                      <a:ext cx="5760000" cy="2288784"/>
                    </a:xfrm>
                    <a:prstGeom prst="rect"/>
                  </pic:spPr>
                </pic:pic>
              </a:graphicData>
            </a:graphic>
          </wp:inline>
        </w:drawing>
      </w:r>
    </w:p>
    <w:p>
      <w:pPr>
        <w:pStyle w:val="af7"/>
        <w:jc w:val="center"/>
      </w:pPr>
      <w:r>
        <w:rPr>
          <w:rFonts w:ascii="宋体" w:hAnsi="宋体" w:eastAsia="宋体"/>
          <w:sz w:val="19"/>
        </w:rPr>
        <w:t>图 18 摄影者留出条件下 RSG-HRGV 的角色指标与路由机制比较</w:t>
      </w:r>
    </w:p>
    <w:p>
      <w:pPr>
        <w:spacing w:line="360" w:lineRule="auto" w:after="80"/>
      </w:pPr>
      <w:r>
        <w:rPr>
          <w:rFonts w:ascii="宋体" w:hAnsi="宋体" w:eastAsia="宋体"/>
          <w:sz w:val="21"/>
        </w:rPr>
        <w:t>来源留出下，RSG 的平均 Macro F1 由68.99% ± 1.17%变为69.25% ± 0.99%，目标召回由71.25% ± 6.31%变为72.04% ± 2.64%；两者的成对簇 Bootstrap 区间均跨0。含钛干扰误入目标的均值下降，但区间仍跨0；金属光泽干扰误入目标的均值上升，且区间亦跨0。因此，该实验不能声称 RSG 在来源变化下稳定提高总体角色分类或所有业务风险指标。</w:t>
      </w:r>
    </w:p>
    <w:p>
      <w:pPr>
        <w:spacing w:line="360" w:lineRule="auto" w:after="80"/>
      </w:pPr>
      <w:r>
        <w:rPr>
          <w:rFonts w:ascii="宋体" w:hAnsi="宋体" w:eastAsia="宋体"/>
          <w:sz w:val="21"/>
        </w:rPr>
        <w:t>相反，直接对应命题6的路由机制指标在三个独立种子中方向一致：平均路由后悔由11.77% ± 0.63%降至8.24% ± 0.80%，RSG−HRGV 的差异为-3.53个百分点，95%成对簇 Bootstrap 区间为[-4.75, -2.17]个百分点，未跨0，方向性重采样概率为1.0000。同时，在恰有一位专家正确的样本中，门控选择正确专家的比例由45.19% ± 8.34%提高至53.69% ± 4.02%。这为“后悔监督改善跨粒度证据路由”提供了比固定随机划分更严格、但仍限于公开标本来源的补充证据。</w:t>
      </w:r>
    </w:p>
    <w:p>
      <w:pPr>
        <w:spacing w:line="360" w:lineRule="auto" w:after="80"/>
      </w:pPr>
      <w:r>
        <w:rPr>
          <w:rFonts w:ascii="宋体" w:hAnsi="宋体" w:eastAsia="宋体"/>
          <w:sz w:val="21"/>
        </w:rPr>
        <w:t>上述判断依赖于路由后悔的预定义方向，而非事后挑选指标。作为边界，Macro F1、Target recall与两类误入率的区间均未给出稳定总体增益；论文应把该来源留出结果定位为机制泛化验证，不将其替代真实颗粒、矿石品位或工业回收率验证。</w:t>
      </w:r>
    </w:p>
    <w:p w14:paraId="35530D39" w14:textId="77777777" w:rsidR="00B8619C" w:rsidRDefault="00000000">
      <w:pPr>
        <w:pStyle w:val="21"/>
        <w:spacing w:line="360" w:lineRule="auto"/>
      </w:pPr>
      <w:r>
        <w:rPr>
          <w:rFonts w:ascii="宋体" w:hAnsi="宋体" w:eastAsia="宋体"/>
          <w:sz w:val="21"/>
        </w:rPr>
        <w:t>5.20 实验结果的综合判断</w:t>
      </w:r>
    </w:p>
    <w:p w14:paraId="4E2F25F0" w14:textId="77777777" w:rsidR="00B8619C" w:rsidRDefault="00000000">
      <w:pPr>
        <w:spacing w:line="360" w:lineRule="auto"/>
        <w:ind w:firstLine="420"/>
        <w:jc w:val="both"/>
      </w:pPr>
      <w:r>
        <w:rPr>
          <w:rFonts w:ascii="宋体" w:hAnsi="宋体" w:eastAsia="宋体"/>
          <w:sz w:val="21"/>
        </w:rPr>
        <w:t>当前证据链由五部分组成：多种子基线确认基本性能；固定映射证明并实证角色风险收缩；一致性消融显示双头 KL、TV 和预测分歧下降；温度校准与独立认证把描述性置信度曲线升级为预设风险约束；摄影者留出和代理消融检验来源偏差与数据构成。结果支持分层模型在严格来源留出中的改进趋势，但尚不能声称跨网站、真实矿石或工业现场有效。</w:t>
      </w:r>
    </w:p>
    <w:p w14:paraId="01CF470D" w14:textId="77777777" w:rsidR="00B8619C" w:rsidRDefault="00000000">
      <w:pPr>
        <w:pStyle w:val="1"/>
        <w:pageBreakBefore/>
      </w:pPr>
      <w:r>
        <w:lastRenderedPageBreak/>
        <w:t xml:space="preserve">6 </w:t>
      </w:r>
      <w:r>
        <w:t>阶段性方法贡献与成果</w:t>
      </w:r>
    </w:p>
    <w:p w14:paraId="07E56F8E" w14:textId="77777777" w:rsidR="00B8619C" w:rsidRDefault="00000000">
      <w:pPr>
        <w:pStyle w:val="21"/>
      </w:pPr>
      <w:r>
        <w:t xml:space="preserve">6.1 </w:t>
      </w:r>
      <w:r>
        <w:t>阶段性方法贡献</w:t>
      </w:r>
    </w:p>
    <w:tbl>
      <w:tblPr>
        <w:tblStyle w:val="aff1"/>
        <w:tblW w:w="0" w:type="auto"/>
        <w:jc w:val="center"/>
        <w:tblLayout w:type="fixed"/>
        <w:tblLook w:val="04A0" w:firstRow="1" w:lastRow="0" w:firstColumn="1" w:lastColumn="0" w:noHBand="0" w:noVBand="1"/>
      </w:tblPr>
      <w:tblGrid>
        <w:gridCol w:w="680"/>
        <w:gridCol w:w="2381"/>
        <w:gridCol w:w="6123"/>
      </w:tblGrid>
      <w:tr w:rsidR="00B8619C" w14:paraId="09E6EB6D" w14:textId="77777777">
        <w:trPr>
          <w:cantSplit/>
          <w:tblHeader/>
          <w:jc w:val="center"/>
        </w:trPr>
        <w:tc>
          <w:tcPr>
            <w:tcW w:w="680" w:type="dxa"/>
            <w:shd w:val="clear" w:color="auto" w:fill="D9EAF7"/>
            <w:tcMar>
              <w:top w:w="80" w:type="dxa"/>
              <w:left w:w="90" w:type="dxa"/>
              <w:bottom w:w="80" w:type="dxa"/>
              <w:right w:w="90" w:type="dxa"/>
            </w:tcMar>
            <w:vAlign w:val="center"/>
          </w:tcPr>
          <w:p w14:paraId="07F5460D" w14:textId="77777777" w:rsidR="00B8619C" w:rsidRDefault="00000000">
            <w:pPr>
              <w:spacing w:after="0" w:line="264" w:lineRule="auto"/>
              <w:jc w:val="center"/>
            </w:pPr>
            <w:r>
              <w:rPr>
                <w:rFonts w:eastAsia="黑体"/>
                <w:b/>
                <w:sz w:val="16"/>
              </w:rPr>
              <w:t>序号</w:t>
            </w:r>
          </w:p>
        </w:tc>
        <w:tc>
          <w:tcPr>
            <w:tcW w:w="2381" w:type="dxa"/>
            <w:shd w:val="clear" w:color="auto" w:fill="D9EAF7"/>
            <w:tcMar>
              <w:top w:w="80" w:type="dxa"/>
              <w:left w:w="90" w:type="dxa"/>
              <w:bottom w:w="80" w:type="dxa"/>
              <w:right w:w="90" w:type="dxa"/>
            </w:tcMar>
            <w:vAlign w:val="center"/>
          </w:tcPr>
          <w:p w14:paraId="678D1250" w14:textId="77777777" w:rsidR="00B8619C" w:rsidRDefault="00000000">
            <w:pPr>
              <w:spacing w:after="0" w:line="264" w:lineRule="auto"/>
              <w:jc w:val="center"/>
            </w:pPr>
            <w:r>
              <w:rPr>
                <w:rFonts w:eastAsia="黑体"/>
                <w:b/>
                <w:sz w:val="16"/>
              </w:rPr>
              <w:t>贡献类型</w:t>
            </w:r>
          </w:p>
        </w:tc>
        <w:tc>
          <w:tcPr>
            <w:tcW w:w="6123" w:type="dxa"/>
            <w:shd w:val="clear" w:color="auto" w:fill="D9EAF7"/>
            <w:tcMar>
              <w:top w:w="80" w:type="dxa"/>
              <w:left w:w="90" w:type="dxa"/>
              <w:bottom w:w="80" w:type="dxa"/>
              <w:right w:w="90" w:type="dxa"/>
            </w:tcMar>
            <w:vAlign w:val="center"/>
          </w:tcPr>
          <w:p w14:paraId="2A048173" w14:textId="77777777" w:rsidR="00B8619C" w:rsidRDefault="00000000">
            <w:pPr>
              <w:spacing w:after="0" w:line="264" w:lineRule="auto"/>
              <w:jc w:val="center"/>
            </w:pPr>
            <w:r>
              <w:rPr>
                <w:rFonts w:eastAsia="黑体"/>
                <w:b/>
                <w:sz w:val="16"/>
              </w:rPr>
              <w:t>具体体现与边界</w:t>
            </w:r>
          </w:p>
        </w:tc>
      </w:tr>
      <w:tr w:rsidR="00B8619C" w14:paraId="17F01024" w14:textId="77777777">
        <w:trPr>
          <w:cantSplit/>
          <w:jc w:val="center"/>
        </w:trPr>
        <w:tc>
          <w:tcPr>
            <w:tcW w:w="680" w:type="dxa"/>
            <w:tcMar>
              <w:top w:w="80" w:type="dxa"/>
              <w:left w:w="90" w:type="dxa"/>
              <w:bottom w:w="80" w:type="dxa"/>
              <w:right w:w="90" w:type="dxa"/>
            </w:tcMar>
            <w:vAlign w:val="center"/>
          </w:tcPr>
          <w:p w14:paraId="7AE2757B" w14:textId="77777777" w:rsidR="00B8619C" w:rsidRDefault="00000000">
            <w:pPr>
              <w:spacing w:after="0" w:line="264" w:lineRule="auto"/>
            </w:pPr>
            <w:r>
              <w:rPr>
                <w:sz w:val="16"/>
              </w:rPr>
              <w:t>1</w:t>
            </w:r>
          </w:p>
        </w:tc>
        <w:tc>
          <w:tcPr>
            <w:tcW w:w="2381" w:type="dxa"/>
            <w:tcMar>
              <w:top w:w="80" w:type="dxa"/>
              <w:left w:w="90" w:type="dxa"/>
              <w:bottom w:w="80" w:type="dxa"/>
              <w:right w:w="90" w:type="dxa"/>
            </w:tcMar>
            <w:vAlign w:val="center"/>
          </w:tcPr>
          <w:p w14:paraId="5CC1FB6C" w14:textId="77777777" w:rsidR="00B8619C" w:rsidRDefault="00000000">
            <w:pPr>
              <w:spacing w:after="0" w:line="264" w:lineRule="auto"/>
            </w:pPr>
            <w:r>
              <w:rPr>
                <w:sz w:val="16"/>
              </w:rPr>
              <w:t>领域问题形式化</w:t>
            </w:r>
          </w:p>
        </w:tc>
        <w:tc>
          <w:tcPr>
            <w:tcW w:w="6123" w:type="dxa"/>
            <w:tcMar>
              <w:top w:w="80" w:type="dxa"/>
              <w:left w:w="90" w:type="dxa"/>
              <w:bottom w:w="80" w:type="dxa"/>
              <w:right w:w="90" w:type="dxa"/>
            </w:tcMar>
            <w:vAlign w:val="center"/>
          </w:tcPr>
          <w:p w14:paraId="18D7554C" w14:textId="77777777" w:rsidR="00B8619C" w:rsidRDefault="00000000">
            <w:pPr>
              <w:spacing w:after="0" w:line="264" w:lineRule="auto"/>
            </w:pPr>
            <w:r>
              <w:rPr>
                <w:sz w:val="16"/>
              </w:rPr>
              <w:t>用固定种类</w:t>
            </w:r>
            <w:r>
              <w:rPr>
                <w:sz w:val="16"/>
              </w:rPr>
              <w:t>—</w:t>
            </w:r>
            <w:r>
              <w:rPr>
                <w:sz w:val="16"/>
              </w:rPr>
              <w:t>角色映射说明候选种类歧义在同角色条件下可被粗化消去；属于当前标签体系的集合映射性质，不主张一般理论创新。</w:t>
            </w:r>
          </w:p>
        </w:tc>
      </w:tr>
      <w:tr w:rsidR="00B8619C" w14:paraId="25827FDA" w14:textId="77777777">
        <w:trPr>
          <w:cantSplit/>
          <w:jc w:val="center"/>
        </w:trPr>
        <w:tc>
          <w:tcPr>
            <w:tcW w:w="680" w:type="dxa"/>
            <w:tcMar>
              <w:top w:w="80" w:type="dxa"/>
              <w:left w:w="90" w:type="dxa"/>
              <w:bottom w:w="80" w:type="dxa"/>
              <w:right w:w="90" w:type="dxa"/>
            </w:tcMar>
            <w:vAlign w:val="center"/>
          </w:tcPr>
          <w:p w14:paraId="6FA7EC26" w14:textId="77777777" w:rsidR="00B8619C" w:rsidRDefault="00000000">
            <w:pPr>
              <w:spacing w:after="0" w:line="264" w:lineRule="auto"/>
            </w:pPr>
            <w:r>
              <w:rPr>
                <w:sz w:val="16"/>
              </w:rPr>
              <w:t>2</w:t>
            </w:r>
          </w:p>
        </w:tc>
        <w:tc>
          <w:tcPr>
            <w:tcW w:w="2381" w:type="dxa"/>
            <w:tcMar>
              <w:top w:w="80" w:type="dxa"/>
              <w:left w:w="90" w:type="dxa"/>
              <w:bottom w:w="80" w:type="dxa"/>
              <w:right w:w="90" w:type="dxa"/>
            </w:tcMar>
            <w:vAlign w:val="center"/>
          </w:tcPr>
          <w:p w14:paraId="181B5B0E" w14:textId="77777777" w:rsidR="00B8619C" w:rsidRDefault="00000000">
            <w:pPr>
              <w:spacing w:after="0" w:line="264" w:lineRule="auto"/>
            </w:pPr>
            <w:r>
              <w:rPr>
                <w:sz w:val="16"/>
              </w:rPr>
              <w:t>主要方法贡献</w:t>
            </w:r>
          </w:p>
        </w:tc>
        <w:tc>
          <w:tcPr>
            <w:tcW w:w="6123" w:type="dxa"/>
            <w:tcMar>
              <w:top w:w="80" w:type="dxa"/>
              <w:left w:w="90" w:type="dxa"/>
              <w:bottom w:w="80" w:type="dxa"/>
              <w:right w:w="90" w:type="dxa"/>
            </w:tcMar>
            <w:vAlign w:val="center"/>
          </w:tcPr>
          <w:p w14:paraId="6C80D544" w14:textId="77777777" w:rsidR="00B8619C" w:rsidRDefault="00000000">
            <w:pPr>
              <w:spacing w:after="0" w:line="264" w:lineRule="auto"/>
            </w:pPr>
            <w:r>
              <w:rPr>
                <w:sz w:val="17"/>
              </w:rPr>
              <w:t>在共享视觉特征上联合角色、种类、目标代理和困难负样本学习，并以</w:t>
            </w:r>
            <w:r>
              <w:rPr>
                <w:sz w:val="17"/>
              </w:rPr>
              <w:t xml:space="preserve"> D_KL(A p_s || p_r)</w:t>
            </w:r>
            <w:r>
              <w:rPr>
                <w:sz w:val="17"/>
              </w:rPr>
              <w:t>约束当前实现中的层级一致性。</w:t>
            </w:r>
          </w:p>
        </w:tc>
      </w:tr>
      <w:tr w:rsidR="00B8619C" w14:paraId="02CFA596" w14:textId="77777777">
        <w:trPr>
          <w:cantSplit/>
          <w:jc w:val="center"/>
        </w:trPr>
        <w:tc>
          <w:tcPr>
            <w:tcW w:w="680" w:type="dxa"/>
            <w:tcMar>
              <w:top w:w="80" w:type="dxa"/>
              <w:left w:w="90" w:type="dxa"/>
              <w:bottom w:w="80" w:type="dxa"/>
              <w:right w:w="90" w:type="dxa"/>
            </w:tcMar>
            <w:vAlign w:val="center"/>
          </w:tcPr>
          <w:p w14:paraId="1A6F8246" w14:textId="77777777" w:rsidR="00B8619C" w:rsidRDefault="00000000">
            <w:pPr>
              <w:spacing w:after="0" w:line="264" w:lineRule="auto"/>
            </w:pPr>
            <w:r>
              <w:rPr>
                <w:sz w:val="16"/>
              </w:rPr>
              <w:t>3</w:t>
            </w:r>
          </w:p>
        </w:tc>
        <w:tc>
          <w:tcPr>
            <w:tcW w:w="2381" w:type="dxa"/>
            <w:tcMar>
              <w:top w:w="80" w:type="dxa"/>
              <w:left w:w="90" w:type="dxa"/>
              <w:bottom w:w="80" w:type="dxa"/>
              <w:right w:w="90" w:type="dxa"/>
            </w:tcMar>
            <w:vAlign w:val="center"/>
          </w:tcPr>
          <w:p w14:paraId="42E5741F" w14:textId="77777777" w:rsidR="00B8619C" w:rsidRDefault="00000000">
            <w:pPr>
              <w:spacing w:after="0" w:line="264" w:lineRule="auto"/>
            </w:pPr>
            <w:r>
              <w:rPr>
                <w:sz w:val="16"/>
              </w:rPr>
              <w:t>风险导向评价贡献</w:t>
            </w:r>
          </w:p>
        </w:tc>
        <w:tc>
          <w:tcPr>
            <w:tcW w:w="6123" w:type="dxa"/>
            <w:tcMar>
              <w:top w:w="80" w:type="dxa"/>
              <w:left w:w="90" w:type="dxa"/>
              <w:bottom w:w="80" w:type="dxa"/>
              <w:right w:w="90" w:type="dxa"/>
            </w:tcMar>
            <w:vAlign w:val="center"/>
          </w:tcPr>
          <w:p w14:paraId="77A4A80B" w14:textId="77777777" w:rsidR="00B8619C" w:rsidRDefault="00000000">
            <w:pPr>
              <w:spacing w:after="0" w:line="264" w:lineRule="auto"/>
            </w:pPr>
            <w:r>
              <w:rPr>
                <w:sz w:val="16"/>
              </w:rPr>
              <w:t>除</w:t>
            </w:r>
            <w:r>
              <w:rPr>
                <w:sz w:val="16"/>
              </w:rPr>
              <w:t xml:space="preserve"> Macro F1 </w:t>
            </w:r>
            <w:r>
              <w:rPr>
                <w:sz w:val="16"/>
              </w:rPr>
              <w:t>外报告目标漏选、困难干扰误入目标和风险</w:t>
            </w:r>
            <w:r>
              <w:rPr>
                <w:sz w:val="16"/>
              </w:rPr>
              <w:t>—</w:t>
            </w:r>
            <w:r>
              <w:rPr>
                <w:sz w:val="16"/>
              </w:rPr>
              <w:t>覆盖率关系；选择性评价属于协议贡献，不是新的分类算法。</w:t>
            </w:r>
          </w:p>
        </w:tc>
      </w:tr>
    </w:tbl>
    <w:p w14:paraId="73101B12" w14:textId="77777777" w:rsidR="00B8619C" w:rsidRDefault="00000000">
      <w:pPr>
        <w:pStyle w:val="af7"/>
        <w:keepNext/>
        <w:spacing w:after="100" w:line="360" w:lineRule="auto"/>
        <w:jc w:val="center"/>
      </w:pPr>
      <w:r>
        <w:rPr>
          <w:rFonts w:ascii="宋体" w:hAnsi="宋体" w:eastAsia="宋体"/>
          <w:sz w:val="21"/>
        </w:rPr>
        <w:t>表 28 本阶段方法贡献及其解释边界</w:t>
      </w:r>
    </w:p>
    <w:p w14:paraId="4BEB687E" w14:textId="77777777" w:rsidR="00B8619C" w:rsidRDefault="00000000">
      <w:pPr>
        <w:spacing w:line="360" w:lineRule="auto"/>
        <w:ind w:firstLine="420"/>
        <w:jc w:val="both"/>
      </w:pPr>
      <w:r>
        <w:rPr>
          <w:rFonts w:ascii="宋体" w:hAnsi="宋体" w:eastAsia="宋体"/>
          <w:sz w:val="21"/>
        </w:rPr>
        <w:t>本次修订把方法贡献限定为相互衔接且可证伪的四层结构：其一，固定种类--角色映射把 17 类矿物种类后验聚合为四角色后验，并限定其只服务于公开标本图像的视觉角色识别；其二，KL 一致性通过 Pinsker 不等式控制直接角色头与种类映射头的分布差异；其三，RSG-HRGV 以直接角色专家和种类映射专家的真实类对数损失差构造软最优门控目标，并以差距权重训练门控。定理 B.1--B.3 分别给出门控误差的路由后悔上界、软目标对硬最优门控的指数逼近和后悔分支的局部梯度隔离。固定测试与摄影者留出确认均支持所定义平均路由后悔下降，但不构成总体分类性能优势；其四，M-RPG 的容量归一化、单调门控和凸融合性质作为理论扩展保留，五随机种子扩展未确认稳定经验增益。来源留出、代理消融及上述负结果共同限定这些结论的适用边界。</w:t>
      </w:r>
    </w:p>
    <w:p w14:paraId="21148A5C" w14:textId="77777777" w:rsidR="00B8619C" w:rsidRDefault="00000000">
      <w:pPr>
        <w:pStyle w:val="21"/>
      </w:pPr>
      <w:r>
        <w:t xml:space="preserve">6.2 </w:t>
      </w:r>
      <w:r>
        <w:t>与已有工作的区别</w:t>
      </w:r>
    </w:p>
    <w:p w14:paraId="2C0CA412" w14:textId="77777777" w:rsidR="00B8619C" w:rsidRDefault="00000000">
      <w:pPr>
        <w:ind w:firstLine="420"/>
        <w:jc w:val="both"/>
      </w:pPr>
      <w:r>
        <w:t>与宁金</w:t>
      </w:r>
      <w:r>
        <w:t>[10]</w:t>
      </w:r>
      <w:r>
        <w:t>的真实钒钛矿石良品</w:t>
      </w:r>
      <w:r>
        <w:t>/</w:t>
      </w:r>
      <w:r>
        <w:t>次品二分类不同，本研究使用来源异构的公开矿物标本图像，任务重点是矿物种类及其四类视觉角色之间的混淆分析。与通用</w:t>
      </w:r>
      <w:r>
        <w:t xml:space="preserve"> Mindat </w:t>
      </w:r>
      <w:r>
        <w:t>多标签研究</w:t>
      </w:r>
      <w:r>
        <w:t>[4]</w:t>
      </w:r>
      <w:r>
        <w:t>相比，本研究尚未建立真实多标签标注，而是通过</w:t>
      </w:r>
      <w:r>
        <w:t xml:space="preserve"> mixed_uncertain </w:t>
      </w:r>
      <w:r>
        <w:t>隔离和固定映射开展初步层级分析。与</w:t>
      </w:r>
      <w:r>
        <w:t xml:space="preserve"> OOD </w:t>
      </w:r>
      <w:r>
        <w:t>研究</w:t>
      </w:r>
      <w:r>
        <w:t>[5]</w:t>
      </w:r>
      <w:r>
        <w:t>相比，本研究尚无独立未知矿物测试集。因此，本阶段的优势主要是数据追溯、近重复组控制、多随机种子和面向困难干扰的风险分析，而不是首次使用深度学习或首次开展钒钛矿视觉分选。</w:t>
      </w:r>
    </w:p>
    <w:p w14:paraId="7BFF064D" w14:textId="77777777" w:rsidR="00B8619C" w:rsidRDefault="00000000">
      <w:pPr>
        <w:pStyle w:val="21"/>
      </w:pPr>
      <w:r>
        <w:t xml:space="preserve">6.3 </w:t>
      </w:r>
      <w:r>
        <w:t>阶段性成果</w:t>
      </w:r>
    </w:p>
    <w:p w14:paraId="01A1A7EB" w14:textId="77777777" w:rsidR="00B8619C" w:rsidRDefault="00000000">
      <w:pPr>
        <w:ind w:firstLine="420"/>
        <w:jc w:val="both"/>
      </w:pPr>
      <w:r>
        <w:t>项目已形成数据清单、质量审计记录、训练与测试脚本、模型结果、组件消融、错误分析文件、理论检查输出和可用于论文</w:t>
      </w:r>
      <w:r>
        <w:t>/</w:t>
      </w:r>
      <w:r>
        <w:t>报告的图表。原始公开图像因授权与来源差异不在公开仓库整体分发，但可通过元数据、图片编号和下载流程进行核验与再获取。</w:t>
      </w:r>
    </w:p>
    <w:p w14:paraId="31B3A43C" w14:textId="77777777" w:rsidR="00B8619C" w:rsidRDefault="00000000">
      <w:pPr>
        <w:pStyle w:val="1"/>
        <w:pageBreakBefore/>
      </w:pPr>
      <w:r>
        <w:lastRenderedPageBreak/>
        <w:t xml:space="preserve">7 </w:t>
      </w:r>
      <w:r>
        <w:t>局限性与后续研究</w:t>
      </w:r>
    </w:p>
    <w:p w14:paraId="53B05EAC" w14:textId="77777777" w:rsidR="00B8619C" w:rsidRDefault="00000000">
      <w:pPr>
        <w:pStyle w:val="21"/>
      </w:pPr>
      <w:r>
        <w:t xml:space="preserve">7.1 </w:t>
      </w:r>
      <w:r>
        <w:t>当前局限性</w:t>
      </w:r>
    </w:p>
    <w:tbl>
      <w:tblPr>
        <w:tblStyle w:val="aff1"/>
        <w:tblW w:w="0" w:type="auto"/>
        <w:jc w:val="center"/>
        <w:tblLayout w:type="fixed"/>
        <w:tblLook w:val="04A0" w:firstRow="1" w:lastRow="0" w:firstColumn="1" w:lastColumn="0" w:noHBand="0" w:noVBand="1"/>
      </w:tblPr>
      <w:tblGrid>
        <w:gridCol w:w="2268"/>
        <w:gridCol w:w="3515"/>
        <w:gridCol w:w="3402"/>
      </w:tblGrid>
      <w:tr w:rsidR="00B8619C" w14:paraId="733E8501" w14:textId="77777777">
        <w:trPr>
          <w:cantSplit/>
          <w:tblHeader/>
          <w:jc w:val="center"/>
          <w:tblHeader w:val="true"/>
        </w:trPr>
        <w:tc>
          <w:tcPr>
            <w:tcW w:w="2267" w:type="dxa"/>
            <w:shd w:val="clear" w:color="auto" w:fill="D9EAF7"/>
            <w:tcMar>
              <w:top w:w="80" w:type="dxa"/>
              <w:left w:w="90" w:type="dxa"/>
              <w:bottom w:w="80" w:type="dxa"/>
              <w:right w:w="90" w:type="dxa"/>
            </w:tcMar>
            <w:vAlign w:val="center"/>
            <w:shd w:fill="D9EAF7"/>
          </w:tcPr>
          <w:p w14:paraId="302CDFC3" w14:textId="77777777" w:rsidR="00B8619C" w:rsidRDefault="00000000">
            <w:pPr>
              <w:spacing w:after="30" w:line="252" w:lineRule="auto" w:before="30"/>
              <w:jc w:val="center"/>
            </w:pPr>
            <w:r>
              <w:rPr>
                <w:rFonts w:eastAsia="黑体" w:ascii="黑体" w:hAnsi="黑体"/>
                <w:b/>
                <w:sz w:val="18"/>
              </w:rPr>
              <w:t>问题</w:t>
            </w:r>
          </w:p>
        </w:tc>
        <w:tc>
          <w:tcPr>
            <w:tcW w:w="3401" w:type="dxa"/>
            <w:shd w:val="clear" w:color="auto" w:fill="D9EAF7"/>
            <w:tcMar>
              <w:top w:w="80" w:type="dxa"/>
              <w:left w:w="90" w:type="dxa"/>
              <w:bottom w:w="80" w:type="dxa"/>
              <w:right w:w="90" w:type="dxa"/>
            </w:tcMar>
            <w:vAlign w:val="center"/>
            <w:shd w:fill="D9EAF7"/>
          </w:tcPr>
          <w:p w14:paraId="449113F5" w14:textId="77777777" w:rsidR="00B8619C" w:rsidRDefault="00000000">
            <w:pPr>
              <w:spacing w:after="30" w:line="252" w:lineRule="auto" w:before="30"/>
              <w:jc w:val="center"/>
            </w:pPr>
            <w:r>
              <w:rPr>
                <w:rFonts w:eastAsia="黑体" w:ascii="黑体" w:hAnsi="黑体"/>
                <w:b/>
                <w:sz w:val="18"/>
              </w:rPr>
              <w:t>对结果解释的影响</w:t>
            </w:r>
          </w:p>
        </w:tc>
        <w:tc>
          <w:tcPr>
            <w:tcW w:w="3401" w:type="dxa"/>
            <w:shd w:val="clear" w:color="auto" w:fill="D9EAF7"/>
            <w:tcMar>
              <w:top w:w="80" w:type="dxa"/>
              <w:left w:w="90" w:type="dxa"/>
              <w:bottom w:w="80" w:type="dxa"/>
              <w:right w:w="90" w:type="dxa"/>
            </w:tcMar>
            <w:vAlign w:val="center"/>
            <w:shd w:fill="D9EAF7"/>
          </w:tcPr>
          <w:p w14:paraId="0CB768DC" w14:textId="77777777" w:rsidR="00B8619C" w:rsidRDefault="00000000">
            <w:pPr>
              <w:spacing w:after="30" w:line="252" w:lineRule="auto" w:before="30"/>
              <w:jc w:val="center"/>
            </w:pPr>
            <w:r>
              <w:rPr>
                <w:rFonts w:eastAsia="黑体" w:ascii="黑体" w:hAnsi="黑体"/>
                <w:b/>
                <w:sz w:val="18"/>
              </w:rPr>
              <w:t>处理原则</w:t>
            </w:r>
          </w:p>
        </w:tc>
      </w:tr>
      <w:tr w:rsidR="00B8619C" w14:paraId="0A6AAC94" w14:textId="77777777">
        <w:trPr>
          <w:cantSplit/>
          <w:jc w:val="center"/>
        </w:trPr>
        <w:tc>
          <w:tcPr>
            <w:tcW w:w="2267" w:type="dxa"/>
            <w:tcMar>
              <w:top w:w="80" w:type="dxa"/>
              <w:left w:w="90" w:type="dxa"/>
              <w:bottom w:w="80" w:type="dxa"/>
              <w:right w:w="90" w:type="dxa"/>
            </w:tcMar>
            <w:vAlign w:val="center"/>
          </w:tcPr>
          <w:p w14:paraId="40816356" w14:textId="77777777" w:rsidR="00B8619C" w:rsidRDefault="00000000">
            <w:pPr>
              <w:spacing w:after="30" w:line="252" w:lineRule="auto" w:before="30"/>
              <w:jc w:val="center"/>
            </w:pPr>
            <w:r>
              <w:rPr>
                <w:rFonts w:ascii="宋体" w:hAnsi="宋体" w:eastAsia="宋体"/>
                <w:b w:val="0"/>
                <w:sz w:val="18"/>
              </w:rPr>
              <w:t>公开标本图像与工业现场差异</w:t>
            </w:r>
          </w:p>
        </w:tc>
        <w:tc>
          <w:tcPr>
            <w:tcW w:w="3401" w:type="dxa"/>
            <w:tcMar>
              <w:top w:w="80" w:type="dxa"/>
              <w:left w:w="90" w:type="dxa"/>
              <w:bottom w:w="80" w:type="dxa"/>
              <w:right w:w="90" w:type="dxa"/>
            </w:tcMar>
            <w:vAlign w:val="center"/>
          </w:tcPr>
          <w:p w14:paraId="3ECCAA57" w14:textId="77777777" w:rsidR="00B8619C" w:rsidRDefault="00000000">
            <w:pPr>
              <w:spacing w:after="30" w:line="252" w:lineRule="auto" w:before="30"/>
              <w:jc w:val="center"/>
            </w:pPr>
            <w:r>
              <w:rPr>
                <w:rFonts w:ascii="宋体" w:hAnsi="宋体" w:eastAsia="宋体"/>
                <w:b w:val="0"/>
                <w:sz w:val="18"/>
              </w:rPr>
              <w:t>不能将当前准确率等同于皮带分选性能或生产指标</w:t>
            </w:r>
          </w:p>
        </w:tc>
        <w:tc>
          <w:tcPr>
            <w:tcW w:w="3401" w:type="dxa"/>
            <w:tcMar>
              <w:top w:w="80" w:type="dxa"/>
              <w:left w:w="90" w:type="dxa"/>
              <w:bottom w:w="80" w:type="dxa"/>
              <w:right w:w="90" w:type="dxa"/>
            </w:tcMar>
            <w:vAlign w:val="center"/>
          </w:tcPr>
          <w:p w14:paraId="4CAFAC1D" w14:textId="77777777" w:rsidR="00B8619C" w:rsidRDefault="00000000">
            <w:pPr>
              <w:spacing w:after="30" w:line="252" w:lineRule="auto" w:before="30"/>
              <w:jc w:val="center"/>
            </w:pPr>
            <w:r>
              <w:rPr>
                <w:rFonts w:ascii="宋体" w:hAnsi="宋体" w:eastAsia="宋体"/>
                <w:b w:val="0"/>
                <w:sz w:val="18"/>
              </w:rPr>
              <w:t>定位为公开标本图像源域验证</w:t>
            </w:r>
          </w:p>
        </w:tc>
      </w:tr>
      <w:tr w:rsidR="00B8619C" w14:paraId="6A811A37" w14:textId="77777777">
        <w:trPr>
          <w:cantSplit/>
          <w:jc w:val="center"/>
        </w:trPr>
        <w:tc>
          <w:tcPr>
            <w:tcW w:w="2267" w:type="dxa"/>
            <w:tcMar>
              <w:top w:w="80" w:type="dxa"/>
              <w:left w:w="90" w:type="dxa"/>
              <w:bottom w:w="80" w:type="dxa"/>
              <w:right w:w="90" w:type="dxa"/>
            </w:tcMar>
            <w:vAlign w:val="center"/>
          </w:tcPr>
          <w:p w14:paraId="396B6DA7" w14:textId="77777777" w:rsidR="00B8619C" w:rsidRDefault="00000000">
            <w:pPr>
              <w:spacing w:after="30" w:line="252" w:lineRule="auto" w:before="30"/>
              <w:jc w:val="center"/>
            </w:pPr>
            <w:r>
              <w:rPr>
                <w:rFonts w:ascii="宋体" w:hAnsi="宋体" w:eastAsia="宋体"/>
                <w:b w:val="0"/>
                <w:sz w:val="18"/>
              </w:rPr>
              <w:t xml:space="preserve">titanomagnetite </w:t>
            </w:r>
            <w:r>
              <w:rPr>
                <w:rFonts w:ascii="宋体" w:hAnsi="宋体" w:eastAsia="宋体"/>
                <w:b w:val="0"/>
                <w:sz w:val="18"/>
              </w:rPr>
              <w:t>仅</w:t>
            </w:r>
            <w:r>
              <w:rPr>
                <w:rFonts w:ascii="宋体" w:hAnsi="宋体" w:eastAsia="宋体"/>
                <w:b w:val="0"/>
                <w:sz w:val="18"/>
              </w:rPr>
              <w:t xml:space="preserve"> 23 </w:t>
            </w:r>
            <w:r>
              <w:rPr>
                <w:rFonts w:ascii="宋体" w:hAnsi="宋体" w:eastAsia="宋体"/>
                <w:b w:val="0"/>
                <w:sz w:val="18"/>
              </w:rPr>
              <w:t>张</w:t>
            </w:r>
          </w:p>
        </w:tc>
        <w:tc>
          <w:tcPr>
            <w:tcW w:w="3401" w:type="dxa"/>
            <w:tcMar>
              <w:top w:w="80" w:type="dxa"/>
              <w:left w:w="90" w:type="dxa"/>
              <w:bottom w:w="80" w:type="dxa"/>
              <w:right w:w="90" w:type="dxa"/>
            </w:tcMar>
            <w:vAlign w:val="center"/>
          </w:tcPr>
          <w:p w14:paraId="695A68DF" w14:textId="77777777" w:rsidR="00B8619C" w:rsidRDefault="00000000">
            <w:pPr>
              <w:spacing w:after="30" w:line="252" w:lineRule="auto" w:before="30"/>
              <w:jc w:val="center"/>
            </w:pPr>
            <w:r>
              <w:rPr>
                <w:rFonts w:ascii="宋体" w:hAnsi="宋体" w:eastAsia="宋体"/>
                <w:b w:val="0"/>
                <w:sz w:val="18"/>
              </w:rPr>
              <w:t>不足以支持钛磁铁矿独立细分类结论</w:t>
            </w:r>
          </w:p>
        </w:tc>
        <w:tc>
          <w:tcPr>
            <w:tcW w:w="3401" w:type="dxa"/>
            <w:tcMar>
              <w:top w:w="80" w:type="dxa"/>
              <w:left w:w="90" w:type="dxa"/>
              <w:bottom w:w="80" w:type="dxa"/>
              <w:right w:w="90" w:type="dxa"/>
            </w:tcMar>
            <w:vAlign w:val="center"/>
          </w:tcPr>
          <w:p w14:paraId="4C761E9C" w14:textId="77777777" w:rsidR="00B8619C" w:rsidRDefault="00000000">
            <w:pPr>
              <w:spacing w:after="30" w:line="252" w:lineRule="auto" w:before="30"/>
              <w:jc w:val="center"/>
            </w:pPr>
            <w:r>
              <w:rPr>
                <w:rFonts w:ascii="宋体" w:hAnsi="宋体" w:eastAsia="宋体"/>
                <w:b w:val="0"/>
                <w:sz w:val="18"/>
              </w:rPr>
              <w:t>作为合并目标类补充，并优先扩充</w:t>
            </w:r>
          </w:p>
        </w:tc>
      </w:tr>
      <w:tr w:rsidR="00B8619C" w14:paraId="74F0C398" w14:textId="77777777">
        <w:trPr>
          <w:cantSplit/>
          <w:jc w:val="center"/>
        </w:trPr>
        <w:tc>
          <w:tcPr>
            <w:tcW w:w="2267" w:type="dxa"/>
            <w:tcMar>
              <w:top w:w="80" w:type="dxa"/>
              <w:left w:w="90" w:type="dxa"/>
              <w:bottom w:w="80" w:type="dxa"/>
              <w:right w:w="90" w:type="dxa"/>
            </w:tcMar>
            <w:vAlign w:val="center"/>
          </w:tcPr>
          <w:p w14:paraId="75D79E1F" w14:textId="77777777" w:rsidR="00B8619C" w:rsidRDefault="00000000">
            <w:pPr>
              <w:spacing w:after="30" w:line="252" w:lineRule="auto" w:before="30"/>
              <w:jc w:val="center"/>
            </w:pPr>
            <w:r>
              <w:rPr>
                <w:rFonts w:ascii="宋体" w:hAnsi="宋体" w:eastAsia="宋体"/>
                <w:b w:val="0"/>
                <w:sz w:val="18"/>
              </w:rPr>
              <w:t>普通</w:t>
            </w:r>
            <w:r>
              <w:rPr>
                <w:rFonts w:ascii="宋体" w:hAnsi="宋体" w:eastAsia="宋体"/>
                <w:b w:val="0"/>
                <w:sz w:val="18"/>
              </w:rPr>
              <w:t xml:space="preserve"> magnetite </w:t>
            </w:r>
            <w:r>
              <w:rPr>
                <w:rFonts w:ascii="宋体" w:hAnsi="宋体" w:eastAsia="宋体"/>
                <w:b w:val="0"/>
                <w:sz w:val="18"/>
              </w:rPr>
              <w:t>作为代理</w:t>
            </w:r>
          </w:p>
        </w:tc>
        <w:tc>
          <w:tcPr>
            <w:tcW w:w="3401" w:type="dxa"/>
            <w:tcMar>
              <w:top w:w="80" w:type="dxa"/>
              <w:left w:w="90" w:type="dxa"/>
              <w:bottom w:w="80" w:type="dxa"/>
              <w:right w:w="90" w:type="dxa"/>
            </w:tcMar>
            <w:vAlign w:val="center"/>
          </w:tcPr>
          <w:p>
            <w:pPr>
              <w:spacing w:before="30" w:after="30" w:line="252" w:lineRule="auto"/>
              <w:jc w:val="center"/>
            </w:pPr>
            <w:r>
              <w:rPr>
                <w:rFonts w:ascii="宋体" w:hAnsi="宋体" w:eastAsia="宋体"/>
                <w:b w:val="0"/>
                <w:sz w:val="18"/>
              </w:rPr>
              <w:t>代理样本提高目标召回，但不能代表真实钛磁铁矿能力</w:t>
            </w:r>
          </w:p>
        </w:tc>
        <w:tc>
          <w:tcPr>
            <w:tcW w:w="3401" w:type="dxa"/>
            <w:tcMar>
              <w:top w:w="80" w:type="dxa"/>
              <w:left w:w="90" w:type="dxa"/>
              <w:bottom w:w="80" w:type="dxa"/>
              <w:right w:w="90" w:type="dxa"/>
            </w:tcMar>
            <w:vAlign w:val="center"/>
          </w:tcPr>
          <w:p>
            <w:pPr>
              <w:spacing w:before="30" w:after="30" w:line="252" w:lineRule="auto"/>
              <w:jc w:val="center"/>
            </w:pPr>
            <w:r>
              <w:rPr>
                <w:rFonts w:ascii="宋体" w:hAnsi="宋体" w:eastAsia="宋体"/>
                <w:b w:val="0"/>
                <w:sz w:val="18"/>
              </w:rPr>
              <w:t>已完成使用/不使用代理消融，并单列钛磁铁矿小样本限制</w:t>
            </w:r>
          </w:p>
        </w:tc>
      </w:tr>
      <w:tr w:rsidR="00B8619C" w14:paraId="57C57211" w14:textId="77777777">
        <w:trPr>
          <w:cantSplit/>
          <w:jc w:val="center"/>
        </w:trPr>
        <w:tc>
          <w:tcPr>
            <w:tcW w:w="2267" w:type="dxa"/>
            <w:tcMar>
              <w:top w:w="80" w:type="dxa"/>
              <w:left w:w="90" w:type="dxa"/>
              <w:bottom w:w="80" w:type="dxa"/>
              <w:right w:w="90" w:type="dxa"/>
            </w:tcMar>
            <w:vAlign w:val="center"/>
          </w:tcPr>
          <w:p w14:paraId="538C97E7" w14:textId="77777777" w:rsidR="00B8619C" w:rsidRDefault="00000000">
            <w:pPr>
              <w:spacing w:after="30" w:line="252" w:lineRule="auto" w:before="30"/>
              <w:jc w:val="center"/>
            </w:pPr>
            <w:r>
              <w:rPr>
                <w:rFonts w:ascii="宋体" w:hAnsi="宋体" w:eastAsia="宋体"/>
                <w:b w:val="0"/>
                <w:sz w:val="18"/>
              </w:rPr>
              <w:t>单标签与伴生矿物共存</w:t>
            </w:r>
          </w:p>
        </w:tc>
        <w:tc>
          <w:tcPr>
            <w:tcW w:w="3401" w:type="dxa"/>
            <w:tcMar>
              <w:top w:w="80" w:type="dxa"/>
              <w:left w:w="90" w:type="dxa"/>
              <w:bottom w:w="80" w:type="dxa"/>
              <w:right w:w="90" w:type="dxa"/>
            </w:tcMar>
            <w:vAlign w:val="center"/>
          </w:tcPr>
          <w:p w14:paraId="53AC5228" w14:textId="77777777" w:rsidR="00B8619C" w:rsidRDefault="00000000">
            <w:pPr>
              <w:spacing w:after="30" w:line="252" w:lineRule="auto" w:before="30"/>
              <w:jc w:val="center"/>
            </w:pPr>
            <w:r>
              <w:rPr>
                <w:rFonts w:ascii="宋体" w:hAnsi="宋体" w:eastAsia="宋体"/>
                <w:b w:val="0"/>
                <w:sz w:val="18"/>
              </w:rPr>
              <w:t>页面主题矿物不一定是图像唯一可见对象</w:t>
            </w:r>
          </w:p>
        </w:tc>
        <w:tc>
          <w:tcPr>
            <w:tcW w:w="3401" w:type="dxa"/>
            <w:tcMar>
              <w:top w:w="80" w:type="dxa"/>
              <w:left w:w="90" w:type="dxa"/>
              <w:bottom w:w="80" w:type="dxa"/>
              <w:right w:w="90" w:type="dxa"/>
            </w:tcMar>
            <w:vAlign w:val="center"/>
          </w:tcPr>
          <w:p w14:paraId="14D8AF30" w14:textId="77777777" w:rsidR="00B8619C" w:rsidRDefault="00000000">
            <w:pPr>
              <w:spacing w:after="30" w:line="252" w:lineRule="auto" w:before="30"/>
              <w:jc w:val="center"/>
            </w:pPr>
            <w:r>
              <w:rPr>
                <w:rFonts w:ascii="宋体" w:hAnsi="宋体" w:eastAsia="宋体"/>
                <w:b w:val="0"/>
                <w:sz w:val="18"/>
              </w:rPr>
              <w:t>建立真实候选标签或多标签复核子集</w:t>
            </w:r>
          </w:p>
        </w:tc>
      </w:tr>
      <w:tr w:rsidR="00B8619C" w14:paraId="1908BC1C" w14:textId="77777777">
        <w:trPr>
          <w:cantSplit/>
          <w:jc w:val="center"/>
        </w:trPr>
        <w:tc>
          <w:tcPr>
            <w:tcW w:w="2267" w:type="dxa"/>
            <w:tcMar>
              <w:top w:w="80" w:type="dxa"/>
              <w:left w:w="90" w:type="dxa"/>
              <w:bottom w:w="80" w:type="dxa"/>
              <w:right w:w="90" w:type="dxa"/>
            </w:tcMar>
            <w:vAlign w:val="center"/>
          </w:tcPr>
          <w:p>
            <w:pPr>
              <w:spacing w:before="30" w:after="30" w:line="252" w:lineRule="auto"/>
              <w:jc w:val="center"/>
            </w:pPr>
            <w:r>
              <w:rPr>
                <w:rFonts w:ascii="宋体" w:hAnsi="宋体" w:eastAsia="宋体"/>
                <w:b w:val="0"/>
                <w:sz w:val="18"/>
              </w:rPr>
              <w:t>来源外泛化仅完成摄影者留出</w:t>
            </w:r>
          </w:p>
        </w:tc>
        <w:tc>
          <w:tcPr>
            <w:tcW w:w="3401" w:type="dxa"/>
            <w:tcMar>
              <w:top w:w="80" w:type="dxa"/>
              <w:left w:w="90" w:type="dxa"/>
              <w:bottom w:w="80" w:type="dxa"/>
              <w:right w:w="90" w:type="dxa"/>
            </w:tcMar>
            <w:vAlign w:val="center"/>
          </w:tcPr>
          <w:p>
            <w:pPr>
              <w:spacing w:before="30" w:after="30" w:line="252" w:lineRule="auto"/>
              <w:jc w:val="center"/>
            </w:pPr>
            <w:r>
              <w:rPr>
                <w:rFonts w:ascii="宋体" w:hAnsi="宋体" w:eastAsia="宋体"/>
                <w:b w:val="0"/>
                <w:sz w:val="18"/>
              </w:rPr>
              <w:t>尚未覆盖矿区、收藏机构或跨网站整体留出</w:t>
            </w:r>
          </w:p>
        </w:tc>
        <w:tc>
          <w:tcPr>
            <w:tcW w:w="3401" w:type="dxa"/>
            <w:tcMar>
              <w:top w:w="80" w:type="dxa"/>
              <w:left w:w="90" w:type="dxa"/>
              <w:bottom w:w="80" w:type="dxa"/>
              <w:right w:w="90" w:type="dxa"/>
            </w:tcMar>
            <w:vAlign w:val="center"/>
          </w:tcPr>
          <w:p>
            <w:pPr>
              <w:spacing w:before="30" w:after="30" w:line="252" w:lineRule="auto"/>
              <w:jc w:val="center"/>
            </w:pPr>
            <w:r>
              <w:rPr>
                <w:rFonts w:ascii="宋体" w:hAnsi="宋体" w:eastAsia="宋体"/>
                <w:b w:val="0"/>
                <w:sz w:val="18"/>
              </w:rPr>
              <w:t>当前报告摄影者无交叉结果；继续构建更严格外部域测试</w:t>
            </w:r>
          </w:p>
        </w:tc>
      </w:tr>
      <w:tr w:rsidR="00B8619C" w14:paraId="65B928F7" w14:textId="77777777">
        <w:trPr>
          <w:cantSplit/>
          <w:jc w:val="center"/>
        </w:trPr>
        <w:tc>
          <w:tcPr>
            <w:tcW w:w="2267" w:type="dxa"/>
            <w:tcMar>
              <w:top w:w="80" w:type="dxa"/>
              <w:left w:w="90" w:type="dxa"/>
              <w:bottom w:w="80" w:type="dxa"/>
              <w:right w:w="90" w:type="dxa"/>
            </w:tcMar>
            <w:vAlign w:val="center"/>
          </w:tcPr>
          <w:p w14:paraId="7F252DAC" w14:textId="77777777" w:rsidR="00B8619C" w:rsidRDefault="00000000">
            <w:pPr>
              <w:spacing w:after="30" w:line="252" w:lineRule="auto" w:before="30"/>
              <w:jc w:val="center"/>
            </w:pPr>
            <w:r>
              <w:rPr>
                <w:rFonts w:ascii="宋体" w:hAnsi="宋体" w:eastAsia="宋体"/>
                <w:b w:val="0"/>
                <w:sz w:val="18"/>
              </w:rPr>
              <w:t>分层模型总体收益有限</w:t>
            </w:r>
          </w:p>
        </w:tc>
        <w:tc>
          <w:tcPr>
            <w:tcW w:w="3401" w:type="dxa"/>
            <w:tcMar>
              <w:top w:w="80" w:type="dxa"/>
              <w:left w:w="90" w:type="dxa"/>
              <w:bottom w:w="80" w:type="dxa"/>
              <w:right w:w="90" w:type="dxa"/>
            </w:tcMar>
            <w:vAlign w:val="center"/>
          </w:tcPr>
          <w:p w14:paraId="505625D5" w14:textId="77777777" w:rsidR="00B8619C" w:rsidRDefault="00000000">
            <w:pPr>
              <w:spacing w:after="30" w:line="252" w:lineRule="auto" w:before="30"/>
              <w:jc w:val="center"/>
            </w:pPr>
            <w:r>
              <w:rPr>
                <w:rFonts w:ascii="宋体" w:hAnsi="宋体" w:eastAsia="宋体"/>
                <w:b w:val="0"/>
                <w:sz w:val="18"/>
              </w:rPr>
              <w:t>均值差接近种子间波动</w:t>
            </w:r>
          </w:p>
        </w:tc>
        <w:tc>
          <w:tcPr>
            <w:tcW w:w="3401" w:type="dxa"/>
            <w:tcMar>
              <w:top w:w="80" w:type="dxa"/>
              <w:left w:w="90" w:type="dxa"/>
              <w:bottom w:w="80" w:type="dxa"/>
              <w:right w:w="90" w:type="dxa"/>
            </w:tcMar>
            <w:vAlign w:val="center"/>
          </w:tcPr>
          <w:p w14:paraId="13F62A15" w14:textId="77777777" w:rsidR="00B8619C" w:rsidRDefault="00000000">
            <w:pPr>
              <w:spacing w:after="30" w:line="252" w:lineRule="auto" w:before="30"/>
              <w:jc w:val="center"/>
            </w:pPr>
            <w:r>
              <w:rPr>
                <w:rFonts w:ascii="宋体" w:hAnsi="宋体" w:eastAsia="宋体"/>
                <w:b w:val="0"/>
                <w:sz w:val="18"/>
              </w:rPr>
              <w:t>报告风险取舍，不宣称稳定领先</w:t>
            </w:r>
          </w:p>
        </w:tc>
      </w:tr>
      <w:tr w:rsidR="00B8619C" w14:paraId="6976F001" w14:textId="77777777">
        <w:trPr>
          <w:cantSplit/>
          <w:jc w:val="center"/>
        </w:trPr>
        <w:tc>
          <w:tcPr>
            <w:tcW w:w="2267" w:type="dxa"/>
            <w:tcMar>
              <w:top w:w="80" w:type="dxa"/>
              <w:left w:w="90" w:type="dxa"/>
              <w:bottom w:w="80" w:type="dxa"/>
              <w:right w:w="90" w:type="dxa"/>
            </w:tcMar>
            <w:vAlign w:val="center"/>
          </w:tcPr>
          <w:p>
            <w:pPr>
              <w:spacing w:before="30" w:after="30" w:line="252" w:lineRule="auto"/>
              <w:jc w:val="center"/>
            </w:pPr>
            <w:r>
              <w:rPr>
                <w:rFonts w:ascii="宋体" w:hAnsi="宋体" w:eastAsia="宋体"/>
                <w:b w:val="0"/>
                <w:sz w:val="18"/>
              </w:rPr>
              <w:t>校准与风险认证仍受样本规模限制</w:t>
            </w:r>
          </w:p>
        </w:tc>
        <w:tc>
          <w:tcPr>
            <w:tcW w:w="3401" w:type="dxa"/>
            <w:tcMar>
              <w:top w:w="80" w:type="dxa"/>
              <w:left w:w="90" w:type="dxa"/>
              <w:bottom w:w="80" w:type="dxa"/>
              <w:right w:w="90" w:type="dxa"/>
            </w:tcMar>
            <w:vAlign w:val="center"/>
          </w:tcPr>
          <w:p>
            <w:pPr>
              <w:spacing w:before="30" w:after="30" w:line="252" w:lineRule="auto"/>
              <w:jc w:val="center"/>
            </w:pPr>
            <w:r>
              <w:rPr>
                <w:rFonts w:ascii="宋体" w:hAnsi="宋体" w:eastAsia="宋体"/>
                <w:b w:val="0"/>
                <w:sz w:val="18"/>
              </w:rPr>
              <w:t>δ=0.10仅一个种子取得证书，严格风险控制不稳定</w:t>
            </w:r>
          </w:p>
        </w:tc>
        <w:tc>
          <w:tcPr>
            <w:tcW w:w="3401" w:type="dxa"/>
            <w:tcMar>
              <w:top w:w="80" w:type="dxa"/>
              <w:left w:w="90" w:type="dxa"/>
              <w:bottom w:w="80" w:type="dxa"/>
              <w:right w:w="90" w:type="dxa"/>
            </w:tcMar>
            <w:vAlign w:val="center"/>
          </w:tcPr>
          <w:p>
            <w:pPr>
              <w:spacing w:before="30" w:after="30" w:line="252" w:lineRule="auto"/>
              <w:jc w:val="center"/>
            </w:pPr>
            <w:r>
              <w:rPr>
                <w:rFonts w:ascii="宋体" w:hAnsi="宋体" w:eastAsia="宋体"/>
                <w:b w:val="0"/>
                <w:sz w:val="18"/>
              </w:rPr>
              <w:t>扩展认证样本并比较向量缩放、Dirichlet 校准和共形风险控制</w:t>
            </w:r>
          </w:p>
        </w:tc>
      </w:tr>
    </w:tbl>
    <w:p w14:paraId="12E23AB2" w14:textId="77777777" w:rsidR="00B8619C" w:rsidRDefault="00000000">
      <w:pPr>
        <w:pStyle w:val="af7"/>
        <w:keepNext/>
        <w:spacing w:after="100" w:line="360" w:lineRule="auto"/>
        <w:jc w:val="center"/>
      </w:pPr>
      <w:r>
        <w:rPr>
          <w:rFonts w:ascii="宋体" w:hAnsi="宋体" w:eastAsia="宋体"/>
          <w:sz w:val="21"/>
        </w:rPr>
        <w:t>表 29 当前局限性及处理原则</w:t>
      </w:r>
    </w:p>
    <w:p w14:paraId="0BF27A76" w14:textId="77777777" w:rsidR="00B8619C" w:rsidRDefault="00000000">
      <w:pPr>
        <w:pStyle w:val="21"/>
      </w:pPr>
      <w:r>
        <w:t xml:space="preserve">7.2 </w:t>
      </w:r>
      <w:r>
        <w:t>近期优先工作</w:t>
      </w:r>
    </w:p>
    <w:p w14:paraId="7050B264" w14:textId="77777777" w:rsidR="00B8619C" w:rsidRDefault="00000000">
      <w:pPr>
        <w:ind w:firstLine="420"/>
        <w:jc w:val="both"/>
      </w:pPr>
      <w:r>
        <w:t>第一，完成数据复核责任字段闭环，补录复核人、日期和排除原因，并尽可能对固定测试集逐图复核。</w:t>
      </w:r>
    </w:p>
    <w:p w14:paraId="62D8A900" w14:textId="77777777" w:rsidR="00B8619C" w:rsidRDefault="00000000">
      <w:pPr>
        <w:ind w:firstLine="420"/>
        <w:jc w:val="both"/>
      </w:pPr>
      <w:r>
        <w:t>第二，保持当前代码结果不变的前提下，本报告已修正</w:t>
      </w:r>
      <w:r>
        <w:t xml:space="preserve"> KL </w:t>
      </w:r>
      <w:r>
        <w:t>方向；随后应在代码中增加正向</w:t>
      </w:r>
      <w:r>
        <w:t xml:space="preserve"> KL</w:t>
      </w:r>
      <w:r>
        <w:t>、反向</w:t>
      </w:r>
      <w:r>
        <w:t xml:space="preserve"> KL</w:t>
      </w:r>
      <w:r>
        <w:t>、</w:t>
      </w:r>
      <w:r>
        <w:t xml:space="preserve">JS </w:t>
      </w:r>
      <w:r>
        <w:t>散度和停止梯度设置的对照实验，并使用至少五个随机种子。</w:t>
      </w:r>
    </w:p>
    <w:p w14:paraId="2CD85CD0" w14:textId="77777777" w:rsidR="00B8619C" w:rsidRDefault="00000000">
      <w:pPr>
        <w:ind w:firstLine="420"/>
        <w:jc w:val="both"/>
      </w:pPr>
      <w:r>
        <w:t>第三，从真实网页标题、伴生矿物字段和专家复核中建立候选标签子集，使角色可识别性从程序化恒真检查升级为真实弱标签分析。</w:t>
      </w:r>
    </w:p>
    <w:p w14:paraId="036D5C0D" w14:textId="77777777" w:rsidR="00B8619C" w:rsidRDefault="00000000">
      <w:pPr>
        <w:spacing w:line="360" w:lineRule="auto"/>
        <w:ind w:firstLine="420"/>
        <w:jc w:val="both"/>
      </w:pPr>
      <w:r>
        <w:rPr>
          <w:rFonts w:ascii="宋体" w:hAnsi="宋体" w:eastAsia="宋体"/>
          <w:sz w:val="21"/>
        </w:rPr>
        <w:t>第四，已利用摄影者字段建立严格来源留出测试：5,639张可用样本按摄影者与重复图像组整体划分，训练、验证和测试的摄影者及 split_group_id 均无重叠。后续仍需扩展到矿区、收藏机构和跨网站整体留出。</w:t>
      </w:r>
    </w:p>
    <w:p w14:paraId="157112F3" w14:textId="77777777" w:rsidR="00B8619C" w:rsidRDefault="00000000">
      <w:pPr>
        <w:spacing w:line="360" w:lineRule="auto"/>
        <w:ind w:firstLine="420"/>
        <w:jc w:val="both"/>
      </w:pPr>
      <w:r>
        <w:rPr>
          <w:rFonts w:ascii="宋体" w:hAnsi="宋体" w:eastAsia="宋体"/>
          <w:sz w:val="21"/>
        </w:rPr>
        <w:t>第五，已完成验证集温度缩放、NLL/ECE/Brier/AURC评估和独立认证子集上的风险阈值选择。后续需要扩大校准样本规模，比较向量缩放、Dirichlet 校准和共形风险控制，并预注册更细的风险约束。</w:t>
      </w:r>
    </w:p>
    <w:p w14:paraId="2DF0BEE8" w14:textId="77777777" w:rsidR="00B8619C" w:rsidRDefault="00000000">
      <w:pPr>
        <w:ind w:firstLine="420"/>
        <w:jc w:val="both"/>
      </w:pPr>
      <w:r>
        <w:t>第六，记录困难负样本损失的有效</w:t>
      </w:r>
      <w:r>
        <w:t xml:space="preserve"> anchor </w:t>
      </w:r>
      <w:r>
        <w:t>数量和批次生效比例，必要时使用类别平衡批采样或原型约束。</w:t>
      </w:r>
    </w:p>
    <w:p w14:paraId="07D8A0D4" w14:textId="77777777" w:rsidR="00B8619C" w:rsidRDefault="00000000">
      <w:pPr>
        <w:pStyle w:val="21"/>
      </w:pPr>
      <w:r>
        <w:t xml:space="preserve">7.3 </w:t>
      </w:r>
      <w:r>
        <w:t>中期研究方向</w:t>
      </w:r>
    </w:p>
    <w:p w14:paraId="1C9E90A0" w14:textId="77777777" w:rsidR="00B8619C" w:rsidRDefault="00000000">
      <w:pPr>
        <w:spacing w:line="360" w:lineRule="auto"/>
        <w:ind w:firstLine="420"/>
        <w:jc w:val="both"/>
      </w:pPr>
      <w:r>
        <w:rPr>
          <w:rFonts w:ascii="宋体" w:hAnsi="宋体" w:eastAsia="宋体"/>
          <w:sz w:val="21"/>
        </w:rPr>
        <w:t>采集由专家或化验确认的真实钒钛矿颗粒图像，建立独立外部测试集；建立独立未知矿物图像集，比较最大 Softmax、预测熵、Energy Score 等开放集方法；在取得真实流程阶段、品位/回收率、动作代价和检查成本后，再研究阶段条件化选矿决策与多模态确认。 阶段条件化选矿决策图仍保留为后续研究方向：只有获得真实流程阶段、矿物—动作映射、品位/回收率及送检成本后，才研究矿物种类与阶段共同决定处理动作的问题。</w:t>
      </w:r>
    </w:p>
    <w:tbl>
      <w:tblPr>
        <w:tblW w:w="0" w:type="auto"/>
        <w:jc w:val="center"/>
        <w:tblLook w:val="04A0" w:firstRow="1" w:lastRow="0" w:firstColumn="1" w:lastColumn="0" w:noHBand="0" w:noVBand="1"/>
      </w:tblPr>
      <w:tblGrid>
        <w:gridCol w:w="9185"/>
      </w:tblGrid>
      <w:tr w:rsidR="00B8619C" w14:paraId="660FDF48" w14:textId="77777777">
        <w:trPr>
          <w:cantSplit/>
          <w:jc w:val="center"/>
        </w:trPr>
        <w:tc>
          <w:tcPr>
            <w:tcW w:w="9185" w:type="dxa"/>
            <w:shd w:val="clear" w:color="auto" w:fill="EAF2F8"/>
            <w:tcMar>
              <w:top w:w="130" w:type="dxa"/>
              <w:left w:w="150" w:type="dxa"/>
              <w:bottom w:w="130" w:type="dxa"/>
              <w:right w:w="150" w:type="dxa"/>
            </w:tcMar>
          </w:tcPr>
          <w:p w14:paraId="0A1F1907" w14:textId="77777777" w:rsidR="00B8619C" w:rsidRDefault="00000000">
            <w:pPr>
              <w:spacing w:after="0"/>
            </w:pPr>
            <w:r>
              <w:rPr>
                <w:rFonts w:eastAsia="黑体"/>
                <w:b/>
                <w:color w:val="1F4E79"/>
              </w:rPr>
              <w:lastRenderedPageBreak/>
              <w:t>论文主线建议：</w:t>
            </w:r>
            <w:r>
              <w:t>第一篇论文建议以</w:t>
            </w:r>
            <w:r>
              <w:t>“</w:t>
            </w:r>
            <w:r>
              <w:t>钒钛矿相关矿物识别中的种类</w:t>
            </w:r>
            <w:r>
              <w:t>—</w:t>
            </w:r>
            <w:r>
              <w:t>角色一致性、困难负样本风险取舍与校准选择性预测</w:t>
            </w:r>
            <w:r>
              <w:t>”</w:t>
            </w:r>
            <w:r>
              <w:t>为主线。阶段条件化选矿决策图需要真实流程和专家动作映射，当前仅作为后续研究，不写成本阶段已验证效果。</w:t>
            </w:r>
          </w:p>
        </w:tc>
      </w:tr>
    </w:tbl>
    <w:p w14:paraId="09F5C0C6" w14:textId="77777777" w:rsidR="00B8619C" w:rsidRDefault="00000000">
      <w:pPr>
        <w:pStyle w:val="1"/>
      </w:pPr>
      <w:r>
        <w:t xml:space="preserve">8 </w:t>
      </w:r>
      <w:r>
        <w:t>结论</w:t>
      </w:r>
    </w:p>
    <w:p w14:paraId="33F129D2" w14:textId="77777777" w:rsidR="00B8619C" w:rsidRDefault="00000000">
      <w:pPr>
        <w:jc w:val="both"/>
      </w:pPr>
      <w:r>
        <w:t xml:space="preserve">1. </w:t>
      </w:r>
      <w:r>
        <w:t>构建了面向钒钛矿相关组分矿物识别的公开标本图像四分类数据集，共</w:t>
      </w:r>
      <w:r>
        <w:t xml:space="preserve"> 8,529 </w:t>
      </w:r>
      <w:r>
        <w:t>张，并保留来源追溯、质量筛选和固定划分信息。</w:t>
      </w:r>
    </w:p>
    <w:p w14:paraId="45DE387A" w14:textId="77777777" w:rsidR="00B8619C" w:rsidRDefault="00000000">
      <w:pPr>
        <w:jc w:val="both"/>
      </w:pPr>
      <w:r>
        <w:t xml:space="preserve">2. </w:t>
      </w:r>
      <w:r>
        <w:t>通过混合样本隔离、重复</w:t>
      </w:r>
      <w:r>
        <w:t>/</w:t>
      </w:r>
      <w:r>
        <w:t>近重复审查和分层复核，形成训练、验证、测试集分别为</w:t>
      </w:r>
      <w:r>
        <w:t xml:space="preserve"> 5,961</w:t>
      </w:r>
      <w:r>
        <w:t>、</w:t>
      </w:r>
      <w:r>
        <w:t>1,284</w:t>
      </w:r>
      <w:r>
        <w:t>、</w:t>
      </w:r>
      <w:r>
        <w:t xml:space="preserve">1,284 </w:t>
      </w:r>
      <w:r>
        <w:t>张的可复现实验清单；复核责任字段仍需在正式结题前补齐。</w:t>
      </w:r>
    </w:p>
    <w:p w14:paraId="79297C54" w14:textId="77777777" w:rsidR="00B8619C" w:rsidRDefault="00000000">
      <w:pPr>
        <w:jc w:val="both"/>
      </w:pPr>
      <w:r>
        <w:t xml:space="preserve">3. ResNet50 </w:t>
      </w:r>
      <w:r>
        <w:t>与</w:t>
      </w:r>
      <w:r>
        <w:t xml:space="preserve"> EfficientNet-B0 </w:t>
      </w:r>
      <w:r>
        <w:t>的三随机种子结果表明，</w:t>
      </w:r>
      <w:r>
        <w:t xml:space="preserve">EfficientNet-B0 </w:t>
      </w:r>
      <w:r>
        <w:t>的平均</w:t>
      </w:r>
      <w:r>
        <w:t xml:space="preserve"> Macro F1 </w:t>
      </w:r>
      <w:r>
        <w:t>为</w:t>
      </w:r>
      <w:r>
        <w:t xml:space="preserve"> 72.87%±1.21%</w:t>
      </w:r>
      <w:r>
        <w:t>，略高于</w:t>
      </w:r>
      <w:r>
        <w:t xml:space="preserve"> ResNet50 </w:t>
      </w:r>
      <w:r>
        <w:t>的</w:t>
      </w:r>
      <w:r>
        <w:t xml:space="preserve"> 72.06%±0.92%</w:t>
      </w:r>
      <w:r>
        <w:t>，但二者总体</w:t>
      </w:r>
      <w:r>
        <w:t xml:space="preserve"> Accuracy </w:t>
      </w:r>
      <w:r>
        <w:t>基本相当。</w:t>
      </w:r>
    </w:p>
    <w:p w14:paraId="4793A4D1" w14:textId="77777777" w:rsidR="00B8619C" w:rsidRDefault="00000000">
      <w:pPr>
        <w:jc w:val="both"/>
      </w:pPr>
      <w:r>
        <w:t xml:space="preserve">4. </w:t>
      </w:r>
      <w:r>
        <w:t>含钛干扰和金属光泽干扰是主要难点。</w:t>
      </w:r>
      <w:r>
        <w:t xml:space="preserve">Focal Loss </w:t>
      </w:r>
      <w:r>
        <w:t>未在总体和目标代理风险指标上形成一致改善，说明统一难例权重不足以解决类别关系混淆。</w:t>
      </w:r>
    </w:p>
    <w:p w14:paraId="0626BAF9" w14:textId="77777777" w:rsidR="00B8619C" w:rsidRDefault="00000000">
      <w:pPr>
        <w:jc w:val="both"/>
      </w:pPr>
      <w:r>
        <w:t xml:space="preserve">5. </w:t>
      </w:r>
      <w:r>
        <w:t>角色感知困难负样本学习降低两类困难干扰误入目标的比例，但增加目标漏选；该方法体现为保守风险策略原型。</w:t>
      </w:r>
    </w:p>
    <w:p w14:paraId="16DF9C28" w14:textId="77777777" w:rsidR="00B8619C" w:rsidRDefault="00000000">
      <w:pPr>
        <w:spacing w:line="360" w:lineRule="auto"/>
        <w:jc w:val="both"/>
      </w:pPr>
      <w:r>
        <w:rPr>
          <w:rFonts w:ascii="宋体" w:hAnsi="宋体" w:eastAsia="宋体"/>
          <w:sz w:val="21"/>
        </w:rPr>
        <w:t>6. 分层一致性模型不仅输出四类角色，还同时学习17类种类、目标/非目标和困难负样本关系。固定映射使种类错误中的43.41%仍保持角色正确，对应18.74±1.29个百分点的经验角色风险收缩。</w:t>
      </w:r>
    </w:p>
    <w:p w14:paraId="1B7658C4" w14:textId="77777777" w:rsidR="00B8619C" w:rsidRDefault="00000000">
      <w:pPr>
        <w:spacing w:line="360" w:lineRule="auto"/>
        <w:jc w:val="both"/>
      </w:pPr>
      <w:r>
        <w:rPr>
          <w:rFonts w:ascii="宋体" w:hAnsi="宋体" w:eastAsia="宋体"/>
          <w:sz w:val="21"/>
        </w:rPr>
        <w:t>7. DKL(p̃r||pr) 一致性项将平均 KL 从0.0565降至0.0426、双头分歧率从7.42%降至6.36%；该贡献体现为层级分布一致性增强，不保证总体分类精度必然提高。</w:t>
      </w:r>
    </w:p>
    <w:p w14:paraId="26380D74" w14:textId="77777777" w:rsidR="00B8619C" w:rsidRDefault="00000000">
      <w:pPr>
        <w:spacing w:line="360" w:lineRule="auto"/>
        <w:jc w:val="both"/>
      </w:pPr>
      <w:r>
        <w:rPr>
          <w:rFonts w:ascii="宋体" w:hAnsi="宋体" w:eastAsia="宋体"/>
          <w:sz w:val="21"/>
        </w:rPr>
        <w:t>8. 验证集温度缩放将测试 ECE 从0.1131降至0.0342、NLL 从0.8399降至0.6633；在δ=0.15和δ=0.20时三个种子均获得独立认证子集上的风险证书，实现了比测试集后验选阈更严格的选择性决策验证。</w:t>
      </w:r>
    </w:p>
    <w:p w14:paraId="4F68E219" w14:textId="77777777" w:rsidR="00B8619C" w:rsidRDefault="00000000">
      <w:pPr>
        <w:spacing w:line="360" w:lineRule="auto"/>
        <w:jc w:val="both"/>
      </w:pPr>
      <w:r>
        <w:rPr>
          <w:rFonts w:ascii="宋体" w:hAnsi="宋体" w:eastAsia="宋体"/>
          <w:sz w:val="21"/>
        </w:rPr>
        <w:t>9. 摄影者来源留出实验中，分层模型 Macro F1 为69.70%±0.90%，较基线提高2.70个百分点；代理消融表明普通磁铁矿有助于目标类表征，但最终23张钛磁铁矿及测试中的4张样本不足以支撑真实性或工业能力结论。</w:t>
      </w:r>
    </w:p>
    <w:p>
      <w:pPr>
        <w:spacing w:line="360" w:lineRule="auto"/>
      </w:pPr>
      <w:r>
        <w:rPr>
          <w:rFonts w:ascii="宋体" w:hAnsi="宋体" w:eastAsia="宋体"/>
          <w:sz w:val="21"/>
        </w:rPr>
        <w:t>10. 成对簇 Bootstrap 表明，分层模型稳定提高目标召回并降低目标漏选，但同时增加两类困难负样本误入目标的比例；总体 Accuracy 和 Macro F1 的区间跨0，McNemar 校正结果也未形成跨种子的总体优势证据。因此，方法贡献应解释为可量化的风险重分配与后续选择性决策基础。</w:t>
      </w:r>
    </w:p>
    <w:p>
      <w:pPr>
        <w:spacing w:line="360" w:lineRule="auto"/>
      </w:pPr>
      <w:r>
        <w:rPr>
          <w:rFonts w:ascii="宋体" w:hAnsi="宋体" w:eastAsia="宋体"/>
          <w:sz w:val="21"/>
        </w:rPr>
        <w:t>11. HRGV-Net 将层级双专家、逐图可靠性门控、两类困难负样本验证和中性区残差校正统一于同一计算图。三随机种子实验表明角色感知对比约束对 Accuracy 和 Macro F1 的改善具有未跨0的成对簇区间；其余组件主要体现召回与误入之间的可审计取舍，不能解释为全面显著优势。</w:t>
      </w:r>
    </w:p>
    <w:p>
      <w:pPr>
        <w:spacing w:line="360" w:lineRule="auto"/>
      </w:pPr>
      <w:r>
        <w:rPr>
          <w:rFonts w:ascii="宋体" w:hAnsi="宋体" w:eastAsia="宋体"/>
          <w:sz w:val="21"/>
        </w:rPr>
        <w:t>12. RSG-HRGV-Net 在 HRGV 的双专家、验证器与残差校正基础上，引入由样本级专家相对损失构造的软后悔门控目标，并以差距权重和局部停止梯度控制学习范围。三随机种子正式对照表明，该设计将平均路由后悔降低1.77个百分点，95%簇 Bootstrap 区间为[−2.86, −0.69]个百分点；总体 Accuracy 和 Macro F1 的差异区间均跨0。因此，本研究将其定位为可证明、可测量的证据路由创新，不将其解释为分类精度的普适显著提升。</w:t>
      </w:r>
    </w:p>
    <w:p>
      <w:pPr>
        <w:spacing w:line="360" w:lineRule="auto" w:after="80"/>
      </w:pPr>
      <w:r>
        <w:rPr>
          <w:rFonts w:ascii="宋体" w:hAnsi="宋体" w:eastAsia="宋体"/>
          <w:sz w:val="21"/>
        </w:rPr>
        <w:t>13. 摄影者留出实验在不交叉摄影者和重复图像组的条件下，使用独立三随机种子复现了 RSG 路由后悔降低的方向；但总体分类指标的区间仍跨0，且数据源仍为公开标本图片。因此，本研究将该结果作为跨来源机制证据，而不扩大为工业场景泛化结论。</w:t>
      </w:r>
    </w:p>
    <w:p>
      <w:pPr>
        <w:spacing w:line="360" w:lineRule="auto" w:after="80"/>
      </w:pPr>
      <w:r>
        <w:rPr>
          <w:rFonts w:ascii="宋体" w:hAnsi="宋体" w:eastAsia="宋体"/>
          <w:sz w:val="21"/>
        </w:rPr>
        <w:t>14. 本研究的理论结果建立在固定种类—角色映射、同分布校准样本和公开矿物标本图像上；当前结论不涉及钒钛品位预测、工业回收率、真实XRF送检成本或现场生产线性能。阶段条件化选矿决策图保留为获得流程阶段与成本数据后的后续研究方向。</w:t>
      </w:r>
    </w:p>
    <w:p w14:paraId="05B6B373" w14:textId="77777777" w:rsidR="00B8619C" w:rsidRDefault="00000000">
      <w:pPr>
        <w:pStyle w:val="1"/>
        <w:pageBreakBefore/>
      </w:pPr>
      <w:r>
        <w:lastRenderedPageBreak/>
        <w:t>参考文献</w:t>
      </w:r>
    </w:p>
    <w:p w14:paraId="4D0EF880" w14:textId="77777777" w:rsidR="00B8619C" w:rsidRDefault="00000000">
      <w:pPr>
        <w:spacing w:after="40" w:line="276" w:lineRule="auto"/>
        <w:ind w:left="397" w:hanging="397"/>
      </w:pPr>
      <w:r>
        <w:rPr>
          <w:sz w:val="19"/>
        </w:rPr>
        <w:t>[1] Shin Y, Shin S. Rock Classification in a Vanadiferous Titanomagnetite Deposit Based on Supervised Machine Learning[J]. Minerals, 2022, 12(4): 461.</w:t>
      </w:r>
    </w:p>
    <w:p w14:paraId="52602968" w14:textId="77777777" w:rsidR="00B8619C" w:rsidRDefault="00000000">
      <w:pPr>
        <w:spacing w:after="40" w:line="276" w:lineRule="auto"/>
        <w:ind w:left="397" w:hanging="397"/>
      </w:pPr>
      <w:r>
        <w:rPr>
          <w:sz w:val="19"/>
        </w:rPr>
        <w:t>[2] Baek J, Cho S, Shin S. Vanadiferous Titanomagnetite Ore Rock Classifier Using Machine Learning from Portable X-Ray Fluorescence Spectra[J]. Environmental Earth Sciences, 2025, 84: 368.</w:t>
      </w:r>
    </w:p>
    <w:p w14:paraId="4E214BA1" w14:textId="77777777" w:rsidR="00B8619C" w:rsidRDefault="00000000">
      <w:pPr>
        <w:spacing w:after="40" w:line="276" w:lineRule="auto"/>
        <w:ind w:left="397" w:hanging="397"/>
      </w:pPr>
      <w:r>
        <w:rPr>
          <w:sz w:val="19"/>
        </w:rPr>
        <w:t>[3] Nesteruk S, Agafonova J, Pavlov I, et al. MineralImage5k: A Benchmark for Zero-Shot Raw Mineral Visual Recognition and Description[J]. Computers &amp; Geosciences, 2023, 178: 105414.</w:t>
      </w:r>
    </w:p>
    <w:p w14:paraId="6E5F38F3" w14:textId="77777777" w:rsidR="00B8619C" w:rsidRDefault="00000000">
      <w:pPr>
        <w:spacing w:after="40" w:line="276" w:lineRule="auto"/>
        <w:ind w:left="397" w:hanging="397"/>
      </w:pPr>
      <w:r>
        <w:rPr>
          <w:sz w:val="19"/>
        </w:rPr>
        <w:t>[4] Wu B, et al. Mineral Identification Based on Multi-Label Image Classification[J]. Minerals, 2022, 12(11): 1338.</w:t>
      </w:r>
    </w:p>
    <w:p w14:paraId="5618BDD5" w14:textId="77777777" w:rsidR="00B8619C" w:rsidRDefault="00000000">
      <w:pPr>
        <w:spacing w:after="40" w:line="276" w:lineRule="auto"/>
        <w:ind w:left="397" w:hanging="397"/>
      </w:pPr>
      <w:r>
        <w:rPr>
          <w:sz w:val="19"/>
        </w:rPr>
        <w:t>[5] Ji X, Liang K, Yang Y, et al. Identifying Minerals from Image Using Out-of-Distribution Artificial Intelligence-Based Model[J]. Minerals, 2024, 14(6): 627.</w:t>
      </w:r>
    </w:p>
    <w:p w14:paraId="0E378274" w14:textId="77777777" w:rsidR="00B8619C" w:rsidRDefault="00000000">
      <w:pPr>
        <w:spacing w:after="40" w:line="276" w:lineRule="auto"/>
        <w:ind w:left="397" w:hanging="397"/>
      </w:pPr>
      <w:r>
        <w:rPr>
          <w:sz w:val="19"/>
        </w:rPr>
        <w:t xml:space="preserve">[6] Tang H. </w:t>
      </w:r>
      <w:r>
        <w:rPr>
          <w:sz w:val="19"/>
        </w:rPr>
        <w:t>基于深度学习的磁铁矿图像识别及应用研究</w:t>
      </w:r>
      <w:r>
        <w:rPr>
          <w:sz w:val="19"/>
        </w:rPr>
        <w:t xml:space="preserve">[D]. </w:t>
      </w:r>
      <w:r>
        <w:rPr>
          <w:sz w:val="19"/>
        </w:rPr>
        <w:t>华北理工大学</w:t>
      </w:r>
      <w:r>
        <w:rPr>
          <w:sz w:val="19"/>
        </w:rPr>
        <w:t>, 2023.</w:t>
      </w:r>
    </w:p>
    <w:p w14:paraId="0294491A" w14:textId="77777777" w:rsidR="00B8619C" w:rsidRDefault="00000000">
      <w:pPr>
        <w:spacing w:after="40" w:line="276" w:lineRule="auto"/>
        <w:ind w:left="397" w:hanging="397"/>
      </w:pPr>
      <w:r>
        <w:rPr>
          <w:sz w:val="19"/>
        </w:rPr>
        <w:t xml:space="preserve">[7] </w:t>
      </w:r>
      <w:r>
        <w:rPr>
          <w:sz w:val="19"/>
        </w:rPr>
        <w:t>孙昊</w:t>
      </w:r>
      <w:r>
        <w:rPr>
          <w:sz w:val="19"/>
        </w:rPr>
        <w:t xml:space="preserve">, </w:t>
      </w:r>
      <w:r>
        <w:rPr>
          <w:sz w:val="19"/>
        </w:rPr>
        <w:t>郑建明</w:t>
      </w:r>
      <w:r>
        <w:rPr>
          <w:sz w:val="19"/>
        </w:rPr>
        <w:t xml:space="preserve">. </w:t>
      </w:r>
      <w:r>
        <w:rPr>
          <w:sz w:val="19"/>
        </w:rPr>
        <w:t>卷积神经网络在矿石识别中的应用</w:t>
      </w:r>
      <w:r>
        <w:rPr>
          <w:sz w:val="19"/>
        </w:rPr>
        <w:t xml:space="preserve">[J]. </w:t>
      </w:r>
      <w:r>
        <w:rPr>
          <w:sz w:val="19"/>
        </w:rPr>
        <w:t>福建电脑</w:t>
      </w:r>
      <w:r>
        <w:rPr>
          <w:sz w:val="19"/>
        </w:rPr>
        <w:t>, 2023.</w:t>
      </w:r>
    </w:p>
    <w:p w14:paraId="0DC51D53" w14:textId="77777777" w:rsidR="00B8619C" w:rsidRDefault="00000000">
      <w:pPr>
        <w:spacing w:after="40" w:line="276" w:lineRule="auto"/>
        <w:ind w:left="397" w:hanging="397"/>
      </w:pPr>
      <w:r>
        <w:rPr>
          <w:sz w:val="19"/>
        </w:rPr>
        <w:t>[8] Mindat.org. The Mineral and Locality Database[EB/OL]. https://www.mindat.org/</w:t>
      </w:r>
      <w:r>
        <w:rPr>
          <w:sz w:val="19"/>
        </w:rPr>
        <w:t>（访问日期：</w:t>
      </w:r>
      <w:r>
        <w:rPr>
          <w:sz w:val="19"/>
        </w:rPr>
        <w:t>2026-08-01</w:t>
      </w:r>
      <w:r>
        <w:rPr>
          <w:sz w:val="19"/>
        </w:rPr>
        <w:t>）</w:t>
      </w:r>
      <w:r>
        <w:rPr>
          <w:sz w:val="19"/>
        </w:rPr>
        <w:t>.</w:t>
      </w:r>
    </w:p>
    <w:p w14:paraId="5E02B971" w14:textId="77777777" w:rsidR="00B8619C" w:rsidRDefault="00000000">
      <w:pPr>
        <w:spacing w:after="40" w:line="276" w:lineRule="auto"/>
        <w:ind w:left="397" w:hanging="397"/>
      </w:pPr>
      <w:r>
        <w:rPr>
          <w:sz w:val="19"/>
        </w:rPr>
        <w:t>[9] Zhang D, Qian X, Shi C, Zhang Y, Qian Y, Zhou S. Iron Ore Image Recognition Through Multi-View Evolutionary Deep Fusion Method[J]. Future Internet, 2025, 17(12): 553.</w:t>
      </w:r>
    </w:p>
    <w:p w14:paraId="29910F0D" w14:textId="77777777" w:rsidR="00B8619C" w:rsidRDefault="00000000">
      <w:pPr>
        <w:spacing w:after="40" w:line="276" w:lineRule="auto"/>
        <w:ind w:left="397" w:hanging="397"/>
      </w:pPr>
      <w:r>
        <w:rPr>
          <w:sz w:val="19"/>
        </w:rPr>
        <w:t xml:space="preserve">[10] </w:t>
      </w:r>
      <w:r>
        <w:rPr>
          <w:sz w:val="19"/>
        </w:rPr>
        <w:t>宁金</w:t>
      </w:r>
      <w:r>
        <w:rPr>
          <w:sz w:val="19"/>
        </w:rPr>
        <w:t xml:space="preserve">. </w:t>
      </w:r>
      <w:r>
        <w:rPr>
          <w:sz w:val="19"/>
        </w:rPr>
        <w:t>基于深度学习的钒钛矿智能分选技术研究</w:t>
      </w:r>
      <w:r>
        <w:rPr>
          <w:sz w:val="19"/>
        </w:rPr>
        <w:t xml:space="preserve">[D]. </w:t>
      </w:r>
      <w:r>
        <w:rPr>
          <w:sz w:val="19"/>
        </w:rPr>
        <w:t>电子科技大学</w:t>
      </w:r>
      <w:r>
        <w:rPr>
          <w:sz w:val="19"/>
        </w:rPr>
        <w:t>, 2021.</w:t>
      </w:r>
    </w:p>
    <w:p w14:paraId="3CFB27E3" w14:textId="77777777" w:rsidR="00B8619C" w:rsidRDefault="00000000">
      <w:pPr>
        <w:spacing w:after="40" w:line="276" w:lineRule="auto"/>
        <w:ind w:left="397" w:hanging="397"/>
      </w:pPr>
      <w:r>
        <w:rPr>
          <w:sz w:val="19"/>
        </w:rPr>
        <w:t xml:space="preserve">[11] </w:t>
      </w:r>
      <w:r>
        <w:rPr>
          <w:sz w:val="19"/>
        </w:rPr>
        <w:t>陈超</w:t>
      </w:r>
      <w:r>
        <w:rPr>
          <w:sz w:val="19"/>
        </w:rPr>
        <w:t xml:space="preserve">, </w:t>
      </w:r>
      <w:r>
        <w:rPr>
          <w:sz w:val="19"/>
        </w:rPr>
        <w:t>张裕书</w:t>
      </w:r>
      <w:r>
        <w:rPr>
          <w:sz w:val="19"/>
        </w:rPr>
        <w:t xml:space="preserve">, </w:t>
      </w:r>
      <w:r>
        <w:rPr>
          <w:sz w:val="19"/>
        </w:rPr>
        <w:t>李潇雨</w:t>
      </w:r>
      <w:r>
        <w:rPr>
          <w:sz w:val="19"/>
        </w:rPr>
        <w:t xml:space="preserve">, </w:t>
      </w:r>
      <w:r>
        <w:rPr>
          <w:sz w:val="19"/>
        </w:rPr>
        <w:t>等</w:t>
      </w:r>
      <w:r>
        <w:rPr>
          <w:sz w:val="19"/>
        </w:rPr>
        <w:t xml:space="preserve">. </w:t>
      </w:r>
      <w:r>
        <w:rPr>
          <w:sz w:val="19"/>
        </w:rPr>
        <w:t>钛磁铁矿选矿技术研究进展</w:t>
      </w:r>
      <w:r>
        <w:rPr>
          <w:sz w:val="19"/>
        </w:rPr>
        <w:t xml:space="preserve">[J]. </w:t>
      </w:r>
      <w:r>
        <w:rPr>
          <w:sz w:val="19"/>
        </w:rPr>
        <w:t>矿产综合利用</w:t>
      </w:r>
      <w:r>
        <w:rPr>
          <w:sz w:val="19"/>
        </w:rPr>
        <w:t>, 2021(3).</w:t>
      </w:r>
    </w:p>
    <w:p w14:paraId="0A35F1DB" w14:textId="77777777" w:rsidR="00B8619C" w:rsidRDefault="00000000">
      <w:pPr>
        <w:spacing w:after="40" w:line="276" w:lineRule="auto"/>
        <w:ind w:left="397" w:hanging="397"/>
      </w:pPr>
      <w:r>
        <w:rPr>
          <w:sz w:val="19"/>
        </w:rPr>
        <w:t xml:space="preserve">[12] </w:t>
      </w:r>
      <w:r>
        <w:rPr>
          <w:sz w:val="19"/>
        </w:rPr>
        <w:t>景广军</w:t>
      </w:r>
      <w:r>
        <w:rPr>
          <w:sz w:val="19"/>
        </w:rPr>
        <w:t xml:space="preserve">, </w:t>
      </w:r>
      <w:r>
        <w:rPr>
          <w:sz w:val="19"/>
        </w:rPr>
        <w:t>李松仁</w:t>
      </w:r>
      <w:r>
        <w:rPr>
          <w:sz w:val="19"/>
        </w:rPr>
        <w:t xml:space="preserve">, </w:t>
      </w:r>
      <w:r>
        <w:rPr>
          <w:sz w:val="19"/>
        </w:rPr>
        <w:t>梁雪梅</w:t>
      </w:r>
      <w:r>
        <w:rPr>
          <w:sz w:val="19"/>
        </w:rPr>
        <w:t xml:space="preserve">. </w:t>
      </w:r>
      <w:r>
        <w:rPr>
          <w:sz w:val="19"/>
        </w:rPr>
        <w:t>选矿人工智能技术的研究进展</w:t>
      </w:r>
      <w:r>
        <w:rPr>
          <w:sz w:val="19"/>
        </w:rPr>
        <w:t xml:space="preserve">[J]. </w:t>
      </w:r>
      <w:r>
        <w:rPr>
          <w:sz w:val="19"/>
        </w:rPr>
        <w:t>国外金属矿选矿</w:t>
      </w:r>
      <w:r>
        <w:rPr>
          <w:sz w:val="19"/>
        </w:rPr>
        <w:t>, 2000(10).</w:t>
      </w:r>
    </w:p>
    <w:p w14:paraId="528C0F7C" w14:textId="77777777" w:rsidR="00B8619C" w:rsidRDefault="00000000">
      <w:pPr>
        <w:spacing w:after="40" w:line="276" w:lineRule="auto"/>
        <w:ind w:left="397" w:hanging="397"/>
      </w:pPr>
      <w:r>
        <w:rPr>
          <w:sz w:val="19"/>
        </w:rPr>
        <w:t xml:space="preserve">[13] Aldrich C, Van Deventer J S J, Vander Walt T J, et al. </w:t>
      </w:r>
      <w:r>
        <w:rPr>
          <w:sz w:val="19"/>
        </w:rPr>
        <w:t>利用人工智能模拟选矿回路的新进展</w:t>
      </w:r>
      <w:r>
        <w:rPr>
          <w:sz w:val="19"/>
        </w:rPr>
        <w:t xml:space="preserve">[J]. </w:t>
      </w:r>
      <w:r>
        <w:rPr>
          <w:sz w:val="19"/>
        </w:rPr>
        <w:t>国外金属矿选矿</w:t>
      </w:r>
      <w:r>
        <w:rPr>
          <w:sz w:val="19"/>
        </w:rPr>
        <w:t>, 1994(7).</w:t>
      </w:r>
    </w:p>
    <w:p w14:paraId="623AF956" w14:textId="77777777" w:rsidR="00B8619C" w:rsidRDefault="00000000">
      <w:pPr>
        <w:spacing w:after="40" w:line="276" w:lineRule="auto"/>
        <w:ind w:left="397" w:hanging="397"/>
      </w:pPr>
      <w:r>
        <w:rPr>
          <w:sz w:val="19"/>
        </w:rPr>
        <w:t>[14] He K, Zhang X, Ren S, Sun J. Deep Residual Learning for Image Recognition[C]//Proceedings of CVPR. 2016: 770-778.</w:t>
      </w:r>
    </w:p>
    <w:p w14:paraId="0B7C4AA9" w14:textId="77777777" w:rsidR="00B8619C" w:rsidRDefault="00000000">
      <w:pPr>
        <w:spacing w:after="40" w:line="276" w:lineRule="auto"/>
        <w:ind w:left="397" w:hanging="397"/>
      </w:pPr>
      <w:r>
        <w:rPr>
          <w:sz w:val="19"/>
        </w:rPr>
        <w:t>[15] Tan M, Le Q V. EfficientNet: Rethinking Model Scaling for Convolutional Neural Networks[C]//Proceedings of ICML. 2019: 6105-6114.</w:t>
      </w:r>
    </w:p>
    <w:p w14:paraId="3A48F6E2" w14:textId="77777777" w:rsidR="00B8619C" w:rsidRDefault="00000000">
      <w:pPr>
        <w:spacing w:after="40" w:line="276" w:lineRule="auto"/>
        <w:ind w:left="397" w:hanging="397"/>
      </w:pPr>
      <w:r>
        <w:rPr>
          <w:sz w:val="19"/>
        </w:rPr>
        <w:t>[16] Lin T Y, Goyal P, Girshick R, He K, Dollár P. Focal Loss for Dense Object Detection[C]//Proceedings of ICCV. 2017: 2980-2988.</w:t>
      </w:r>
    </w:p>
    <w:p w14:paraId="1C340C81" w14:textId="77777777" w:rsidR="00B8619C" w:rsidRDefault="00000000">
      <w:pPr>
        <w:spacing w:after="40" w:line="276" w:lineRule="auto"/>
        <w:ind w:left="397" w:hanging="397"/>
      </w:pPr>
      <w:r>
        <w:rPr>
          <w:sz w:val="19"/>
        </w:rPr>
        <w:t>[17] Khosla P, Teterwak P, Wang C, et al. Supervised Contrastive Learning[C]//Advances in Neural Information Processing Systems. 2020, 33: 18661-18673.</w:t>
      </w:r>
    </w:p>
    <w:p w14:paraId="13D06085" w14:textId="77777777" w:rsidR="00B8619C" w:rsidRDefault="00000000">
      <w:pPr>
        <w:spacing w:after="40" w:line="276" w:lineRule="auto"/>
        <w:ind w:left="397" w:hanging="397"/>
      </w:pPr>
      <w:r>
        <w:rPr>
          <w:sz w:val="19"/>
        </w:rPr>
        <w:t>[18] Geifman Y, El-Yaniv R. Selective Classification for Deep Neural Networks[C]//Advances in Neural Information Processing Systems. 2017, 30.</w:t>
      </w:r>
    </w:p>
    <w:p>
      <w:pPr>
        <w:spacing w:line="360" w:lineRule="auto" w:after="80"/>
      </w:pPr>
      <w:r>
        <w:rPr>
          <w:rFonts w:ascii="宋体" w:hAnsi="宋体" w:eastAsia="宋体"/>
          <w:sz w:val="21"/>
        </w:rPr>
        <w:t>[19] Guo C, Pleiss G, Sun Y, Weinberger K Q. On Calibration of Modern Neural Networks[C]//Proceedings of ICML. 2017: 1321-1330.</w:t>
      </w:r>
    </w:p>
    <w:p>
      <w:pPr>
        <w:spacing w:line="360" w:lineRule="auto" w:after="80"/>
      </w:pPr>
      <w:r>
        <w:rPr>
          <w:rFonts w:ascii="宋体" w:hAnsi="宋体" w:eastAsia="宋体"/>
          <w:sz w:val="21"/>
        </w:rPr>
        <w:t>[20] Efron B, Tibshirani R J. An Introduction to the Bootstrap[M]. New York: Chapman &amp; Hall, 1993.</w:t>
      </w:r>
    </w:p>
    <w:p w14:paraId="3C1395E0" w14:textId="77777777" w:rsidR="00B8619C" w:rsidRDefault="00000000">
      <w:pPr>
        <w:pStyle w:val="1"/>
        <w:pageBreakBefore/>
      </w:pPr>
      <w:r>
        <w:lastRenderedPageBreak/>
        <w:t>附录</w:t>
      </w:r>
      <w:r>
        <w:t xml:space="preserve"> A </w:t>
      </w:r>
      <w:r>
        <w:t>数据字段与复现说明</w:t>
      </w:r>
    </w:p>
    <w:p w14:paraId="566977C2" w14:textId="77777777" w:rsidR="00B8619C" w:rsidRDefault="00000000">
      <w:pPr>
        <w:pStyle w:val="21"/>
      </w:pPr>
      <w:r>
        <w:t xml:space="preserve">A.1 </w:t>
      </w:r>
      <w:r>
        <w:t>关键数据字段</w:t>
      </w:r>
    </w:p>
    <w:tbl>
      <w:tblPr>
        <w:tblStyle w:val="aff1"/>
        <w:tblW w:w="0" w:type="auto"/>
        <w:jc w:val="center"/>
        <w:tblLayout w:type="fixed"/>
        <w:tblLook w:val="04A0" w:firstRow="1" w:lastRow="0" w:firstColumn="1" w:lastColumn="0" w:noHBand="0" w:noVBand="1"/>
      </w:tblPr>
      <w:tblGrid>
        <w:gridCol w:w="2268"/>
        <w:gridCol w:w="6803"/>
      </w:tblGrid>
      <w:tr w:rsidR="00B8619C" w14:paraId="1CBB6952" w14:textId="77777777">
        <w:trPr>
          <w:cantSplit/>
          <w:tblHeader/>
          <w:jc w:val="center"/>
        </w:trPr>
        <w:tc>
          <w:tcPr>
            <w:tcW w:w="2268" w:type="dxa"/>
            <w:shd w:val="clear" w:color="auto" w:fill="D9EAF7"/>
            <w:tcMar>
              <w:top w:w="80" w:type="dxa"/>
              <w:left w:w="90" w:type="dxa"/>
              <w:bottom w:w="80" w:type="dxa"/>
              <w:right w:w="90" w:type="dxa"/>
            </w:tcMar>
            <w:vAlign w:val="center"/>
          </w:tcPr>
          <w:p w14:paraId="27242EF6" w14:textId="77777777" w:rsidR="00B8619C" w:rsidRDefault="00000000">
            <w:pPr>
              <w:spacing w:after="0" w:line="264" w:lineRule="auto"/>
              <w:jc w:val="center"/>
            </w:pPr>
            <w:r>
              <w:rPr>
                <w:rFonts w:eastAsia="黑体"/>
                <w:b/>
                <w:sz w:val="17"/>
              </w:rPr>
              <w:t>字段</w:t>
            </w:r>
          </w:p>
        </w:tc>
        <w:tc>
          <w:tcPr>
            <w:tcW w:w="6803" w:type="dxa"/>
            <w:shd w:val="clear" w:color="auto" w:fill="D9EAF7"/>
            <w:tcMar>
              <w:top w:w="80" w:type="dxa"/>
              <w:left w:w="90" w:type="dxa"/>
              <w:bottom w:w="80" w:type="dxa"/>
              <w:right w:w="90" w:type="dxa"/>
            </w:tcMar>
            <w:vAlign w:val="center"/>
          </w:tcPr>
          <w:p w14:paraId="322A52E8" w14:textId="77777777" w:rsidR="00B8619C" w:rsidRDefault="00000000">
            <w:pPr>
              <w:spacing w:after="0" w:line="264" w:lineRule="auto"/>
              <w:jc w:val="center"/>
            </w:pPr>
            <w:r>
              <w:rPr>
                <w:rFonts w:eastAsia="黑体"/>
                <w:b/>
                <w:sz w:val="17"/>
              </w:rPr>
              <w:t>说明</w:t>
            </w:r>
          </w:p>
        </w:tc>
      </w:tr>
      <w:tr w:rsidR="00B8619C" w14:paraId="49807F73" w14:textId="77777777">
        <w:trPr>
          <w:cantSplit/>
          <w:jc w:val="center"/>
        </w:trPr>
        <w:tc>
          <w:tcPr>
            <w:tcW w:w="2268" w:type="dxa"/>
            <w:tcMar>
              <w:top w:w="80" w:type="dxa"/>
              <w:left w:w="90" w:type="dxa"/>
              <w:bottom w:w="80" w:type="dxa"/>
              <w:right w:w="90" w:type="dxa"/>
            </w:tcMar>
            <w:vAlign w:val="center"/>
          </w:tcPr>
          <w:p w14:paraId="5CC43CDD" w14:textId="77777777" w:rsidR="00B8619C" w:rsidRDefault="00000000">
            <w:pPr>
              <w:spacing w:after="0" w:line="264" w:lineRule="auto"/>
            </w:pPr>
            <w:r>
              <w:rPr>
                <w:sz w:val="17"/>
              </w:rPr>
              <w:t>image_id</w:t>
            </w:r>
          </w:p>
        </w:tc>
        <w:tc>
          <w:tcPr>
            <w:tcW w:w="6803" w:type="dxa"/>
            <w:tcMar>
              <w:top w:w="80" w:type="dxa"/>
              <w:left w:w="90" w:type="dxa"/>
              <w:bottom w:w="80" w:type="dxa"/>
              <w:right w:w="90" w:type="dxa"/>
            </w:tcMar>
            <w:vAlign w:val="center"/>
          </w:tcPr>
          <w:p w14:paraId="6F5FCE76" w14:textId="77777777" w:rsidR="00B8619C" w:rsidRDefault="00000000">
            <w:pPr>
              <w:spacing w:after="0" w:line="264" w:lineRule="auto"/>
            </w:pPr>
            <w:r>
              <w:rPr>
                <w:sz w:val="17"/>
              </w:rPr>
              <w:t>项目内部唯一图像编号，如</w:t>
            </w:r>
            <w:r>
              <w:rPr>
                <w:sz w:val="17"/>
              </w:rPr>
              <w:t xml:space="preserve"> VTM-000001</w:t>
            </w:r>
          </w:p>
        </w:tc>
      </w:tr>
      <w:tr w:rsidR="00B8619C" w14:paraId="3C2065BF" w14:textId="77777777">
        <w:trPr>
          <w:cantSplit/>
          <w:jc w:val="center"/>
        </w:trPr>
        <w:tc>
          <w:tcPr>
            <w:tcW w:w="2268" w:type="dxa"/>
            <w:tcMar>
              <w:top w:w="80" w:type="dxa"/>
              <w:left w:w="90" w:type="dxa"/>
              <w:bottom w:w="80" w:type="dxa"/>
              <w:right w:w="90" w:type="dxa"/>
            </w:tcMar>
            <w:vAlign w:val="center"/>
          </w:tcPr>
          <w:p w14:paraId="61A63EE9" w14:textId="77777777" w:rsidR="00B8619C" w:rsidRDefault="00000000">
            <w:pPr>
              <w:spacing w:after="0" w:line="264" w:lineRule="auto"/>
            </w:pPr>
            <w:r>
              <w:rPr>
                <w:sz w:val="17"/>
              </w:rPr>
              <w:t>relative_path</w:t>
            </w:r>
          </w:p>
        </w:tc>
        <w:tc>
          <w:tcPr>
            <w:tcW w:w="6803" w:type="dxa"/>
            <w:tcMar>
              <w:top w:w="80" w:type="dxa"/>
              <w:left w:w="90" w:type="dxa"/>
              <w:bottom w:w="80" w:type="dxa"/>
              <w:right w:w="90" w:type="dxa"/>
            </w:tcMar>
            <w:vAlign w:val="center"/>
          </w:tcPr>
          <w:p w14:paraId="41C84C35" w14:textId="77777777" w:rsidR="00B8619C" w:rsidRDefault="00000000">
            <w:pPr>
              <w:spacing w:after="0" w:line="264" w:lineRule="auto"/>
            </w:pPr>
            <w:r>
              <w:rPr>
                <w:sz w:val="17"/>
              </w:rPr>
              <w:t>图像在数据版本目录中的相对路径</w:t>
            </w:r>
          </w:p>
        </w:tc>
      </w:tr>
      <w:tr w:rsidR="00B8619C" w14:paraId="30C45B6C" w14:textId="77777777">
        <w:trPr>
          <w:cantSplit/>
          <w:jc w:val="center"/>
        </w:trPr>
        <w:tc>
          <w:tcPr>
            <w:tcW w:w="2268" w:type="dxa"/>
            <w:tcMar>
              <w:top w:w="80" w:type="dxa"/>
              <w:left w:w="90" w:type="dxa"/>
              <w:bottom w:w="80" w:type="dxa"/>
              <w:right w:w="90" w:type="dxa"/>
            </w:tcMar>
            <w:vAlign w:val="center"/>
          </w:tcPr>
          <w:p w14:paraId="41EC17B8" w14:textId="77777777" w:rsidR="00B8619C" w:rsidRDefault="00000000">
            <w:pPr>
              <w:spacing w:after="0" w:line="264" w:lineRule="auto"/>
            </w:pPr>
            <w:r>
              <w:rPr>
                <w:sz w:val="17"/>
              </w:rPr>
              <w:t>mineral_label</w:t>
            </w:r>
          </w:p>
        </w:tc>
        <w:tc>
          <w:tcPr>
            <w:tcW w:w="6803" w:type="dxa"/>
            <w:tcMar>
              <w:top w:w="80" w:type="dxa"/>
              <w:left w:w="90" w:type="dxa"/>
              <w:bottom w:w="80" w:type="dxa"/>
              <w:right w:w="90" w:type="dxa"/>
            </w:tcMar>
            <w:vAlign w:val="center"/>
          </w:tcPr>
          <w:p w14:paraId="1956C4B0" w14:textId="77777777" w:rsidR="00B8619C" w:rsidRDefault="00000000">
            <w:pPr>
              <w:spacing w:after="0" w:line="264" w:lineRule="auto"/>
            </w:pPr>
            <w:r>
              <w:rPr>
                <w:sz w:val="17"/>
              </w:rPr>
              <w:t>细粒度矿物名称标签</w:t>
            </w:r>
          </w:p>
        </w:tc>
      </w:tr>
      <w:tr w:rsidR="00B8619C" w14:paraId="66C316CF" w14:textId="77777777">
        <w:trPr>
          <w:cantSplit/>
          <w:jc w:val="center"/>
        </w:trPr>
        <w:tc>
          <w:tcPr>
            <w:tcW w:w="2268" w:type="dxa"/>
            <w:tcMar>
              <w:top w:w="80" w:type="dxa"/>
              <w:left w:w="90" w:type="dxa"/>
              <w:bottom w:w="80" w:type="dxa"/>
              <w:right w:w="90" w:type="dxa"/>
            </w:tcMar>
            <w:vAlign w:val="center"/>
          </w:tcPr>
          <w:p w14:paraId="77F3FCA6" w14:textId="77777777" w:rsidR="00B8619C" w:rsidRDefault="00000000">
            <w:pPr>
              <w:spacing w:after="0" w:line="264" w:lineRule="auto"/>
            </w:pPr>
            <w:r>
              <w:rPr>
                <w:sz w:val="17"/>
              </w:rPr>
              <w:t>four_class_label</w:t>
            </w:r>
          </w:p>
        </w:tc>
        <w:tc>
          <w:tcPr>
            <w:tcW w:w="6803" w:type="dxa"/>
            <w:tcMar>
              <w:top w:w="80" w:type="dxa"/>
              <w:left w:w="90" w:type="dxa"/>
              <w:bottom w:w="80" w:type="dxa"/>
              <w:right w:w="90" w:type="dxa"/>
            </w:tcMar>
            <w:vAlign w:val="center"/>
          </w:tcPr>
          <w:p w14:paraId="663051E8" w14:textId="77777777" w:rsidR="00B8619C" w:rsidRDefault="00000000">
            <w:pPr>
              <w:spacing w:after="0" w:line="264" w:lineRule="auto"/>
            </w:pPr>
            <w:r>
              <w:rPr>
                <w:sz w:val="17"/>
              </w:rPr>
              <w:t>四分类任务标签</w:t>
            </w:r>
          </w:p>
        </w:tc>
      </w:tr>
      <w:tr w:rsidR="00B8619C" w14:paraId="59BA8AD6" w14:textId="77777777">
        <w:trPr>
          <w:cantSplit/>
          <w:jc w:val="center"/>
        </w:trPr>
        <w:tc>
          <w:tcPr>
            <w:tcW w:w="2268" w:type="dxa"/>
            <w:tcMar>
              <w:top w:w="80" w:type="dxa"/>
              <w:left w:w="90" w:type="dxa"/>
              <w:bottom w:w="80" w:type="dxa"/>
              <w:right w:w="90" w:type="dxa"/>
            </w:tcMar>
            <w:vAlign w:val="center"/>
          </w:tcPr>
          <w:p w14:paraId="654EE1C2" w14:textId="77777777" w:rsidR="00B8619C" w:rsidRDefault="00000000">
            <w:pPr>
              <w:spacing w:after="0" w:line="264" w:lineRule="auto"/>
            </w:pPr>
            <w:r>
              <w:rPr>
                <w:sz w:val="17"/>
              </w:rPr>
              <w:t>mindat_photo_id</w:t>
            </w:r>
          </w:p>
        </w:tc>
        <w:tc>
          <w:tcPr>
            <w:tcW w:w="6803" w:type="dxa"/>
            <w:tcMar>
              <w:top w:w="80" w:type="dxa"/>
              <w:left w:w="90" w:type="dxa"/>
              <w:bottom w:w="80" w:type="dxa"/>
              <w:right w:w="90" w:type="dxa"/>
            </w:tcMar>
            <w:vAlign w:val="center"/>
          </w:tcPr>
          <w:p w14:paraId="1E37B229" w14:textId="77777777" w:rsidR="00B8619C" w:rsidRDefault="00000000">
            <w:pPr>
              <w:spacing w:after="0" w:line="264" w:lineRule="auto"/>
            </w:pPr>
            <w:r>
              <w:rPr>
                <w:sz w:val="17"/>
              </w:rPr>
              <w:t>来源图片编号，用于追溯与分组控制</w:t>
            </w:r>
          </w:p>
        </w:tc>
      </w:tr>
      <w:tr w:rsidR="00B8619C" w14:paraId="29A8665F" w14:textId="77777777">
        <w:trPr>
          <w:cantSplit/>
          <w:jc w:val="center"/>
        </w:trPr>
        <w:tc>
          <w:tcPr>
            <w:tcW w:w="2268" w:type="dxa"/>
            <w:tcMar>
              <w:top w:w="80" w:type="dxa"/>
              <w:left w:w="90" w:type="dxa"/>
              <w:bottom w:w="80" w:type="dxa"/>
              <w:right w:w="90" w:type="dxa"/>
            </w:tcMar>
            <w:vAlign w:val="center"/>
          </w:tcPr>
          <w:p w14:paraId="646D1991" w14:textId="77777777" w:rsidR="00B8619C" w:rsidRDefault="00000000">
            <w:pPr>
              <w:spacing w:after="0" w:line="264" w:lineRule="auto"/>
            </w:pPr>
            <w:r>
              <w:rPr>
                <w:sz w:val="17"/>
              </w:rPr>
              <w:t>split_group_id</w:t>
            </w:r>
          </w:p>
        </w:tc>
        <w:tc>
          <w:tcPr>
            <w:tcW w:w="6803" w:type="dxa"/>
            <w:tcMar>
              <w:top w:w="80" w:type="dxa"/>
              <w:left w:w="90" w:type="dxa"/>
              <w:bottom w:w="80" w:type="dxa"/>
              <w:right w:w="90" w:type="dxa"/>
            </w:tcMar>
            <w:vAlign w:val="center"/>
          </w:tcPr>
          <w:p w14:paraId="487ACA1C" w14:textId="77777777" w:rsidR="00B8619C" w:rsidRDefault="00000000">
            <w:pPr>
              <w:spacing w:after="0" w:line="264" w:lineRule="auto"/>
            </w:pPr>
            <w:r>
              <w:rPr>
                <w:sz w:val="17"/>
              </w:rPr>
              <w:t>重复或近重复控制后的分组编号</w:t>
            </w:r>
          </w:p>
        </w:tc>
      </w:tr>
      <w:tr w:rsidR="00B8619C" w14:paraId="3C7AC4FA" w14:textId="77777777">
        <w:trPr>
          <w:cantSplit/>
          <w:jc w:val="center"/>
        </w:trPr>
        <w:tc>
          <w:tcPr>
            <w:tcW w:w="2268" w:type="dxa"/>
            <w:tcMar>
              <w:top w:w="80" w:type="dxa"/>
              <w:left w:w="90" w:type="dxa"/>
              <w:bottom w:w="80" w:type="dxa"/>
              <w:right w:w="90" w:type="dxa"/>
            </w:tcMar>
            <w:vAlign w:val="center"/>
          </w:tcPr>
          <w:p w14:paraId="3C6C07F4" w14:textId="77777777" w:rsidR="00B8619C" w:rsidRDefault="00000000">
            <w:pPr>
              <w:spacing w:after="0" w:line="264" w:lineRule="auto"/>
            </w:pPr>
            <w:r>
              <w:rPr>
                <w:sz w:val="17"/>
              </w:rPr>
              <w:t>split</w:t>
            </w:r>
          </w:p>
        </w:tc>
        <w:tc>
          <w:tcPr>
            <w:tcW w:w="6803" w:type="dxa"/>
            <w:tcMar>
              <w:top w:w="80" w:type="dxa"/>
              <w:left w:w="90" w:type="dxa"/>
              <w:bottom w:w="80" w:type="dxa"/>
              <w:right w:w="90" w:type="dxa"/>
            </w:tcMar>
            <w:vAlign w:val="center"/>
          </w:tcPr>
          <w:p w14:paraId="1779F362" w14:textId="77777777" w:rsidR="00B8619C" w:rsidRDefault="00000000">
            <w:pPr>
              <w:spacing w:after="0" w:line="264" w:lineRule="auto"/>
            </w:pPr>
            <w:r>
              <w:rPr>
                <w:sz w:val="17"/>
              </w:rPr>
              <w:t>train</w:t>
            </w:r>
            <w:r>
              <w:rPr>
                <w:sz w:val="17"/>
              </w:rPr>
              <w:t>、</w:t>
            </w:r>
            <w:r>
              <w:rPr>
                <w:sz w:val="17"/>
              </w:rPr>
              <w:t xml:space="preserve">val </w:t>
            </w:r>
            <w:r>
              <w:rPr>
                <w:sz w:val="17"/>
              </w:rPr>
              <w:t>或</w:t>
            </w:r>
            <w:r>
              <w:rPr>
                <w:sz w:val="17"/>
              </w:rPr>
              <w:t xml:space="preserve"> test </w:t>
            </w:r>
            <w:r>
              <w:rPr>
                <w:sz w:val="17"/>
              </w:rPr>
              <w:t>固定数据划分</w:t>
            </w:r>
          </w:p>
        </w:tc>
      </w:tr>
    </w:tbl>
    <w:p w14:paraId="4CE38482" w14:textId="77777777" w:rsidR="00B8619C" w:rsidRDefault="00000000">
      <w:pPr>
        <w:pStyle w:val="af7"/>
        <w:keepNext/>
        <w:spacing w:after="100"/>
        <w:jc w:val="center"/>
      </w:pPr>
      <w:r>
        <w:t>表</w:t>
      </w:r>
      <w:r>
        <w:t xml:space="preserve"> A-1 </w:t>
      </w:r>
      <w:r>
        <w:t>关键数据字段</w:t>
      </w:r>
    </w:p>
    <w:p w14:paraId="4F5F5953" w14:textId="77777777" w:rsidR="00B8619C" w:rsidRDefault="00000000">
      <w:pPr>
        <w:pStyle w:val="21"/>
      </w:pPr>
      <w:r>
        <w:t xml:space="preserve">A.2 </w:t>
      </w:r>
      <w:r>
        <w:t>可复现材料</w:t>
      </w:r>
    </w:p>
    <w:p w14:paraId="17F2A6C9" w14:textId="77777777" w:rsidR="00B8619C" w:rsidRDefault="00000000">
      <w:pPr>
        <w:spacing w:line="360" w:lineRule="auto"/>
        <w:ind w:firstLine="420"/>
        <w:jc w:val="both"/>
      </w:pPr>
      <w:r>
        <w:rPr>
          <w:rFonts w:ascii="宋体" w:hAnsi="宋体" w:eastAsia="宋体"/>
          <w:sz w:val="21"/>
        </w:rPr>
        <w:t>项目保留数据清单、采集与筛选脚本、数据质量审计记录、训练脚本、实验指标、混淆矩阵、逐图预测和图表源数据。层级风险汇总位于 outputs/theory_validation/hierarchy_consistency/；校准风险认证汇总位于 outputs/theory_validation/calibrated_selective_recognition/；来源留出与代理消融汇总位于 outputs/paper_experiments_v2/training_summaries/；成对簇 Bootstrap、McNemar 结果和重采样分布位于 outputs/paper_experiments_v3/statistical_inference/；对应论文图位于 outputs/paper_figures_v3/。 HRGV 三随机种子汇总、消融差值、验证器 AUC 与成对统计位于 outputs/business_metrics/hrgv_network/；HRGV 相对既有分层模型的成对统计位于 outputs/paper_experiments_v4/statistical_inference/hrgv_vs_hierarchical/；网络结构图和效应图位于 outputs/paper_figures_v2/。 RSG-HRGV 的冻结配置、受控预实验、三随机种子逐图预测与成对统计位于 outputs/training/rsg_controlled/、outputs/business_metrics/rsg_hrgv/formal/ 和 docs/experiment_records/2026-08-22_rsg_hrgv.md。 摄影者留出确认集的清单、独立种子和汇总统计位于 outputs/training/rsg_source_holdout/、outputs/business_metrics/rsg_hrgv/source_holdout/ 和 docs/experiment_records/2026-08-24_rsg_source_holdout.md。</w:t>
      </w:r>
    </w:p>
    <w:p w14:paraId="52F53A7F" w14:textId="77777777" w:rsidR="00B8619C" w:rsidRDefault="00000000">
      <w:pPr>
        <w:ind w:firstLine="420"/>
        <w:jc w:val="both"/>
      </w:pPr>
      <w:r>
        <w:t>正式复现应以</w:t>
      </w:r>
      <w:r>
        <w:t xml:space="preserve"> dataset_split_manifest_v1_0.csv </w:t>
      </w:r>
      <w:r>
        <w:t>为准，并保持图片编号分组、近重复组、随机种子和评价定义一致。公开共享时优先发布元数据、脚本和处理规则，不在未核实许可的情况下整体再分发原始图片。</w:t>
      </w:r>
    </w:p>
    <w:p w14:paraId="24D1ECEF" w14:textId="77777777" w:rsidR="00B8619C" w:rsidRDefault="00000000">
      <w:pPr>
        <w:ind w:firstLine="420"/>
        <w:jc w:val="both"/>
      </w:pPr>
      <w:r>
        <w:t>程序化角色可识别性检查实际只需要清单元数据。后续代码应提供</w:t>
      </w:r>
      <w:r>
        <w:t xml:space="preserve"> metadata-only </w:t>
      </w:r>
      <w:r>
        <w:t>加载接口，去除对本地原始图像目录和绝对</w:t>
      </w:r>
      <w:r>
        <w:t xml:space="preserve"> Windows </w:t>
      </w:r>
      <w:r>
        <w:t>路径的非必要依赖，并在输出中记录清单</w:t>
      </w:r>
      <w:r>
        <w:t xml:space="preserve"> SHA-256</w:t>
      </w:r>
      <w:r>
        <w:t>。</w:t>
      </w:r>
    </w:p>
    <w:p w14:paraId="247B5BA7" w14:textId="77777777" w:rsidR="00B8619C" w:rsidRDefault="00000000">
      <w:pPr>
        <w:pStyle w:val="21"/>
      </w:pPr>
      <w:r>
        <w:t xml:space="preserve">A.3 </w:t>
      </w:r>
      <w:r>
        <w:t>结题前待补信息</w:t>
      </w:r>
    </w:p>
    <w:tbl>
      <w:tblPr>
        <w:tblStyle w:val="aff1"/>
        <w:tblW w:w="0" w:type="auto"/>
        <w:jc w:val="center"/>
        <w:tblLayout w:type="fixed"/>
        <w:tblLook w:val="04A0" w:firstRow="1" w:lastRow="0" w:firstColumn="1" w:lastColumn="0" w:noHBand="0" w:noVBand="1"/>
      </w:tblPr>
      <w:tblGrid>
        <w:gridCol w:w="2381"/>
        <w:gridCol w:w="3005"/>
        <w:gridCol w:w="3685"/>
      </w:tblGrid>
      <w:tr w:rsidR="00B8619C" w14:paraId="5B45DA3E" w14:textId="77777777">
        <w:trPr>
          <w:cantSplit/>
          <w:tblHeader/>
          <w:jc w:val="center"/>
        </w:trPr>
        <w:tc>
          <w:tcPr>
            <w:tcW w:w="2381" w:type="dxa"/>
            <w:shd w:val="clear" w:color="auto" w:fill="D9EAF7"/>
            <w:tcMar>
              <w:top w:w="80" w:type="dxa"/>
              <w:left w:w="90" w:type="dxa"/>
              <w:bottom w:w="80" w:type="dxa"/>
              <w:right w:w="90" w:type="dxa"/>
            </w:tcMar>
            <w:vAlign w:val="center"/>
          </w:tcPr>
          <w:p w14:paraId="2B77CC71" w14:textId="77777777" w:rsidR="00B8619C" w:rsidRDefault="00000000">
            <w:pPr>
              <w:spacing w:after="0" w:line="264" w:lineRule="auto"/>
              <w:jc w:val="center"/>
            </w:pPr>
            <w:r>
              <w:rPr>
                <w:rFonts w:eastAsia="黑体"/>
                <w:b/>
                <w:sz w:val="16"/>
              </w:rPr>
              <w:t>项目</w:t>
            </w:r>
          </w:p>
        </w:tc>
        <w:tc>
          <w:tcPr>
            <w:tcW w:w="3005" w:type="dxa"/>
            <w:shd w:val="clear" w:color="auto" w:fill="D9EAF7"/>
            <w:tcMar>
              <w:top w:w="80" w:type="dxa"/>
              <w:left w:w="90" w:type="dxa"/>
              <w:bottom w:w="80" w:type="dxa"/>
              <w:right w:w="90" w:type="dxa"/>
            </w:tcMar>
            <w:vAlign w:val="center"/>
          </w:tcPr>
          <w:p w14:paraId="2DEADC6D" w14:textId="77777777" w:rsidR="00B8619C" w:rsidRDefault="00000000">
            <w:pPr>
              <w:spacing w:after="0" w:line="264" w:lineRule="auto"/>
              <w:jc w:val="center"/>
            </w:pPr>
            <w:r>
              <w:rPr>
                <w:rFonts w:eastAsia="黑体"/>
                <w:b/>
                <w:sz w:val="16"/>
              </w:rPr>
              <w:t>当前状态</w:t>
            </w:r>
          </w:p>
        </w:tc>
        <w:tc>
          <w:tcPr>
            <w:tcW w:w="3685" w:type="dxa"/>
            <w:shd w:val="clear" w:color="auto" w:fill="D9EAF7"/>
            <w:tcMar>
              <w:top w:w="80" w:type="dxa"/>
              <w:left w:w="90" w:type="dxa"/>
              <w:bottom w:w="80" w:type="dxa"/>
              <w:right w:w="90" w:type="dxa"/>
            </w:tcMar>
            <w:vAlign w:val="center"/>
          </w:tcPr>
          <w:p w14:paraId="2616FF1E" w14:textId="77777777" w:rsidR="00B8619C" w:rsidRDefault="00000000">
            <w:pPr>
              <w:spacing w:after="0" w:line="264" w:lineRule="auto"/>
              <w:jc w:val="center"/>
            </w:pPr>
            <w:r>
              <w:rPr>
                <w:rFonts w:eastAsia="黑体"/>
                <w:b/>
                <w:sz w:val="16"/>
              </w:rPr>
              <w:t>建议补充位置</w:t>
            </w:r>
          </w:p>
        </w:tc>
      </w:tr>
      <w:tr w:rsidR="00B8619C" w14:paraId="4807D10F" w14:textId="77777777">
        <w:trPr>
          <w:cantSplit/>
          <w:jc w:val="center"/>
        </w:trPr>
        <w:tc>
          <w:tcPr>
            <w:tcW w:w="2381" w:type="dxa"/>
            <w:tcMar>
              <w:top w:w="80" w:type="dxa"/>
              <w:left w:w="90" w:type="dxa"/>
              <w:bottom w:w="80" w:type="dxa"/>
              <w:right w:w="90" w:type="dxa"/>
            </w:tcMar>
            <w:vAlign w:val="center"/>
          </w:tcPr>
          <w:p w14:paraId="21D26D25" w14:textId="77777777" w:rsidR="00B8619C" w:rsidRDefault="00000000">
            <w:pPr>
              <w:spacing w:after="0" w:line="264" w:lineRule="auto"/>
            </w:pPr>
            <w:r>
              <w:rPr>
                <w:sz w:val="16"/>
              </w:rPr>
              <w:t>项目编号、承担单位、负责人</w:t>
            </w:r>
          </w:p>
        </w:tc>
        <w:tc>
          <w:tcPr>
            <w:tcW w:w="3005" w:type="dxa"/>
            <w:tcMar>
              <w:top w:w="80" w:type="dxa"/>
              <w:left w:w="90" w:type="dxa"/>
              <w:bottom w:w="80" w:type="dxa"/>
              <w:right w:w="90" w:type="dxa"/>
            </w:tcMar>
            <w:vAlign w:val="center"/>
          </w:tcPr>
          <w:p w14:paraId="20B1D825" w14:textId="77777777" w:rsidR="00B8619C" w:rsidRDefault="00000000">
            <w:pPr>
              <w:spacing w:after="0" w:line="264" w:lineRule="auto"/>
            </w:pPr>
            <w:r>
              <w:rPr>
                <w:sz w:val="16"/>
              </w:rPr>
              <w:t>待核验</w:t>
            </w:r>
          </w:p>
        </w:tc>
        <w:tc>
          <w:tcPr>
            <w:tcW w:w="3685" w:type="dxa"/>
            <w:tcMar>
              <w:top w:w="80" w:type="dxa"/>
              <w:left w:w="90" w:type="dxa"/>
              <w:bottom w:w="80" w:type="dxa"/>
              <w:right w:w="90" w:type="dxa"/>
            </w:tcMar>
            <w:vAlign w:val="center"/>
          </w:tcPr>
          <w:p w14:paraId="61BDC3A7" w14:textId="77777777" w:rsidR="00B8619C" w:rsidRDefault="00000000">
            <w:pPr>
              <w:spacing w:after="0" w:line="264" w:lineRule="auto"/>
            </w:pPr>
            <w:r>
              <w:rPr>
                <w:sz w:val="16"/>
              </w:rPr>
              <w:t>封面及验收报告基本信息</w:t>
            </w:r>
          </w:p>
        </w:tc>
      </w:tr>
      <w:tr w:rsidR="00B8619C" w14:paraId="3EFB0E7A" w14:textId="77777777">
        <w:trPr>
          <w:cantSplit/>
          <w:jc w:val="center"/>
        </w:trPr>
        <w:tc>
          <w:tcPr>
            <w:tcW w:w="2381" w:type="dxa"/>
            <w:tcMar>
              <w:top w:w="80" w:type="dxa"/>
              <w:left w:w="90" w:type="dxa"/>
              <w:bottom w:w="80" w:type="dxa"/>
              <w:right w:w="90" w:type="dxa"/>
            </w:tcMar>
            <w:vAlign w:val="center"/>
          </w:tcPr>
          <w:p w14:paraId="6EEBFBCC" w14:textId="77777777" w:rsidR="00B8619C" w:rsidRDefault="00000000">
            <w:pPr>
              <w:spacing w:after="0" w:line="264" w:lineRule="auto"/>
            </w:pPr>
            <w:r>
              <w:rPr>
                <w:sz w:val="16"/>
              </w:rPr>
              <w:t>任务书考核指标</w:t>
            </w:r>
          </w:p>
        </w:tc>
        <w:tc>
          <w:tcPr>
            <w:tcW w:w="3005" w:type="dxa"/>
            <w:tcMar>
              <w:top w:w="80" w:type="dxa"/>
              <w:left w:w="90" w:type="dxa"/>
              <w:bottom w:w="80" w:type="dxa"/>
              <w:right w:w="90" w:type="dxa"/>
            </w:tcMar>
            <w:vAlign w:val="center"/>
          </w:tcPr>
          <w:p w14:paraId="6E27A8A8" w14:textId="77777777" w:rsidR="00B8619C" w:rsidRDefault="00000000">
            <w:pPr>
              <w:spacing w:after="0" w:line="264" w:lineRule="auto"/>
            </w:pPr>
            <w:r>
              <w:rPr>
                <w:sz w:val="16"/>
              </w:rPr>
              <w:t>当前材料未提供任务书本体</w:t>
            </w:r>
          </w:p>
        </w:tc>
        <w:tc>
          <w:tcPr>
            <w:tcW w:w="3685" w:type="dxa"/>
            <w:tcMar>
              <w:top w:w="80" w:type="dxa"/>
              <w:left w:w="90" w:type="dxa"/>
              <w:bottom w:w="80" w:type="dxa"/>
              <w:right w:w="90" w:type="dxa"/>
            </w:tcMar>
            <w:vAlign w:val="center"/>
          </w:tcPr>
          <w:p w14:paraId="027E3670" w14:textId="77777777" w:rsidR="00B8619C" w:rsidRDefault="00000000">
            <w:pPr>
              <w:spacing w:after="0" w:line="264" w:lineRule="auto"/>
            </w:pPr>
            <w:r>
              <w:rPr>
                <w:sz w:val="16"/>
              </w:rPr>
              <w:t>增加</w:t>
            </w:r>
            <w:r>
              <w:rPr>
                <w:sz w:val="16"/>
              </w:rPr>
              <w:t>“</w:t>
            </w:r>
            <w:r>
              <w:rPr>
                <w:sz w:val="16"/>
              </w:rPr>
              <w:t>任务指标</w:t>
            </w:r>
            <w:r>
              <w:rPr>
                <w:sz w:val="16"/>
              </w:rPr>
              <w:t>—</w:t>
            </w:r>
            <w:r>
              <w:rPr>
                <w:sz w:val="16"/>
              </w:rPr>
              <w:t>完成情况</w:t>
            </w:r>
            <w:r>
              <w:rPr>
                <w:sz w:val="16"/>
              </w:rPr>
              <w:t>—</w:t>
            </w:r>
            <w:r>
              <w:rPr>
                <w:sz w:val="16"/>
              </w:rPr>
              <w:t>证据文件</w:t>
            </w:r>
            <w:r>
              <w:rPr>
                <w:sz w:val="16"/>
              </w:rPr>
              <w:t>”</w:t>
            </w:r>
            <w:r>
              <w:rPr>
                <w:sz w:val="16"/>
              </w:rPr>
              <w:t>对照表</w:t>
            </w:r>
          </w:p>
        </w:tc>
      </w:tr>
      <w:tr w:rsidR="00B8619C" w14:paraId="11894FDC" w14:textId="77777777">
        <w:trPr>
          <w:cantSplit/>
          <w:jc w:val="center"/>
        </w:trPr>
        <w:tc>
          <w:tcPr>
            <w:tcW w:w="2381" w:type="dxa"/>
            <w:tcMar>
              <w:top w:w="80" w:type="dxa"/>
              <w:left w:w="90" w:type="dxa"/>
              <w:bottom w:w="80" w:type="dxa"/>
              <w:right w:w="90" w:type="dxa"/>
            </w:tcMar>
            <w:vAlign w:val="center"/>
          </w:tcPr>
          <w:p w14:paraId="4067231B" w14:textId="77777777" w:rsidR="00B8619C" w:rsidRDefault="00000000">
            <w:pPr>
              <w:spacing w:after="0" w:line="264" w:lineRule="auto"/>
            </w:pPr>
            <w:r>
              <w:rPr>
                <w:sz w:val="16"/>
              </w:rPr>
              <w:t>复核人、复核日期和排除原因</w:t>
            </w:r>
          </w:p>
        </w:tc>
        <w:tc>
          <w:tcPr>
            <w:tcW w:w="3005" w:type="dxa"/>
            <w:tcMar>
              <w:top w:w="80" w:type="dxa"/>
              <w:left w:w="90" w:type="dxa"/>
              <w:bottom w:w="80" w:type="dxa"/>
              <w:right w:w="90" w:type="dxa"/>
            </w:tcMar>
            <w:vAlign w:val="center"/>
          </w:tcPr>
          <w:p w14:paraId="4FBAA9E9" w14:textId="77777777" w:rsidR="00B8619C" w:rsidRDefault="00000000">
            <w:pPr>
              <w:spacing w:after="0" w:line="264" w:lineRule="auto"/>
            </w:pPr>
            <w:r>
              <w:rPr>
                <w:sz w:val="16"/>
              </w:rPr>
              <w:t>责任字段未完全闭环</w:t>
            </w:r>
          </w:p>
        </w:tc>
        <w:tc>
          <w:tcPr>
            <w:tcW w:w="3685" w:type="dxa"/>
            <w:tcMar>
              <w:top w:w="80" w:type="dxa"/>
              <w:left w:w="90" w:type="dxa"/>
              <w:bottom w:w="80" w:type="dxa"/>
              <w:right w:w="90" w:type="dxa"/>
            </w:tcMar>
            <w:vAlign w:val="center"/>
          </w:tcPr>
          <w:p w14:paraId="47152716" w14:textId="77777777" w:rsidR="00B8619C" w:rsidRDefault="00000000">
            <w:pPr>
              <w:spacing w:after="0" w:line="264" w:lineRule="auto"/>
            </w:pPr>
            <w:r>
              <w:rPr>
                <w:sz w:val="16"/>
              </w:rPr>
              <w:t>数据质控附件与报告</w:t>
            </w:r>
            <w:r>
              <w:rPr>
                <w:sz w:val="16"/>
              </w:rPr>
              <w:t xml:space="preserve"> 3.3 </w:t>
            </w:r>
            <w:r>
              <w:rPr>
                <w:sz w:val="16"/>
              </w:rPr>
              <w:t>节</w:t>
            </w:r>
          </w:p>
        </w:tc>
      </w:tr>
      <w:tr w:rsidR="00B8619C" w14:paraId="57EA0FCB" w14:textId="77777777">
        <w:trPr>
          <w:cantSplit/>
          <w:jc w:val="center"/>
        </w:trPr>
        <w:tc>
          <w:tcPr>
            <w:tcW w:w="2381" w:type="dxa"/>
            <w:tcMar>
              <w:top w:w="80" w:type="dxa"/>
              <w:left w:w="90" w:type="dxa"/>
              <w:bottom w:w="80" w:type="dxa"/>
              <w:right w:w="90" w:type="dxa"/>
            </w:tcMar>
            <w:vAlign w:val="center"/>
          </w:tcPr>
          <w:p w14:paraId="5BC96EBB" w14:textId="77777777" w:rsidR="00B8619C" w:rsidRDefault="00000000">
            <w:pPr>
              <w:spacing w:after="0" w:line="264" w:lineRule="auto"/>
            </w:pPr>
            <w:r>
              <w:rPr>
                <w:sz w:val="16"/>
              </w:rPr>
              <w:t>硬件、</w:t>
            </w:r>
            <w:r>
              <w:rPr>
                <w:sz w:val="16"/>
              </w:rPr>
              <w:t>CUDA</w:t>
            </w:r>
            <w:r>
              <w:rPr>
                <w:sz w:val="16"/>
              </w:rPr>
              <w:t>、</w:t>
            </w:r>
            <w:r>
              <w:rPr>
                <w:sz w:val="16"/>
              </w:rPr>
              <w:t>PyTorch</w:t>
            </w:r>
            <w:r>
              <w:rPr>
                <w:sz w:val="16"/>
              </w:rPr>
              <w:t>版本和训练时长</w:t>
            </w:r>
          </w:p>
        </w:tc>
        <w:tc>
          <w:tcPr>
            <w:tcW w:w="3005" w:type="dxa"/>
            <w:tcMar>
              <w:top w:w="80" w:type="dxa"/>
              <w:left w:w="90" w:type="dxa"/>
              <w:bottom w:w="80" w:type="dxa"/>
              <w:right w:w="90" w:type="dxa"/>
            </w:tcMar>
            <w:vAlign w:val="center"/>
          </w:tcPr>
          <w:p w14:paraId="59A9E488" w14:textId="77777777" w:rsidR="00B8619C" w:rsidRDefault="00000000">
            <w:pPr>
              <w:spacing w:after="0" w:line="264" w:lineRule="auto"/>
            </w:pPr>
            <w:r>
              <w:rPr>
                <w:sz w:val="16"/>
              </w:rPr>
              <w:t>由各实验</w:t>
            </w:r>
            <w:r>
              <w:rPr>
                <w:sz w:val="16"/>
              </w:rPr>
              <w:t xml:space="preserve"> environment.json </w:t>
            </w:r>
            <w:r>
              <w:rPr>
                <w:sz w:val="16"/>
              </w:rPr>
              <w:t>分散记录</w:t>
            </w:r>
          </w:p>
        </w:tc>
        <w:tc>
          <w:tcPr>
            <w:tcW w:w="3685" w:type="dxa"/>
            <w:tcMar>
              <w:top w:w="80" w:type="dxa"/>
              <w:left w:w="90" w:type="dxa"/>
              <w:bottom w:w="80" w:type="dxa"/>
              <w:right w:w="90" w:type="dxa"/>
            </w:tcMar>
            <w:vAlign w:val="center"/>
          </w:tcPr>
          <w:p w14:paraId="65B1251F" w14:textId="77777777" w:rsidR="00B8619C" w:rsidRDefault="00000000">
            <w:pPr>
              <w:spacing w:after="0" w:line="264" w:lineRule="auto"/>
            </w:pPr>
            <w:r>
              <w:rPr>
                <w:sz w:val="16"/>
              </w:rPr>
              <w:t>统一整理为实验环境表</w:t>
            </w:r>
          </w:p>
        </w:tc>
      </w:tr>
      <w:tr w:rsidR="00B8619C" w14:paraId="79EFA715" w14:textId="77777777">
        <w:trPr>
          <w:cantSplit/>
          <w:jc w:val="center"/>
        </w:trPr>
        <w:tc>
          <w:tcPr>
            <w:tcW w:w="2381" w:type="dxa"/>
            <w:tcMar>
              <w:top w:w="80" w:type="dxa"/>
              <w:left w:w="90" w:type="dxa"/>
              <w:bottom w:w="80" w:type="dxa"/>
              <w:right w:w="90" w:type="dxa"/>
            </w:tcMar>
            <w:vAlign w:val="center"/>
          </w:tcPr>
          <w:p w14:paraId="496CD069" w14:textId="77777777" w:rsidR="00B8619C" w:rsidRDefault="00000000">
            <w:pPr>
              <w:spacing w:after="0" w:line="264" w:lineRule="auto"/>
            </w:pPr>
            <w:r>
              <w:rPr>
                <w:sz w:val="16"/>
              </w:rPr>
              <w:t>财务决算、成果证明与凭证</w:t>
            </w:r>
          </w:p>
        </w:tc>
        <w:tc>
          <w:tcPr>
            <w:tcW w:w="3005" w:type="dxa"/>
            <w:tcMar>
              <w:top w:w="80" w:type="dxa"/>
              <w:left w:w="90" w:type="dxa"/>
              <w:bottom w:w="80" w:type="dxa"/>
              <w:right w:w="90" w:type="dxa"/>
            </w:tcMar>
            <w:vAlign w:val="center"/>
          </w:tcPr>
          <w:p w14:paraId="6E843B09" w14:textId="77777777" w:rsidR="00B8619C" w:rsidRDefault="00000000">
            <w:pPr>
              <w:spacing w:after="0" w:line="264" w:lineRule="auto"/>
            </w:pPr>
            <w:r>
              <w:rPr>
                <w:sz w:val="16"/>
              </w:rPr>
              <w:t>需由项目承担单位补充</w:t>
            </w:r>
          </w:p>
        </w:tc>
        <w:tc>
          <w:tcPr>
            <w:tcW w:w="3685" w:type="dxa"/>
            <w:tcMar>
              <w:top w:w="80" w:type="dxa"/>
              <w:left w:w="90" w:type="dxa"/>
              <w:bottom w:w="80" w:type="dxa"/>
              <w:right w:w="90" w:type="dxa"/>
            </w:tcMar>
            <w:vAlign w:val="center"/>
          </w:tcPr>
          <w:p w14:paraId="61D9C1E0" w14:textId="77777777" w:rsidR="00B8619C" w:rsidRDefault="00000000">
            <w:pPr>
              <w:spacing w:after="0" w:line="264" w:lineRule="auto"/>
            </w:pPr>
            <w:r>
              <w:rPr>
                <w:sz w:val="16"/>
              </w:rPr>
              <w:t>结题验收材料附件</w:t>
            </w:r>
          </w:p>
        </w:tc>
      </w:tr>
    </w:tbl>
    <w:p w14:paraId="79E9C25E" w14:textId="77777777" w:rsidR="00B8619C" w:rsidRDefault="00000000">
      <w:pPr>
        <w:pStyle w:val="af7"/>
        <w:keepNext/>
        <w:spacing w:after="100"/>
        <w:jc w:val="center"/>
      </w:pPr>
      <w:r>
        <w:lastRenderedPageBreak/>
        <w:t>表</w:t>
      </w:r>
      <w:r>
        <w:t xml:space="preserve"> A-2 </w:t>
      </w:r>
      <w:r>
        <w:t>正式结题前需要补充的信息</w:t>
      </w:r>
    </w:p>
    <w:p>
      <w:pPr>
        <w:pStyle w:val="1"/>
      </w:pPr>
      <w:r>
        <w:t>附录 B RSG-HRGV 门控后悔理论证明</w:t>
      </w:r>
    </w:p>
    <w:p>
      <w:pPr>
        <w:spacing w:line="360" w:lineRule="auto"/>
      </w:pPr>
      <w:r>
        <w:rPr>
          <w:rFonts w:ascii="宋体" w:hAnsi="宋体" w:eastAsia="宋体"/>
          <w:sz w:val="21"/>
        </w:rPr>
        <w:t>本附录只证明当前 RSG-HRGV 计算图中后悔门控的三个局部结论。它们规定了优化对象与梯度范围，不推出网络在任意数据集上必然提高 Accuracy 或 Macro F1。令带真实角色标签 y 的图片 x 满足 a=pd(y|x)、b=pm(y|x)∈[ε,1]，ε&gt;0；令 g∈[0,1] 为直接角色专家的门控权重，pg=ga+(1−g)b，M=max(a,b)，go=I(a≥b)。</w:t>
      </w:r>
    </w:p>
    <w:p>
      <w:pPr>
        <w:pStyle w:val="21"/>
      </w:pPr>
      <w:r>
        <w:t>B.1 门控误差的路由后悔上界</w:t>
      </w:r>
    </w:p>
    <w:p>
      <w:pPr>
        <w:spacing w:line="360" w:lineRule="auto"/>
      </w:pPr>
      <w:r>
        <w:rPr>
          <w:rFonts w:ascii="宋体" w:hAnsi="宋体" w:eastAsia="宋体"/>
          <w:b/>
          <w:sz w:val="21"/>
        </w:rPr>
        <w:t>定理 B.1（路由后悔上界）</w:t>
      </w:r>
      <w:r>
        <w:rPr>
          <w:rFonts w:ascii="宋体" w:hAnsi="宋体" w:eastAsia="宋体"/>
          <w:sz w:val="21"/>
        </w:rPr>
      </w:r>
    </w:p>
    <w:p>
      <w:pPr>
        <w:spacing w:line="360" w:lineRule="auto"/>
      </w:pPr>
      <w:r>
        <w:rPr>
          <w:rFonts w:ascii="宋体" w:hAnsi="宋体" w:eastAsia="宋体"/>
          <w:sz w:val="21"/>
        </w:rPr>
        <w:t>在上述假设下，RSG 门控相对选择真实类概率更大专家的对数后悔满足下式。</w:t>
      </w:r>
    </w:p>
    <w:p>
      <w:pPr>
        <w:jc w:val="center"/>
      </w:pPr>
      <w:r>
        <w:drawing>
          <wp:inline xmlns:a="http://schemas.openxmlformats.org/drawingml/2006/main" xmlns:pic="http://schemas.openxmlformats.org/drawingml/2006/picture">
            <wp:extent cx="5580000" cy="549212"/>
            <wp:docPr id="39" name="Picture 39"/>
            <wp:cNvGraphicFramePr>
              <a:graphicFrameLocks noChangeAspect="1"/>
            </wp:cNvGraphicFramePr>
            <a:graphic>
              <a:graphicData uri="http://schemas.openxmlformats.org/drawingml/2006/picture">
                <pic:pic>
                  <pic:nvPicPr>
                    <pic:cNvPr id="0" name="rsg_proof_bound.png"/>
                    <pic:cNvPicPr/>
                  </pic:nvPicPr>
                  <pic:blipFill>
                    <a:blip r:embed="rId50"/>
                    <a:stretch>
                      <a:fillRect/>
                    </a:stretch>
                  </pic:blipFill>
                  <pic:spPr>
                    <a:xfrm>
                      <a:off x="0" y="0"/>
                      <a:ext cx="5580000" cy="549212"/>
                    </a:xfrm>
                    <a:prstGeom prst="rect"/>
                  </pic:spPr>
                </pic:pic>
              </a:graphicData>
            </a:graphic>
          </wp:inline>
        </w:drawing>
      </w:r>
    </w:p>
    <w:p>
      <w:pPr>
        <w:spacing w:line="360" w:lineRule="auto"/>
      </w:pPr>
      <w:r>
        <w:rPr>
          <w:rFonts w:ascii="宋体" w:hAnsi="宋体" w:eastAsia="宋体"/>
          <w:sz w:val="21"/>
        </w:rPr>
        <w:t>式（B-1） 门控误差的路由后悔上界</w:t>
      </w:r>
    </w:p>
    <w:p>
      <w:pPr>
        <w:spacing w:line="360" w:lineRule="auto"/>
      </w:pPr>
      <w:r>
        <w:rPr>
          <w:rFonts w:ascii="宋体" w:hAnsi="宋体" w:eastAsia="宋体"/>
          <w:sz w:val="21"/>
        </w:rPr>
        <w:t>证明：pg 是 a 与 b 的凸组合，故 pg≤M，左端非负。若 a≥b，则 M−pg=(1−g)(a−b)=|g−go||a−b|；若 a&lt;b，则 M−pg=g(b−a)=|g−go||a−b|。又因 −log t 在 [ε,1] 上的导数绝对值不超过1/ε，均值定理给出 −log pg+log M≤(M−pg)/ε，代入前述恒等式即得结论。证毕。</w:t>
      </w:r>
    </w:p>
    <w:p>
      <w:pPr>
        <w:spacing w:line="360" w:lineRule="auto"/>
      </w:pPr>
      <w:r>
        <w:rPr>
          <w:rFonts w:ascii="宋体" w:hAnsi="宋体" w:eastAsia="宋体"/>
          <w:sz w:val="21"/>
        </w:rPr>
        <w:t>该上界说明，当两专家对真实类证据接近时，选错专家引起的后悔也受限；当差距显著时，门控误差的代价增大。因此 RSG 采用 tanh(|Δ|/Tw) 作为有界差距权重，而非仅凭经验放大所有样本。</w:t>
      </w:r>
    </w:p>
    <w:p>
      <w:pPr>
        <w:pStyle w:val="21"/>
      </w:pPr>
      <w:r>
        <w:t>B.2 软门控目标的指数逼近</w:t>
      </w:r>
    </w:p>
    <w:p>
      <w:pPr>
        <w:spacing w:line="360" w:lineRule="auto"/>
      </w:pPr>
      <w:r>
        <w:rPr>
          <w:rFonts w:ascii="宋体" w:hAnsi="宋体" w:eastAsia="宋体"/>
          <w:sz w:val="21"/>
        </w:rPr>
        <w:t>令 Δ=log(a/b)，g*=σ(Δ/Tr)，Tr&gt;0。</w:t>
      </w:r>
    </w:p>
    <w:p>
      <w:pPr>
        <w:jc w:val="center"/>
      </w:pPr>
      <w:r>
        <w:drawing>
          <wp:inline xmlns:a="http://schemas.openxmlformats.org/drawingml/2006/main" xmlns:pic="http://schemas.openxmlformats.org/drawingml/2006/picture">
            <wp:extent cx="5580000" cy="610903"/>
            <wp:docPr id="40" name="Picture 40"/>
            <wp:cNvGraphicFramePr>
              <a:graphicFrameLocks noChangeAspect="1"/>
            </wp:cNvGraphicFramePr>
            <a:graphic>
              <a:graphicData uri="http://schemas.openxmlformats.org/drawingml/2006/picture">
                <pic:pic>
                  <pic:nvPicPr>
                    <pic:cNvPr id="0" name="rsg_proof_soft.png"/>
                    <pic:cNvPicPr/>
                  </pic:nvPicPr>
                  <pic:blipFill>
                    <a:blip r:embed="rId51"/>
                    <a:stretch>
                      <a:fillRect/>
                    </a:stretch>
                  </pic:blipFill>
                  <pic:spPr>
                    <a:xfrm>
                      <a:off x="0" y="0"/>
                      <a:ext cx="5580000" cy="610903"/>
                    </a:xfrm>
                    <a:prstGeom prst="rect"/>
                  </pic:spPr>
                </pic:pic>
              </a:graphicData>
            </a:graphic>
          </wp:inline>
        </w:drawing>
      </w:r>
    </w:p>
    <w:p>
      <w:pPr>
        <w:spacing w:line="360" w:lineRule="auto"/>
      </w:pPr>
      <w:r>
        <w:rPr>
          <w:rFonts w:ascii="宋体" w:hAnsi="宋体" w:eastAsia="宋体"/>
          <w:sz w:val="21"/>
        </w:rPr>
        <w:t>式（B-2） 软目标对硬最优门控的指数逼近</w:t>
      </w:r>
    </w:p>
    <w:p>
      <w:pPr>
        <w:spacing w:line="360" w:lineRule="auto"/>
      </w:pPr>
      <w:r>
        <w:rPr>
          <w:rFonts w:ascii="宋体" w:hAnsi="宋体" w:eastAsia="宋体"/>
          <w:sz w:val="21"/>
        </w:rPr>
        <w:t>证明：Δ&gt;0 时，go=1，且1−σ(Δ/Tr)=1/(1+exp(Δ/Tr))≤exp(−Δ/Tr)。Δ&lt;0 时，go=0，且σ(Δ/Tr)=1/(1+exp(|Δ|/Tr))≤exp(−|Δ|/Tr)。证毕。该结论说明专家优劣明确时软目标接近硬选择，而专家接近时保留连续不确定性。</w:t>
      </w:r>
    </w:p>
    <w:p>
      <w:pPr>
        <w:pStyle w:val="21"/>
      </w:pPr>
      <w:r>
        <w:t>B.3 后悔监督分支的局部梯度隔离</w:t>
      </w:r>
    </w:p>
    <w:p>
      <w:pPr>
        <w:spacing w:line="360" w:lineRule="auto"/>
      </w:pPr>
      <w:r>
        <w:rPr>
          <w:rFonts w:ascii="宋体" w:hAnsi="宋体" w:eastAsia="宋体"/>
          <w:sz w:val="21"/>
        </w:rPr>
        <w:t>当前实现中，门控输入 z=[h,Hbar(pd),Hbar(pm),DJS(pd||pm)]、软目标 g* 与权重 w 都在后悔分支使用 stopgrad；门控为 g=σ(fφ(stopgrad(z)))，后悔损失为 Lreg=w BCE(g,g*)。</w:t>
      </w:r>
    </w:p>
    <w:p>
      <w:pPr>
        <w:jc w:val="center"/>
      </w:pPr>
      <w:r>
        <w:drawing>
          <wp:inline xmlns:a="http://schemas.openxmlformats.org/drawingml/2006/main" xmlns:pic="http://schemas.openxmlformats.org/drawingml/2006/picture">
            <wp:extent cx="5580000" cy="701886"/>
            <wp:docPr id="41" name="Picture 41"/>
            <wp:cNvGraphicFramePr>
              <a:graphicFrameLocks noChangeAspect="1"/>
            </wp:cNvGraphicFramePr>
            <a:graphic>
              <a:graphicData uri="http://schemas.openxmlformats.org/drawingml/2006/picture">
                <pic:pic>
                  <pic:nvPicPr>
                    <pic:cNvPr id="0" name="rsg_proof_gradient.png"/>
                    <pic:cNvPicPr/>
                  </pic:nvPicPr>
                  <pic:blipFill>
                    <a:blip r:embed="rId52"/>
                    <a:stretch>
                      <a:fillRect/>
                    </a:stretch>
                  </pic:blipFill>
                  <pic:spPr>
                    <a:xfrm>
                      <a:off x="0" y="0"/>
                      <a:ext cx="5580000" cy="701886"/>
                    </a:xfrm>
                    <a:prstGeom prst="rect"/>
                  </pic:spPr>
                </pic:pic>
              </a:graphicData>
            </a:graphic>
          </wp:inline>
        </w:drawing>
      </w:r>
    </w:p>
    <w:p>
      <w:pPr>
        <w:spacing w:line="360" w:lineRule="auto"/>
      </w:pPr>
      <w:r>
        <w:rPr>
          <w:rFonts w:ascii="宋体" w:hAnsi="宋体" w:eastAsia="宋体"/>
          <w:sz w:val="21"/>
        </w:rPr>
        <w:t>式（B-3） RSG 后悔分支的局部梯度隔离</w:t>
      </w:r>
    </w:p>
    <w:p>
      <w:pPr>
        <w:spacing w:line="360" w:lineRule="auto"/>
      </w:pPr>
      <w:r>
        <w:rPr>
          <w:rFonts w:ascii="宋体" w:hAnsi="宋体" w:eastAsia="宋体"/>
          <w:sz w:val="21"/>
        </w:rPr>
        <w:t>证明：对产生 h、pd 与 pm 的任意共享主干或专家参数 θe，stopgrad 使 ∂z/∂θe、∂g*/∂θe 与∂w/∂θe 在 Lreg 分支均为0。链式法则遂使 ∂Lreg/∂θe=0。只要 0&lt;g&lt;1、w&gt;0 且g≠g*，二元交叉熵关于g的导数非零，故门控参数 φ 仍可更新。证毕。</w:t>
      </w:r>
    </w:p>
    <w:p>
      <w:pPr>
        <w:spacing w:line="360" w:lineRule="auto"/>
      </w:pPr>
      <w:r>
        <w:rPr>
          <w:rFonts w:ascii="宋体" w:hAnsi="宋体" w:eastAsia="宋体"/>
          <w:sz w:val="21"/>
        </w:rPr>
        <w:t>重要边界：式（B-3）只针对 Lreg 分支。角色、种类、一致性、验证器和对比损失仍依原计算图更新共享主干；因此局部梯度隔离不是“停止训练主干”。</w:t>
      </w:r>
    </w:p>
    <w:p>
      <w:pPr>
        <w:pStyle w:val="21"/>
      </w:pPr>
      <w:r>
        <w:t>B.4 证伪性与实验对应</w:t>
      </w:r>
    </w:p>
    <w:p>
      <w:pPr>
        <w:spacing w:line="360" w:lineRule="auto"/>
      </w:pPr>
      <w:r>
        <w:rPr>
          <w:rFonts w:ascii="宋体" w:hAnsi="宋体" w:eastAsia="宋体"/>
          <w:sz w:val="21"/>
        </w:rPr>
        <w:t>定理 B.1 对应平均路由后悔，定理 B.2 对应软/硬目标与一对一错路由选择率，定理 B.3 对应取消局部隔离的受控消融。固定测试划分中，RSG−HRGV 的平均路由后悔为−1.77个百分点，95%簇 Bootstrap 区间[−2.86, −0.69]；摄影者留出独立确认中为−3.53个百分点，区间[−4.75, −2.17]。这些结果支持已定义的路由机制，但不将理论性质扩大为工业分选、品位预测或整体分类精度的普适保证。</w:t>
      </w:r>
    </w:p>
    <w:p>
      <w:pPr>
        <w:pStyle w:val="1"/>
      </w:pPr>
      <w:r>
        <w:t>附录 C RSG-HRGV 三随机种子理论消融</w:t>
      </w:r>
    </w:p>
    <w:p>
      <w:pPr>
        <w:spacing w:line="360" w:lineRule="auto"/>
      </w:pPr>
      <w:r>
        <w:rPr>
          <w:rFonts w:ascii="宋体" w:hAnsi="宋体" w:eastAsia="宋体"/>
          <w:sz w:val="21"/>
        </w:rPr>
        <w:t>本附录使用与完整 RSG 相同的三随机种子、固定数据划分、EfficientNet-B0 主干、验证器耦合方式和训练预算，只替换一个后悔门控部件。各配置按图片 split_group_id 聚类、按随机种子重采样的两阶段 Bootstrap（2,000 次）与完整 RSG 进行逐图成对比较。该消融用于检验已定义的机制边界，不用于声称一般分类精度或工业分选性能。</w:t>
      </w:r>
    </w:p>
    <w:p>
      <w:pPr>
        <w:pStyle w:val="21"/>
      </w:pPr>
      <w:r>
        <w:t>C.1 受控配置与指标</w:t>
      </w:r>
    </w:p>
    <w:tbl>
      <w:tblPr>
        <w:tblStyle w:val="aff1"/>
        <w:tblW w:type="auto" w:w="0"/>
        <w:tblLook w:firstColumn="1" w:firstRow="1" w:lastColumn="0" w:lastRow="0" w:noHBand="0" w:noVBand="1" w:val="04A0"/>
      </w:tblPr>
      <w:tblGrid>
        <w:gridCol w:w="3062"/>
        <w:gridCol w:w="3062"/>
        <w:gridCol w:w="3062"/>
      </w:tblGrid>
      <w:tr>
        <w:tc>
          <w:tcPr>
            <w:tcW w:type="dxa" w:w="3062"/>
          </w:tcPr>
          <w:p>
            <w:r>
              <w:rPr>
                <w:rFonts w:ascii="宋体" w:hAnsi="宋体" w:eastAsia="宋体"/>
                <w:b/>
                <w:sz w:val="17"/>
              </w:rPr>
              <w:t>配置</w:t>
            </w:r>
          </w:p>
        </w:tc>
        <w:tc>
          <w:tcPr>
            <w:tcW w:type="dxa" w:w="3062"/>
          </w:tcPr>
          <w:p>
            <w:r>
              <w:rPr>
                <w:rFonts w:ascii="宋体" w:hAnsi="宋体" w:eastAsia="宋体"/>
                <w:b/>
                <w:sz w:val="17"/>
              </w:rPr>
              <w:t>仅改变的部件</w:t>
            </w:r>
          </w:p>
        </w:tc>
        <w:tc>
          <w:tcPr>
            <w:tcW w:type="dxa" w:w="3062"/>
          </w:tcPr>
          <w:p>
            <w:r>
              <w:rPr>
                <w:rFonts w:ascii="宋体" w:hAnsi="宋体" w:eastAsia="宋体"/>
                <w:b/>
                <w:sz w:val="17"/>
              </w:rPr>
              <w:t>理论对应</w:t>
            </w:r>
          </w:p>
        </w:tc>
      </w:tr>
      <w:tr>
        <w:tc>
          <w:tcPr>
            <w:tcW w:type="dxa" w:w="3062"/>
          </w:tcPr>
          <w:p>
            <w:r>
              <w:rPr>
                <w:rFonts w:ascii="宋体" w:hAnsi="宋体" w:eastAsia="宋体"/>
                <w:sz w:val="17"/>
              </w:rPr>
              <w:t>完整 RSG</w:t>
            </w:r>
          </w:p>
        </w:tc>
        <w:tc>
          <w:tcPr>
            <w:tcW w:type="dxa" w:w="3062"/>
          </w:tcPr>
          <w:p>
            <w:r>
              <w:rPr>
                <w:rFonts w:ascii="宋体" w:hAnsi="宋体" w:eastAsia="宋体"/>
                <w:sz w:val="17"/>
              </w:rPr>
              <w:t>软目标 + 差距权重 + 后悔分支 stopgrad</w:t>
            </w:r>
          </w:p>
        </w:tc>
        <w:tc>
          <w:tcPr>
            <w:tcW w:type="dxa" w:w="3062"/>
          </w:tcPr>
          <w:p>
            <w:r>
              <w:rPr>
                <w:rFonts w:ascii="宋体" w:hAnsi="宋体" w:eastAsia="宋体"/>
                <w:sz w:val="17"/>
              </w:rPr>
              <w:t>完整方法</w:t>
            </w:r>
          </w:p>
        </w:tc>
      </w:tr>
      <w:tr>
        <w:tc>
          <w:tcPr>
            <w:tcW w:type="dxa" w:w="3062"/>
          </w:tcPr>
          <w:p>
            <w:r>
              <w:rPr>
                <w:rFonts w:ascii="宋体" w:hAnsi="宋体" w:eastAsia="宋体"/>
                <w:sz w:val="17"/>
              </w:rPr>
              <w:t>硬目标</w:t>
            </w:r>
          </w:p>
        </w:tc>
        <w:tc>
          <w:tcPr>
            <w:tcW w:type="dxa" w:w="3062"/>
          </w:tcPr>
          <w:p>
            <w:r>
              <w:rPr>
                <w:rFonts w:ascii="宋体" w:hAnsi="宋体" w:eastAsia="宋体"/>
                <w:sz w:val="17"/>
              </w:rPr>
              <w:t>将 g*=sigmoid(Delta/Tr) 改为 I(Delta&gt;=0)</w:t>
            </w:r>
          </w:p>
        </w:tc>
        <w:tc>
          <w:tcPr>
            <w:tcW w:type="dxa" w:w="3062"/>
          </w:tcPr>
          <w:p>
            <w:r>
              <w:rPr>
                <w:rFonts w:ascii="宋体" w:hAnsi="宋体" w:eastAsia="宋体"/>
                <w:sz w:val="17"/>
              </w:rPr>
              <w:t>式(B-2)的连续软目标</w:t>
            </w:r>
          </w:p>
        </w:tc>
      </w:tr>
      <w:tr>
        <w:tc>
          <w:tcPr>
            <w:tcW w:type="dxa" w:w="3062"/>
          </w:tcPr>
          <w:p>
            <w:r>
              <w:rPr>
                <w:rFonts w:ascii="宋体" w:hAnsi="宋体" w:eastAsia="宋体"/>
                <w:sz w:val="17"/>
              </w:rPr>
              <w:t>取消置信度加权</w:t>
            </w:r>
          </w:p>
        </w:tc>
        <w:tc>
          <w:tcPr>
            <w:tcW w:type="dxa" w:w="3062"/>
          </w:tcPr>
          <w:p>
            <w:r>
              <w:rPr>
                <w:rFonts w:ascii="宋体" w:hAnsi="宋体" w:eastAsia="宋体"/>
                <w:sz w:val="17"/>
              </w:rPr>
              <w:t>将 w=tanh(|Delta|/Tw) 改为 w=1</w:t>
            </w:r>
          </w:p>
        </w:tc>
        <w:tc>
          <w:tcPr>
            <w:tcW w:type="dxa" w:w="3062"/>
          </w:tcPr>
          <w:p>
            <w:r>
              <w:rPr>
                <w:rFonts w:ascii="宋体" w:hAnsi="宋体" w:eastAsia="宋体"/>
                <w:sz w:val="17"/>
              </w:rPr>
              <w:t>式(B-1)的差距风险代理</w:t>
            </w:r>
          </w:p>
        </w:tc>
      </w:tr>
      <w:tr>
        <w:tc>
          <w:tcPr>
            <w:tcW w:type="dxa" w:w="3062"/>
          </w:tcPr>
          <w:p>
            <w:r>
              <w:rPr>
                <w:rFonts w:ascii="宋体" w:hAnsi="宋体" w:eastAsia="宋体"/>
                <w:sz w:val="17"/>
              </w:rPr>
              <w:t>取消局部梯度隔离</w:t>
            </w:r>
          </w:p>
        </w:tc>
        <w:tc>
          <w:tcPr>
            <w:tcW w:type="dxa" w:w="3062"/>
          </w:tcPr>
          <w:p>
            <w:r>
              <w:rPr>
                <w:rFonts w:ascii="宋体" w:hAnsi="宋体" w:eastAsia="宋体"/>
                <w:sz w:val="17"/>
              </w:rPr>
              <w:t>允许 Lreg 经门控输入回传至主干/专家</w:t>
            </w:r>
          </w:p>
        </w:tc>
        <w:tc>
          <w:tcPr>
            <w:tcW w:type="dxa" w:w="3062"/>
          </w:tcPr>
          <w:p>
            <w:r>
              <w:rPr>
                <w:rFonts w:ascii="宋体" w:hAnsi="宋体" w:eastAsia="宋体"/>
                <w:sz w:val="17"/>
              </w:rPr>
              <w:t>式(B-3)的局部梯度边界</w:t>
            </w:r>
          </w:p>
        </w:tc>
      </w:tr>
    </w:tbl>
    <w:p/>
    <w:p>
      <w:pPr>
        <w:spacing w:line="360" w:lineRule="auto"/>
      </w:pPr>
      <w:r>
        <w:rPr>
          <w:rFonts w:ascii="宋体" w:hAnsi="宋体" w:eastAsia="宋体"/>
          <w:sz w:val="21"/>
        </w:rPr>
        <w:t>主要机制指标为平均路由后悔（越低越好）和一对一错样本的门控选择正确率（越高越好）；同时报告 Accuracy、Macro F1、目标类召回率及两类误入率，以检查路由改善是否伴随不可接受的主任务风险。</w:t>
      </w:r>
    </w:p>
    <w:p>
      <w:pPr>
        <w:pStyle w:val="21"/>
      </w:pPr>
      <w:r>
        <w:t>C.2 三随机种子汇总</w:t>
      </w:r>
    </w:p>
    <w:tbl>
      <w:tblPr>
        <w:tblStyle w:val="aff1"/>
        <w:tblW w:type="auto" w:w="0"/>
        <w:tblLook w:firstColumn="1" w:firstRow="1" w:lastColumn="0" w:lastRow="0" w:noHBand="0" w:noVBand="1" w:val="04A0"/>
      </w:tblPr>
      <w:tblGrid>
        <w:gridCol w:w="2296"/>
        <w:gridCol w:w="2296"/>
        <w:gridCol w:w="2296"/>
        <w:gridCol w:w="2296"/>
      </w:tblGrid>
      <w:tr>
        <w:tc>
          <w:tcPr>
            <w:tcW w:type="dxa" w:w="2296"/>
          </w:tcPr>
          <w:p>
            <w:r>
              <w:rPr>
                <w:rFonts w:ascii="宋体" w:hAnsi="宋体" w:eastAsia="宋体"/>
                <w:b/>
                <w:sz w:val="17"/>
              </w:rPr>
              <w:t>配置</w:t>
            </w:r>
          </w:p>
        </w:tc>
        <w:tc>
          <w:tcPr>
            <w:tcW w:type="dxa" w:w="2296"/>
          </w:tcPr>
          <w:p>
            <w:r>
              <w:rPr>
                <w:rFonts w:ascii="宋体" w:hAnsi="宋体" w:eastAsia="宋体"/>
                <w:b/>
                <w:sz w:val="17"/>
              </w:rPr>
              <w:t>Macro F1</w:t>
            </w:r>
          </w:p>
        </w:tc>
        <w:tc>
          <w:tcPr>
            <w:tcW w:type="dxa" w:w="2296"/>
          </w:tcPr>
          <w:p>
            <w:r>
              <w:rPr>
                <w:rFonts w:ascii="宋体" w:hAnsi="宋体" w:eastAsia="宋体"/>
                <w:b/>
                <w:sz w:val="17"/>
              </w:rPr>
              <w:t>门控选择正确率</w:t>
            </w:r>
          </w:p>
        </w:tc>
        <w:tc>
          <w:tcPr>
            <w:tcW w:type="dxa" w:w="2296"/>
          </w:tcPr>
          <w:p>
            <w:r>
              <w:rPr>
                <w:rFonts w:ascii="宋体" w:hAnsi="宋体" w:eastAsia="宋体"/>
                <w:b/>
                <w:sz w:val="17"/>
              </w:rPr>
              <w:t>平均路由后悔</w:t>
            </w:r>
          </w:p>
        </w:tc>
      </w:tr>
      <w:tr>
        <w:tc>
          <w:tcPr>
            <w:tcW w:type="dxa" w:w="2296"/>
          </w:tcPr>
          <w:p>
            <w:r>
              <w:rPr>
                <w:rFonts w:ascii="宋体" w:hAnsi="宋体" w:eastAsia="宋体"/>
                <w:sz w:val="17"/>
              </w:rPr>
              <w:t>完整 RSG</w:t>
            </w:r>
          </w:p>
        </w:tc>
        <w:tc>
          <w:tcPr>
            <w:tcW w:type="dxa" w:w="2296"/>
          </w:tcPr>
          <w:p>
            <w:r>
              <w:rPr>
                <w:rFonts w:ascii="宋体" w:hAnsi="宋体" w:eastAsia="宋体"/>
                <w:sz w:val="17"/>
              </w:rPr>
              <w:t>74.76% +/- 0.90%</w:t>
            </w:r>
          </w:p>
        </w:tc>
        <w:tc>
          <w:tcPr>
            <w:tcW w:type="dxa" w:w="2296"/>
          </w:tcPr>
          <w:p>
            <w:r>
              <w:rPr>
                <w:rFonts w:ascii="宋体" w:hAnsi="宋体" w:eastAsia="宋体"/>
                <w:sz w:val="17"/>
              </w:rPr>
              <w:t>58.01% +/- 1.76%</w:t>
            </w:r>
          </w:p>
        </w:tc>
        <w:tc>
          <w:tcPr>
            <w:tcW w:type="dxa" w:w="2296"/>
          </w:tcPr>
          <w:p>
            <w:r>
              <w:rPr>
                <w:rFonts w:ascii="宋体" w:hAnsi="宋体" w:eastAsia="宋体"/>
                <w:sz w:val="17"/>
              </w:rPr>
              <w:t>8.09% +/- 0.17%</w:t>
            </w:r>
          </w:p>
        </w:tc>
      </w:tr>
      <w:tr>
        <w:tc>
          <w:tcPr>
            <w:tcW w:type="dxa" w:w="2296"/>
          </w:tcPr>
          <w:p>
            <w:r>
              <w:rPr>
                <w:rFonts w:ascii="宋体" w:hAnsi="宋体" w:eastAsia="宋体"/>
                <w:sz w:val="17"/>
              </w:rPr>
              <w:t>硬目标</w:t>
            </w:r>
          </w:p>
        </w:tc>
        <w:tc>
          <w:tcPr>
            <w:tcW w:type="dxa" w:w="2296"/>
          </w:tcPr>
          <w:p>
            <w:r>
              <w:rPr>
                <w:rFonts w:ascii="宋体" w:hAnsi="宋体" w:eastAsia="宋体"/>
                <w:sz w:val="17"/>
              </w:rPr>
              <w:t>74.56% +/- 0.40%</w:t>
            </w:r>
          </w:p>
        </w:tc>
        <w:tc>
          <w:tcPr>
            <w:tcW w:type="dxa" w:w="2296"/>
          </w:tcPr>
          <w:p>
            <w:r>
              <w:rPr>
                <w:rFonts w:ascii="宋体" w:hAnsi="宋体" w:eastAsia="宋体"/>
                <w:sz w:val="17"/>
              </w:rPr>
              <w:t>53.24% +/- 4.44%</w:t>
            </w:r>
          </w:p>
        </w:tc>
        <w:tc>
          <w:tcPr>
            <w:tcW w:type="dxa" w:w="2296"/>
          </w:tcPr>
          <w:p>
            <w:r>
              <w:rPr>
                <w:rFonts w:ascii="宋体" w:hAnsi="宋体" w:eastAsia="宋体"/>
                <w:sz w:val="17"/>
              </w:rPr>
              <w:t>10.02% +/- 0.65%</w:t>
            </w:r>
          </w:p>
        </w:tc>
      </w:tr>
      <w:tr>
        <w:tc>
          <w:tcPr>
            <w:tcW w:type="dxa" w:w="2296"/>
          </w:tcPr>
          <w:p>
            <w:r>
              <w:rPr>
                <w:rFonts w:ascii="宋体" w:hAnsi="宋体" w:eastAsia="宋体"/>
                <w:sz w:val="17"/>
              </w:rPr>
              <w:t>取消置信度加权</w:t>
            </w:r>
          </w:p>
        </w:tc>
        <w:tc>
          <w:tcPr>
            <w:tcW w:type="dxa" w:w="2296"/>
          </w:tcPr>
          <w:p>
            <w:r>
              <w:rPr>
                <w:rFonts w:ascii="宋体" w:hAnsi="宋体" w:eastAsia="宋体"/>
                <w:sz w:val="17"/>
              </w:rPr>
              <w:t>73.77% +/- 1.23%</w:t>
            </w:r>
          </w:p>
        </w:tc>
        <w:tc>
          <w:tcPr>
            <w:tcW w:type="dxa" w:w="2296"/>
          </w:tcPr>
          <w:p>
            <w:r>
              <w:rPr>
                <w:rFonts w:ascii="宋体" w:hAnsi="宋体" w:eastAsia="宋体"/>
                <w:sz w:val="17"/>
              </w:rPr>
              <w:t>58.21% +/- 4.78%</w:t>
            </w:r>
          </w:p>
        </w:tc>
        <w:tc>
          <w:tcPr>
            <w:tcW w:type="dxa" w:w="2296"/>
          </w:tcPr>
          <w:p>
            <w:r>
              <w:rPr>
                <w:rFonts w:ascii="宋体" w:hAnsi="宋体" w:eastAsia="宋体"/>
                <w:sz w:val="17"/>
              </w:rPr>
              <w:t>7.88% +/- 0.45%</w:t>
            </w:r>
          </w:p>
        </w:tc>
      </w:tr>
      <w:tr>
        <w:tc>
          <w:tcPr>
            <w:tcW w:type="dxa" w:w="2296"/>
          </w:tcPr>
          <w:p>
            <w:r>
              <w:rPr>
                <w:rFonts w:ascii="宋体" w:hAnsi="宋体" w:eastAsia="宋体"/>
                <w:sz w:val="17"/>
              </w:rPr>
              <w:t>取消局部梯度隔离</w:t>
            </w:r>
          </w:p>
        </w:tc>
        <w:tc>
          <w:tcPr>
            <w:tcW w:type="dxa" w:w="2296"/>
          </w:tcPr>
          <w:p>
            <w:r>
              <w:rPr>
                <w:rFonts w:ascii="宋体" w:hAnsi="宋体" w:eastAsia="宋体"/>
                <w:sz w:val="17"/>
              </w:rPr>
              <w:t>73.17% +/- 1.35%</w:t>
            </w:r>
          </w:p>
        </w:tc>
        <w:tc>
          <w:tcPr>
            <w:tcW w:type="dxa" w:w="2296"/>
          </w:tcPr>
          <w:p>
            <w:r>
              <w:rPr>
                <w:rFonts w:ascii="宋体" w:hAnsi="宋体" w:eastAsia="宋体"/>
                <w:sz w:val="17"/>
              </w:rPr>
              <w:t>51.64% +/- 8.83%</w:t>
            </w:r>
          </w:p>
        </w:tc>
        <w:tc>
          <w:tcPr>
            <w:tcW w:type="dxa" w:w="2296"/>
          </w:tcPr>
          <w:p>
            <w:r>
              <w:rPr>
                <w:rFonts w:ascii="宋体" w:hAnsi="宋体" w:eastAsia="宋体"/>
                <w:sz w:val="17"/>
              </w:rPr>
              <w:t>7.57% +/- 0.21%</w:t>
            </w:r>
          </w:p>
        </w:tc>
      </w:tr>
    </w:tbl>
    <w:p/>
    <w:p>
      <w:pPr>
        <w:pStyle w:val="21"/>
      </w:pPr>
      <w:r>
        <w:t>C.3 机制检验与可支持的结论</w:t>
      </w:r>
    </w:p>
    <w:p>
      <w:pPr>
        <w:spacing w:line="360" w:lineRule="auto"/>
      </w:pPr>
      <w:r>
        <w:rPr>
          <w:rFonts w:ascii="宋体" w:hAnsi="宋体" w:eastAsia="宋体"/>
          <w:sz w:val="21"/>
        </w:rPr>
        <w:t>（1）软目标：相对完整 RSG，硬目标的平均路由后悔增加1.94%，95% Bootstrap 区间为[1.30%, 2.60%]，有利于硬目标的重采样概率为0.000。该区间不跨零，说明在当前固定公开标本数据上，连续软目标优于将近似等价专家强制二值化；这与式(B-2)的动机一致。</w:t>
      </w:r>
    </w:p>
    <w:p>
      <w:pPr>
        <w:spacing w:line="360" w:lineRule="auto"/>
      </w:pPr>
      <w:r>
        <w:rPr>
          <w:rFonts w:ascii="宋体" w:hAnsi="宋体" w:eastAsia="宋体"/>
          <w:sz w:val="21"/>
        </w:rPr>
        <w:t>（2）置信度加权：取消加权相对完整 RSG 的平均路由后悔差异为-0.20%，区间为[-0.62%, 0.12%]，跨越零。因此，w=tanh(|Delta|/Tw) 可作为由式(B-1)风险上界导出的有界设计，但本次三随机种子实验尚不能证明它在该数据集上带来稳定的额外性能增益；报告保留该负结果，不把它表述为已验证的普适优势。</w:t>
      </w:r>
    </w:p>
    <w:p>
      <w:pPr>
        <w:spacing w:line="360" w:lineRule="auto"/>
      </w:pPr>
      <w:r>
        <w:rPr>
          <w:rFonts w:ascii="宋体" w:hAnsi="宋体" w:eastAsia="宋体"/>
          <w:sz w:val="21"/>
        </w:rPr>
        <w:t>（3）局部梯度隔离：取消隔离后平均路由后悔变化为-0.51%，区间为[-0.85%, -0.16%]；Macro F1 变化为-1.58%，区间为[-4.10%, 0.36%]。前者下降而后者呈下降趋势，表明让后悔监督直接改写专家证据可能以主任务稳定性为代价交换路由指标。式(B-3)是计算图的严格局部梯度结论；本实验只将其作为模块化优化边界的经验权衡，不声称隔离必然提高所有分类指标。</w:t>
      </w:r>
    </w:p>
    <w:p>
      <w:pPr>
        <w:pStyle w:val="21"/>
      </w:pPr>
      <w:r>
        <w:t>C.4 结论边界</w:t>
      </w:r>
    </w:p>
    <w:p>
      <w:pPr>
        <w:spacing w:line="360" w:lineRule="auto"/>
      </w:pPr>
      <w:r>
        <w:rPr>
          <w:rFonts w:ascii="宋体" w:hAnsi="宋体" w:eastAsia="宋体"/>
          <w:sz w:val="21"/>
        </w:rPr>
        <w:t>本组结果支持的最强结论是：在当前固定公开标本图像数据与冻结训练协议下，RSG 的软门控目标可稳定降低已定义的路由后悔；后悔分支的差距加权和梯度隔离分别体现为风险建模与优化边界，但其单独的性能贡献存在数据依赖性。该结论不等同于矿物品位预测、真实产线回收率提升或未知矿物拒识能力。</w:t>
      </w:r>
    </w:p>
    <w:p>
      <w:pPr>
        <w:pStyle w:val="1"/>
      </w:pPr>
      <w:r>
        <w:t>附录 D CGDC-RSG-HRGV 网络理论与实验</w:t>
      </w:r>
    </w:p>
    <w:p>
      <w:pPr>
        <w:pStyle w:val="21"/>
      </w:pPr>
      <w:r>
        <w:t>D.1 网络结构与理论定位</w:t>
      </w:r>
    </w:p>
    <w:p>
      <w:pPr>
        <w:spacing w:line="360" w:lineRule="auto"/>
      </w:pPr>
      <w:r>
        <w:rPr>
          <w:rFonts w:ascii="宋体" w:hAnsi="宋体" w:eastAsia="宋体"/>
          <w:sz w:val="21"/>
        </w:rPr>
        <w:t>CGDC-RSG-HRGV-Net 以 EfficientNet-B0 为共享视觉主干，将共享特征 h 通过直接角色残差适配器和矿物种类残差适配器分解为 u_d=h+A_d(h) 与 u_s=h+A_s(h)。直接角色专家给出 p_d，种类专家经固定种类-角色映射聚合为 p_m；既有 RSG 门控给出融合后验 p_f=g p_d+(1-g)p_m。仅在两路证据不一致时，CGDC 校正器再执行受界后验修正。</w:t>
      </w:r>
    </w:p>
    <w:p>
      <w:pPr>
        <w:jc w:val="center"/>
      </w:pPr>
      <w:r>
        <w:drawing>
          <wp:inline xmlns:a="http://schemas.openxmlformats.org/drawingml/2006/main" xmlns:pic="http://schemas.openxmlformats.org/drawingml/2006/picture">
            <wp:extent cx="5508000" cy="370116"/>
            <wp:docPr id="42" name="Picture 42"/>
            <wp:cNvGraphicFramePr>
              <a:graphicFrameLocks noChangeAspect="1"/>
            </wp:cNvGraphicFramePr>
            <a:graphic>
              <a:graphicData uri="http://schemas.openxmlformats.org/drawingml/2006/picture">
                <pic:pic>
                  <pic:nvPicPr>
                    <pic:cNvPr id="0" name="cgdc_decomposition.png"/>
                    <pic:cNvPicPr/>
                  </pic:nvPicPr>
                  <pic:blipFill>
                    <a:blip r:embed="rId53"/>
                    <a:stretch>
                      <a:fillRect/>
                    </a:stretch>
                  </pic:blipFill>
                  <pic:spPr>
                    <a:xfrm>
                      <a:off x="0" y="0"/>
                      <a:ext cx="5508000" cy="370116"/>
                    </a:xfrm>
                    <a:prstGeom prst="rect"/>
                  </pic:spPr>
                </pic:pic>
              </a:graphicData>
            </a:graphic>
          </wp:inline>
        </w:drawing>
      </w:r>
    </w:p>
    <w:p>
      <w:pPr>
        <w:spacing w:line="360" w:lineRule="auto"/>
      </w:pPr>
      <w:r>
        <w:rPr>
          <w:rFonts w:ascii="宋体" w:hAnsi="宋体" w:eastAsia="宋体"/>
          <w:sz w:val="21"/>
        </w:rPr>
        <w:t>式（D-1） 跨粒度残差证据分解与适配器去相关约束</w:t>
      </w:r>
    </w:p>
    <w:p>
      <w:pPr>
        <w:spacing w:line="360" w:lineRule="auto"/>
      </w:pPr>
      <w:r>
        <w:rPr>
          <w:rFonts w:ascii="宋体" w:hAnsi="宋体" w:eastAsia="宋体"/>
          <w:sz w:val="21"/>
        </w:rPr>
        <w:t>令 rho=1-exp[-D_JS(p_d||p_m)]，s=tanh(MLP[z_c])，其中 z_c 包含两路分解特征、逐元素乘积、绝对差、对数后验差、熵与 JS 分歧。最终校正后验为 p_c=softmax(log p_f+rho s)，总损失为 L_CGDC=L_HRGV+lambda_dec L_dec+lambda_cal L_cal，其中 L_dec=mean cos^2(A_d(h),A_s(h))，L_cal=-mean log p_c(y)。</w:t>
      </w:r>
    </w:p>
    <w:p>
      <w:pPr>
        <w:jc w:val="center"/>
      </w:pPr>
      <w:r>
        <w:drawing>
          <wp:inline xmlns:a="http://schemas.openxmlformats.org/drawingml/2006/main" xmlns:pic="http://schemas.openxmlformats.org/drawingml/2006/picture">
            <wp:extent cx="5508000" cy="351361"/>
            <wp:docPr id="43" name="Picture 43"/>
            <wp:cNvGraphicFramePr>
              <a:graphicFrameLocks noChangeAspect="1"/>
            </wp:cNvGraphicFramePr>
            <a:graphic>
              <a:graphicData uri="http://schemas.openxmlformats.org/drawingml/2006/picture">
                <pic:pic>
                  <pic:nvPicPr>
                    <pic:cNvPr id="0" name="cgdc_calibration.png"/>
                    <pic:cNvPicPr/>
                  </pic:nvPicPr>
                  <pic:blipFill>
                    <a:blip r:embed="rId54"/>
                    <a:stretch>
                      <a:fillRect/>
                    </a:stretch>
                  </pic:blipFill>
                  <pic:spPr>
                    <a:xfrm>
                      <a:off x="0" y="0"/>
                      <a:ext cx="5508000" cy="351361"/>
                    </a:xfrm>
                    <a:prstGeom prst="rect"/>
                  </pic:spPr>
                </pic:pic>
              </a:graphicData>
            </a:graphic>
          </wp:inline>
        </w:drawing>
      </w:r>
    </w:p>
    <w:p>
      <w:pPr>
        <w:spacing w:line="360" w:lineRule="auto"/>
      </w:pPr>
      <w:r>
        <w:rPr>
          <w:rFonts w:ascii="宋体" w:hAnsi="宋体" w:eastAsia="宋体"/>
          <w:sz w:val="21"/>
        </w:rPr>
        <w:t>式（D-2） 分歧触发的受界后验校正</w:t>
      </w:r>
    </w:p>
    <w:p>
      <w:pPr>
        <w:spacing w:line="360" w:lineRule="auto"/>
      </w:pPr>
      <w:r>
        <w:rPr>
          <w:rFonts w:ascii="宋体" w:hAnsi="宋体" w:eastAsia="宋体"/>
          <w:sz w:val="21"/>
        </w:rPr>
        <w:t>命题 P1（协议一致性）：当 p_d=p_m 时 rho=0，故 p_c=p_f=p_d=p_m。命题 P2（概率有效性）：p_c 为 softmax 输出，非负且四类概率和为 1。命题 P3（有界对数几率修正）：因每个校正残差满足 |s_j|&lt;1，任意类别 j、k 有 |log[p_c(j)/p_c(k)]-log[p_f(j)/p_f(k)]|&lt;2rho。命题 P4（全局校正预算）：对任意两路四类后验，D_JS 不超过 ln2，故 rho=1-exp[-D_JS]≤0.5，结合 P3 可得任意对数几率修正严格小于 1。P1-P4 是当前公式与计算图的确定性性质；适配器分解和校正器是否改善分类或校准，必须由以下三随机种子实验检验。</w:t>
      </w:r>
    </w:p>
    <w:p>
      <w:pPr>
        <w:jc w:val="center"/>
      </w:pPr>
      <w:r>
        <w:drawing>
          <wp:inline xmlns:a="http://schemas.openxmlformats.org/drawingml/2006/main" xmlns:pic="http://schemas.openxmlformats.org/drawingml/2006/picture">
            <wp:extent cx="5508000" cy="477572"/>
            <wp:docPr id="44" name="Picture 44"/>
            <wp:cNvGraphicFramePr>
              <a:graphicFrameLocks noChangeAspect="1"/>
            </wp:cNvGraphicFramePr>
            <a:graphic>
              <a:graphicData uri="http://schemas.openxmlformats.org/drawingml/2006/picture">
                <pic:pic>
                  <pic:nvPicPr>
                    <pic:cNvPr id="0" name="cgdc_bound.png"/>
                    <pic:cNvPicPr/>
                  </pic:nvPicPr>
                  <pic:blipFill>
                    <a:blip r:embed="rId55"/>
                    <a:stretch>
                      <a:fillRect/>
                    </a:stretch>
                  </pic:blipFill>
                  <pic:spPr>
                    <a:xfrm>
                      <a:off x="0" y="0"/>
                      <a:ext cx="5508000" cy="477572"/>
                    </a:xfrm>
                    <a:prstGeom prst="rect"/>
                  </pic:spPr>
                </pic:pic>
              </a:graphicData>
            </a:graphic>
          </wp:inline>
        </w:drawing>
      </w:r>
    </w:p>
    <w:p>
      <w:pPr>
        <w:spacing w:line="360" w:lineRule="auto"/>
      </w:pPr>
      <w:r>
        <w:rPr>
          <w:rFonts w:ascii="宋体" w:hAnsi="宋体" w:eastAsia="宋体"/>
          <w:sz w:val="21"/>
        </w:rPr>
        <w:t>式（D-3） 协议一致性、分歧相关修正与全局校正预算</w:t>
      </w:r>
    </w:p>
    <w:p>
      <w:pPr>
        <w:jc w:val="center"/>
      </w:pPr>
      <w:r>
        <w:drawing>
          <wp:inline xmlns:a="http://schemas.openxmlformats.org/drawingml/2006/main" xmlns:pic="http://schemas.openxmlformats.org/drawingml/2006/picture">
            <wp:extent cx="5544000" cy="3091900"/>
            <wp:docPr id="45" name="Picture 45"/>
            <wp:cNvGraphicFramePr>
              <a:graphicFrameLocks noChangeAspect="1"/>
            </wp:cNvGraphicFramePr>
            <a:graphic>
              <a:graphicData uri="http://schemas.openxmlformats.org/drawingml/2006/picture">
                <pic:pic>
                  <pic:nvPicPr>
                    <pic:cNvPr id="0" name="cgdc_rsg_hrgv_architecture.png"/>
                    <pic:cNvPicPr/>
                  </pic:nvPicPr>
                  <pic:blipFill>
                    <a:blip r:embed="rId56"/>
                    <a:stretch>
                      <a:fillRect/>
                    </a:stretch>
                  </pic:blipFill>
                  <pic:spPr>
                    <a:xfrm>
                      <a:off x="0" y="0"/>
                      <a:ext cx="5544000" cy="3091900"/>
                    </a:xfrm>
                    <a:prstGeom prst="rect"/>
                  </pic:spPr>
                </pic:pic>
              </a:graphicData>
            </a:graphic>
          </wp:inline>
        </w:drawing>
      </w:r>
    </w:p>
    <w:p>
      <w:pPr>
        <w:pStyle w:val="af7"/>
        <w:jc w:val="center"/>
      </w:pPr>
      <w:r>
        <w:rPr>
          <w:rFonts w:ascii="宋体" w:hAnsi="宋体" w:eastAsia="宋体"/>
          <w:sz w:val="19"/>
        </w:rPr>
        <w:t>图 19 CGDC-RSG-HRGV-Net 的跨粒度证据分解与分歧校正结构</w:t>
      </w:r>
    </w:p>
    <w:p>
      <w:pPr>
        <w:pStyle w:val="21"/>
      </w:pPr>
      <w:r>
        <w:t>D.2 三随机种子受控实验</w:t>
      </w:r>
    </w:p>
    <w:tbl>
      <w:tblPr>
        <w:tblStyle w:val="aff1"/>
        <w:tblW w:type="auto" w:w="0"/>
        <w:tblLook w:firstColumn="1" w:firstRow="1" w:lastColumn="0" w:lastRow="0" w:noHBand="0" w:noVBand="1" w:val="04A0"/>
      </w:tblPr>
      <w:tblGrid>
        <w:gridCol w:w="1531"/>
        <w:gridCol w:w="1531"/>
        <w:gridCol w:w="1531"/>
        <w:gridCol w:w="1531"/>
        <w:gridCol w:w="1531"/>
        <w:gridCol w:w="1531"/>
      </w:tblGrid>
      <w:tr>
        <w:tc>
          <w:tcPr>
            <w:tcW w:type="dxa" w:w="1531"/>
          </w:tcPr>
          <w:p>
            <w:pPr>
              <w:jc w:val="center"/>
            </w:pPr>
            <w:r>
              <w:rPr>
                <w:rFonts w:ascii="宋体" w:hAnsi="宋体" w:eastAsia="宋体"/>
                <w:b/>
                <w:sz w:val="17"/>
              </w:rPr>
              <w:t>配置</w:t>
            </w:r>
          </w:p>
        </w:tc>
        <w:tc>
          <w:tcPr>
            <w:tcW w:type="dxa" w:w="1531"/>
          </w:tcPr>
          <w:p>
            <w:pPr>
              <w:jc w:val="center"/>
            </w:pPr>
            <w:r>
              <w:rPr>
                <w:rFonts w:ascii="宋体" w:hAnsi="宋体" w:eastAsia="宋体"/>
                <w:b/>
                <w:sz w:val="17"/>
              </w:rPr>
              <w:t>Accuracy</w:t>
            </w:r>
          </w:p>
        </w:tc>
        <w:tc>
          <w:tcPr>
            <w:tcW w:type="dxa" w:w="1531"/>
          </w:tcPr>
          <w:p>
            <w:pPr>
              <w:jc w:val="center"/>
            </w:pPr>
            <w:r>
              <w:rPr>
                <w:rFonts w:ascii="宋体" w:hAnsi="宋体" w:eastAsia="宋体"/>
                <w:b/>
                <w:sz w:val="17"/>
              </w:rPr>
              <w:t>Macro F1</w:t>
            </w:r>
          </w:p>
        </w:tc>
        <w:tc>
          <w:tcPr>
            <w:tcW w:type="dxa" w:w="1531"/>
          </w:tcPr>
          <w:p>
            <w:pPr>
              <w:jc w:val="center"/>
            </w:pPr>
            <w:r>
              <w:rPr>
                <w:rFonts w:ascii="宋体" w:hAnsi="宋体" w:eastAsia="宋体"/>
                <w:b/>
                <w:sz w:val="17"/>
              </w:rPr>
              <w:t>目标类召回</w:t>
            </w:r>
          </w:p>
        </w:tc>
        <w:tc>
          <w:tcPr>
            <w:tcW w:type="dxa" w:w="1531"/>
          </w:tcPr>
          <w:p>
            <w:pPr>
              <w:jc w:val="center"/>
            </w:pPr>
            <w:r>
              <w:rPr>
                <w:rFonts w:ascii="宋体" w:hAnsi="宋体" w:eastAsia="宋体"/>
                <w:b/>
                <w:sz w:val="17"/>
              </w:rPr>
              <w:t>Brier</w:t>
            </w:r>
          </w:p>
        </w:tc>
        <w:tc>
          <w:tcPr>
            <w:tcW w:type="dxa" w:w="1531"/>
          </w:tcPr>
          <w:p>
            <w:pPr>
              <w:jc w:val="center"/>
            </w:pPr>
            <w:r>
              <w:rPr>
                <w:rFonts w:ascii="宋体" w:hAnsi="宋体" w:eastAsia="宋体"/>
                <w:b/>
                <w:sz w:val="17"/>
              </w:rPr>
              <w:t>ECE</w:t>
            </w:r>
          </w:p>
        </w:tc>
      </w:tr>
      <w:tr>
        <w:tc>
          <w:tcPr>
            <w:tcW w:type="dxa" w:w="1531"/>
          </w:tcPr>
          <w:p>
            <w:pPr>
              <w:jc w:val="center"/>
            </w:pPr>
            <w:r>
              <w:rPr>
                <w:rFonts w:ascii="宋体" w:hAnsi="宋体" w:eastAsia="宋体"/>
                <w:b w:val="0"/>
                <w:sz w:val="17"/>
              </w:rPr>
              <w:t>RSG 完整模型</w:t>
            </w:r>
          </w:p>
        </w:tc>
        <w:tc>
          <w:tcPr>
            <w:tcW w:type="dxa" w:w="1531"/>
          </w:tcPr>
          <w:p>
            <w:pPr>
              <w:jc w:val="center"/>
            </w:pPr>
            <w:r>
              <w:rPr>
                <w:rFonts w:ascii="宋体" w:hAnsi="宋体" w:eastAsia="宋体"/>
                <w:b w:val="0"/>
                <w:sz w:val="17"/>
              </w:rPr>
              <w:t>76.45%</w:t>
            </w:r>
          </w:p>
        </w:tc>
        <w:tc>
          <w:tcPr>
            <w:tcW w:type="dxa" w:w="1531"/>
          </w:tcPr>
          <w:p>
            <w:pPr>
              <w:jc w:val="center"/>
            </w:pPr>
            <w:r>
              <w:rPr>
                <w:rFonts w:ascii="宋体" w:hAnsi="宋体" w:eastAsia="宋体"/>
                <w:b w:val="0"/>
                <w:sz w:val="17"/>
              </w:rPr>
              <w:t>74.76%</w:t>
            </w:r>
          </w:p>
        </w:tc>
        <w:tc>
          <w:tcPr>
            <w:tcW w:type="dxa" w:w="1531"/>
          </w:tcPr>
          <w:p>
            <w:pPr>
              <w:jc w:val="center"/>
            </w:pPr>
            <w:r>
              <w:rPr>
                <w:rFonts w:ascii="宋体" w:hAnsi="宋体" w:eastAsia="宋体"/>
                <w:b w:val="0"/>
                <w:sz w:val="17"/>
              </w:rPr>
              <w:t>72.91%</w:t>
            </w:r>
          </w:p>
        </w:tc>
        <w:tc>
          <w:tcPr>
            <w:tcW w:type="dxa" w:w="1531"/>
          </w:tcPr>
          <w:p>
            <w:pPr>
              <w:jc w:val="center"/>
            </w:pPr>
            <w:r>
              <w:rPr>
                <w:rFonts w:ascii="宋体" w:hAnsi="宋体" w:eastAsia="宋体"/>
                <w:b w:val="0"/>
                <w:sz w:val="17"/>
              </w:rPr>
              <w:t>37.02%</w:t>
            </w:r>
          </w:p>
        </w:tc>
        <w:tc>
          <w:tcPr>
            <w:tcW w:type="dxa" w:w="1531"/>
          </w:tcPr>
          <w:p>
            <w:pPr>
              <w:jc w:val="center"/>
            </w:pPr>
            <w:r>
              <w:rPr>
                <w:rFonts w:ascii="宋体" w:hAnsi="宋体" w:eastAsia="宋体"/>
                <w:b w:val="0"/>
                <w:sz w:val="17"/>
              </w:rPr>
              <w:t>12.90%</w:t>
            </w:r>
          </w:p>
        </w:tc>
      </w:tr>
      <w:tr>
        <w:tc>
          <w:tcPr>
            <w:tcW w:type="dxa" w:w="1531"/>
          </w:tcPr>
          <w:p>
            <w:pPr>
              <w:jc w:val="center"/>
            </w:pPr>
            <w:r>
              <w:rPr>
                <w:rFonts w:ascii="宋体" w:hAnsi="宋体" w:eastAsia="宋体"/>
                <w:b w:val="0"/>
                <w:sz w:val="17"/>
              </w:rPr>
              <w:t>CGDC 完整模型</w:t>
            </w:r>
          </w:p>
        </w:tc>
        <w:tc>
          <w:tcPr>
            <w:tcW w:type="dxa" w:w="1531"/>
          </w:tcPr>
          <w:p>
            <w:pPr>
              <w:jc w:val="center"/>
            </w:pPr>
            <w:r>
              <w:rPr>
                <w:rFonts w:ascii="宋体" w:hAnsi="宋体" w:eastAsia="宋体"/>
                <w:b w:val="0"/>
                <w:sz w:val="17"/>
              </w:rPr>
              <w:t>75.26%</w:t>
            </w:r>
          </w:p>
        </w:tc>
        <w:tc>
          <w:tcPr>
            <w:tcW w:type="dxa" w:w="1531"/>
          </w:tcPr>
          <w:p>
            <w:pPr>
              <w:jc w:val="center"/>
            </w:pPr>
            <w:r>
              <w:rPr>
                <w:rFonts w:ascii="宋体" w:hAnsi="宋体" w:eastAsia="宋体"/>
                <w:b w:val="0"/>
                <w:sz w:val="17"/>
              </w:rPr>
              <w:t>73.25%</w:t>
            </w:r>
          </w:p>
        </w:tc>
        <w:tc>
          <w:tcPr>
            <w:tcW w:type="dxa" w:w="1531"/>
          </w:tcPr>
          <w:p>
            <w:pPr>
              <w:jc w:val="center"/>
            </w:pPr>
            <w:r>
              <w:rPr>
                <w:rFonts w:ascii="宋体" w:hAnsi="宋体" w:eastAsia="宋体"/>
                <w:b w:val="0"/>
                <w:sz w:val="17"/>
              </w:rPr>
              <w:t>72.91%</w:t>
            </w:r>
          </w:p>
        </w:tc>
        <w:tc>
          <w:tcPr>
            <w:tcW w:type="dxa" w:w="1531"/>
          </w:tcPr>
          <w:p>
            <w:pPr>
              <w:jc w:val="center"/>
            </w:pPr>
            <w:r>
              <w:rPr>
                <w:rFonts w:ascii="宋体" w:hAnsi="宋体" w:eastAsia="宋体"/>
                <w:b w:val="0"/>
                <w:sz w:val="17"/>
              </w:rPr>
              <w:t>37.84%</w:t>
            </w:r>
          </w:p>
        </w:tc>
        <w:tc>
          <w:tcPr>
            <w:tcW w:type="dxa" w:w="1531"/>
          </w:tcPr>
          <w:p>
            <w:pPr>
              <w:jc w:val="center"/>
            </w:pPr>
            <w:r>
              <w:rPr>
                <w:rFonts w:ascii="宋体" w:hAnsi="宋体" w:eastAsia="宋体"/>
                <w:b w:val="0"/>
                <w:sz w:val="17"/>
              </w:rPr>
              <w:t>12.87%</w:t>
            </w:r>
          </w:p>
        </w:tc>
      </w:tr>
      <w:tr>
        <w:tc>
          <w:tcPr>
            <w:tcW w:type="dxa" w:w="1531"/>
          </w:tcPr>
          <w:p>
            <w:pPr>
              <w:jc w:val="center"/>
            </w:pPr>
            <w:r>
              <w:rPr>
                <w:rFonts w:ascii="宋体" w:hAnsi="宋体" w:eastAsia="宋体"/>
                <w:b w:val="0"/>
                <w:sz w:val="17"/>
              </w:rPr>
              <w:t>共享特征消融</w:t>
            </w:r>
          </w:p>
        </w:tc>
        <w:tc>
          <w:tcPr>
            <w:tcW w:type="dxa" w:w="1531"/>
          </w:tcPr>
          <w:p>
            <w:pPr>
              <w:jc w:val="center"/>
            </w:pPr>
            <w:r>
              <w:rPr>
                <w:rFonts w:ascii="宋体" w:hAnsi="宋体" w:eastAsia="宋体"/>
                <w:b w:val="0"/>
                <w:sz w:val="17"/>
              </w:rPr>
              <w:t>75.03%</w:t>
            </w:r>
          </w:p>
        </w:tc>
        <w:tc>
          <w:tcPr>
            <w:tcW w:type="dxa" w:w="1531"/>
          </w:tcPr>
          <w:p>
            <w:pPr>
              <w:jc w:val="center"/>
            </w:pPr>
            <w:r>
              <w:rPr>
                <w:rFonts w:ascii="宋体" w:hAnsi="宋体" w:eastAsia="宋体"/>
                <w:b w:val="0"/>
                <w:sz w:val="17"/>
              </w:rPr>
              <w:t>73.01%</w:t>
            </w:r>
          </w:p>
        </w:tc>
        <w:tc>
          <w:tcPr>
            <w:tcW w:type="dxa" w:w="1531"/>
          </w:tcPr>
          <w:p>
            <w:pPr>
              <w:jc w:val="center"/>
            </w:pPr>
            <w:r>
              <w:rPr>
                <w:rFonts w:ascii="宋体" w:hAnsi="宋体" w:eastAsia="宋体"/>
                <w:b w:val="0"/>
                <w:sz w:val="17"/>
              </w:rPr>
              <w:t>70.52%</w:t>
            </w:r>
          </w:p>
        </w:tc>
        <w:tc>
          <w:tcPr>
            <w:tcW w:type="dxa" w:w="1531"/>
          </w:tcPr>
          <w:p>
            <w:pPr>
              <w:jc w:val="center"/>
            </w:pPr>
            <w:r>
              <w:rPr>
                <w:rFonts w:ascii="宋体" w:hAnsi="宋体" w:eastAsia="宋体"/>
                <w:b w:val="0"/>
                <w:sz w:val="17"/>
              </w:rPr>
              <w:t>38.48%</w:t>
            </w:r>
          </w:p>
        </w:tc>
        <w:tc>
          <w:tcPr>
            <w:tcW w:type="dxa" w:w="1531"/>
          </w:tcPr>
          <w:p>
            <w:pPr>
              <w:jc w:val="center"/>
            </w:pPr>
            <w:r>
              <w:rPr>
                <w:rFonts w:ascii="宋体" w:hAnsi="宋体" w:eastAsia="宋体"/>
                <w:b w:val="0"/>
                <w:sz w:val="17"/>
              </w:rPr>
              <w:t>12.75%</w:t>
            </w:r>
          </w:p>
        </w:tc>
      </w:tr>
      <w:tr>
        <w:tc>
          <w:tcPr>
            <w:tcW w:type="dxa" w:w="1531"/>
          </w:tcPr>
          <w:p>
            <w:pPr>
              <w:jc w:val="center"/>
            </w:pPr>
            <w:r>
              <w:rPr>
                <w:rFonts w:ascii="宋体" w:hAnsi="宋体" w:eastAsia="宋体"/>
                <w:b w:val="0"/>
                <w:sz w:val="17"/>
              </w:rPr>
              <w:t>无条件校正消融</w:t>
            </w:r>
          </w:p>
        </w:tc>
        <w:tc>
          <w:tcPr>
            <w:tcW w:type="dxa" w:w="1531"/>
          </w:tcPr>
          <w:p>
            <w:pPr>
              <w:jc w:val="center"/>
            </w:pPr>
            <w:r>
              <w:rPr>
                <w:rFonts w:ascii="宋体" w:hAnsi="宋体" w:eastAsia="宋体"/>
                <w:b w:val="0"/>
                <w:sz w:val="17"/>
              </w:rPr>
              <w:t>75.93%</w:t>
            </w:r>
          </w:p>
        </w:tc>
        <w:tc>
          <w:tcPr>
            <w:tcW w:type="dxa" w:w="1531"/>
          </w:tcPr>
          <w:p>
            <w:pPr>
              <w:jc w:val="center"/>
            </w:pPr>
            <w:r>
              <w:rPr>
                <w:rFonts w:ascii="宋体" w:hAnsi="宋体" w:eastAsia="宋体"/>
                <w:b w:val="0"/>
                <w:sz w:val="17"/>
              </w:rPr>
              <w:t>74.11%</w:t>
            </w:r>
          </w:p>
        </w:tc>
        <w:tc>
          <w:tcPr>
            <w:tcW w:type="dxa" w:w="1531"/>
          </w:tcPr>
          <w:p>
            <w:pPr>
              <w:jc w:val="center"/>
            </w:pPr>
            <w:r>
              <w:rPr>
                <w:rFonts w:ascii="宋体" w:hAnsi="宋体" w:eastAsia="宋体"/>
                <w:b w:val="0"/>
                <w:sz w:val="17"/>
              </w:rPr>
              <w:t>75.70%</w:t>
            </w:r>
          </w:p>
        </w:tc>
        <w:tc>
          <w:tcPr>
            <w:tcW w:type="dxa" w:w="1531"/>
          </w:tcPr>
          <w:p>
            <w:pPr>
              <w:jc w:val="center"/>
            </w:pPr>
            <w:r>
              <w:rPr>
                <w:rFonts w:ascii="宋体" w:hAnsi="宋体" w:eastAsia="宋体"/>
                <w:b w:val="0"/>
                <w:sz w:val="17"/>
              </w:rPr>
              <w:t>38.70%</w:t>
            </w:r>
          </w:p>
        </w:tc>
        <w:tc>
          <w:tcPr>
            <w:tcW w:type="dxa" w:w="1531"/>
          </w:tcPr>
          <w:p>
            <w:pPr>
              <w:jc w:val="center"/>
            </w:pPr>
            <w:r>
              <w:rPr>
                <w:rFonts w:ascii="宋体" w:hAnsi="宋体" w:eastAsia="宋体"/>
                <w:b w:val="0"/>
                <w:sz w:val="17"/>
              </w:rPr>
              <w:t>14.34%</w:t>
            </w:r>
          </w:p>
        </w:tc>
      </w:tr>
      <w:tr>
        <w:tc>
          <w:tcPr>
            <w:tcW w:type="dxa" w:w="1531"/>
          </w:tcPr>
          <w:p>
            <w:pPr>
              <w:jc w:val="center"/>
            </w:pPr>
            <w:r>
              <w:rPr>
                <w:rFonts w:ascii="宋体" w:hAnsi="宋体" w:eastAsia="宋体"/>
                <w:b w:val="0"/>
                <w:sz w:val="17"/>
              </w:rPr>
              <w:t>取消分解损失</w:t>
            </w:r>
          </w:p>
        </w:tc>
        <w:tc>
          <w:tcPr>
            <w:tcW w:type="dxa" w:w="1531"/>
          </w:tcPr>
          <w:p>
            <w:pPr>
              <w:jc w:val="center"/>
            </w:pPr>
            <w:r>
              <w:rPr>
                <w:rFonts w:ascii="宋体" w:hAnsi="宋体" w:eastAsia="宋体"/>
                <w:b w:val="0"/>
                <w:sz w:val="17"/>
              </w:rPr>
              <w:t>75.39%</w:t>
            </w:r>
          </w:p>
        </w:tc>
        <w:tc>
          <w:tcPr>
            <w:tcW w:type="dxa" w:w="1531"/>
          </w:tcPr>
          <w:p>
            <w:pPr>
              <w:jc w:val="center"/>
            </w:pPr>
            <w:r>
              <w:rPr>
                <w:rFonts w:ascii="宋体" w:hAnsi="宋体" w:eastAsia="宋体"/>
                <w:b w:val="0"/>
                <w:sz w:val="17"/>
              </w:rPr>
              <w:t>73.52%</w:t>
            </w:r>
          </w:p>
        </w:tc>
        <w:tc>
          <w:tcPr>
            <w:tcW w:type="dxa" w:w="1531"/>
          </w:tcPr>
          <w:p>
            <w:pPr>
              <w:jc w:val="center"/>
            </w:pPr>
            <w:r>
              <w:rPr>
                <w:rFonts w:ascii="宋体" w:hAnsi="宋体" w:eastAsia="宋体"/>
                <w:b w:val="0"/>
                <w:sz w:val="17"/>
              </w:rPr>
              <w:t>71.45%</w:t>
            </w:r>
          </w:p>
        </w:tc>
        <w:tc>
          <w:tcPr>
            <w:tcW w:type="dxa" w:w="1531"/>
          </w:tcPr>
          <w:p>
            <w:pPr>
              <w:jc w:val="center"/>
            </w:pPr>
            <w:r>
              <w:rPr>
                <w:rFonts w:ascii="宋体" w:hAnsi="宋体" w:eastAsia="宋体"/>
                <w:b w:val="0"/>
                <w:sz w:val="17"/>
              </w:rPr>
              <w:t>39.39%</w:t>
            </w:r>
          </w:p>
        </w:tc>
        <w:tc>
          <w:tcPr>
            <w:tcW w:type="dxa" w:w="1531"/>
          </w:tcPr>
          <w:p>
            <w:pPr>
              <w:jc w:val="center"/>
            </w:pPr>
            <w:r>
              <w:rPr>
                <w:rFonts w:ascii="宋体" w:hAnsi="宋体" w:eastAsia="宋体"/>
                <w:b w:val="0"/>
                <w:sz w:val="17"/>
              </w:rPr>
              <w:t>15.46%</w:t>
            </w:r>
          </w:p>
        </w:tc>
      </w:tr>
    </w:tbl>
    <w:p/>
    <w:p>
      <w:pPr>
        <w:spacing w:line="360" w:lineRule="auto"/>
      </w:pPr>
      <w:r>
        <w:rPr>
          <w:rFonts w:ascii="宋体" w:hAnsi="宋体" w:eastAsia="宋体"/>
          <w:sz w:val="21"/>
        </w:rPr>
        <w:t>表中为三随机种子均值；完整配置与四个控制变量消融共享固定数据划分、图像增强、主干、训练预算和测试协议。Brier 与 ECE 均为越低越好的后验质量指标，不能替代真实选矿回收率或品位指标。</w:t>
      </w:r>
    </w:p>
    <w:p>
      <w:pPr>
        <w:pStyle w:val="21"/>
      </w:pPr>
      <w:r>
        <w:t>D.3 成对 Bootstrap 证据与结论边界</w:t>
      </w:r>
    </w:p>
    <w:tbl>
      <w:tblPr>
        <w:tblStyle w:val="aff1"/>
        <w:tblW w:type="auto" w:w="0"/>
        <w:tblLook w:firstColumn="1" w:firstRow="1" w:lastColumn="0" w:lastRow="0" w:noHBand="0" w:noVBand="1" w:val="04A0"/>
      </w:tblPr>
      <w:tblGrid>
        <w:gridCol w:w="2296"/>
        <w:gridCol w:w="2296"/>
        <w:gridCol w:w="2296"/>
        <w:gridCol w:w="2296"/>
      </w:tblGrid>
      <w:tr>
        <w:tc>
          <w:tcPr>
            <w:tcW w:type="dxa" w:w="2296"/>
          </w:tcPr>
          <w:p>
            <w:pPr>
              <w:jc w:val="center"/>
            </w:pPr>
            <w:r>
              <w:rPr>
                <w:rFonts w:ascii="宋体" w:hAnsi="宋体" w:eastAsia="宋体"/>
                <w:b/>
                <w:sz w:val="17"/>
              </w:rPr>
              <w:t>相对 RSG</w:t>
            </w:r>
          </w:p>
        </w:tc>
        <w:tc>
          <w:tcPr>
            <w:tcW w:type="dxa" w:w="2296"/>
          </w:tcPr>
          <w:p>
            <w:pPr>
              <w:jc w:val="center"/>
            </w:pPr>
            <w:r>
              <w:rPr>
                <w:rFonts w:ascii="宋体" w:hAnsi="宋体" w:eastAsia="宋体"/>
                <w:b/>
                <w:sz w:val="17"/>
              </w:rPr>
              <w:t>Macro F1 差值 [95% CI]</w:t>
            </w:r>
          </w:p>
        </w:tc>
        <w:tc>
          <w:tcPr>
            <w:tcW w:type="dxa" w:w="2296"/>
          </w:tcPr>
          <w:p>
            <w:pPr>
              <w:jc w:val="center"/>
            </w:pPr>
            <w:r>
              <w:rPr>
                <w:rFonts w:ascii="宋体" w:hAnsi="宋体" w:eastAsia="宋体"/>
                <w:b/>
                <w:sz w:val="17"/>
              </w:rPr>
              <w:t>Brier 差值 [95% CI]</w:t>
            </w:r>
          </w:p>
        </w:tc>
        <w:tc>
          <w:tcPr>
            <w:tcW w:type="dxa" w:w="2296"/>
          </w:tcPr>
          <w:p>
            <w:pPr>
              <w:jc w:val="center"/>
            </w:pPr>
            <w:r>
              <w:rPr>
                <w:rFonts w:ascii="宋体" w:hAnsi="宋体" w:eastAsia="宋体"/>
                <w:b/>
                <w:sz w:val="17"/>
              </w:rPr>
              <w:t>ECE 差值 [95% CI]</w:t>
            </w:r>
          </w:p>
        </w:tc>
      </w:tr>
      <w:tr>
        <w:tc>
          <w:tcPr>
            <w:tcW w:type="dxa" w:w="2296"/>
          </w:tcPr>
          <w:p>
            <w:pPr>
              <w:jc w:val="center"/>
            </w:pPr>
            <w:r>
              <w:rPr>
                <w:rFonts w:ascii="宋体" w:hAnsi="宋体" w:eastAsia="宋体"/>
                <w:b w:val="0"/>
                <w:sz w:val="17"/>
              </w:rPr>
              <w:t>CGDC 完整模型</w:t>
            </w:r>
          </w:p>
        </w:tc>
        <w:tc>
          <w:tcPr>
            <w:tcW w:type="dxa" w:w="2296"/>
          </w:tcPr>
          <w:p>
            <w:pPr>
              <w:jc w:val="center"/>
            </w:pPr>
            <w:r>
              <w:rPr>
                <w:rFonts w:ascii="宋体" w:hAnsi="宋体" w:eastAsia="宋体"/>
                <w:b w:val="0"/>
                <w:sz w:val="17"/>
              </w:rPr>
              <w:t>-1.51% [-3.98%, 1.08%]</w:t>
            </w:r>
          </w:p>
        </w:tc>
        <w:tc>
          <w:tcPr>
            <w:tcW w:type="dxa" w:w="2296"/>
          </w:tcPr>
          <w:p>
            <w:pPr>
              <w:jc w:val="center"/>
            </w:pPr>
            <w:r>
              <w:rPr>
                <w:rFonts w:ascii="宋体" w:hAnsi="宋体" w:eastAsia="宋体"/>
                <w:b w:val="0"/>
                <w:sz w:val="17"/>
              </w:rPr>
              <w:t>0.82% [-1.29%, 2.96%]</w:t>
            </w:r>
          </w:p>
        </w:tc>
        <w:tc>
          <w:tcPr>
            <w:tcW w:type="dxa" w:w="2296"/>
          </w:tcPr>
          <w:p>
            <w:pPr>
              <w:jc w:val="center"/>
            </w:pPr>
            <w:r>
              <w:rPr>
                <w:rFonts w:ascii="宋体" w:hAnsi="宋体" w:eastAsia="宋体"/>
                <w:b w:val="0"/>
                <w:sz w:val="17"/>
              </w:rPr>
              <w:t>-0.03% [-1.61%, 1.23%]</w:t>
            </w:r>
          </w:p>
        </w:tc>
      </w:tr>
      <w:tr>
        <w:tc>
          <w:tcPr>
            <w:tcW w:type="dxa" w:w="2296"/>
          </w:tcPr>
          <w:p>
            <w:pPr>
              <w:jc w:val="center"/>
            </w:pPr>
            <w:r>
              <w:rPr>
                <w:rFonts w:ascii="宋体" w:hAnsi="宋体" w:eastAsia="宋体"/>
                <w:b w:val="0"/>
                <w:sz w:val="17"/>
              </w:rPr>
              <w:t>共享特征消融</w:t>
            </w:r>
          </w:p>
        </w:tc>
        <w:tc>
          <w:tcPr>
            <w:tcW w:type="dxa" w:w="2296"/>
          </w:tcPr>
          <w:p>
            <w:pPr>
              <w:jc w:val="center"/>
            </w:pPr>
            <w:r>
              <w:rPr>
                <w:rFonts w:ascii="宋体" w:hAnsi="宋体" w:eastAsia="宋体"/>
                <w:b w:val="0"/>
                <w:sz w:val="17"/>
              </w:rPr>
              <w:t>-1.75% [-3.20%, -0.25%]</w:t>
            </w:r>
          </w:p>
        </w:tc>
        <w:tc>
          <w:tcPr>
            <w:tcW w:type="dxa" w:w="2296"/>
          </w:tcPr>
          <w:p>
            <w:pPr>
              <w:jc w:val="center"/>
            </w:pPr>
            <w:r>
              <w:rPr>
                <w:rFonts w:ascii="宋体" w:hAnsi="宋体" w:eastAsia="宋体"/>
                <w:b w:val="0"/>
                <w:sz w:val="17"/>
              </w:rPr>
              <w:t>1.46% [-0.80%, 3.80%]</w:t>
            </w:r>
          </w:p>
        </w:tc>
        <w:tc>
          <w:tcPr>
            <w:tcW w:type="dxa" w:w="2296"/>
          </w:tcPr>
          <w:p>
            <w:pPr>
              <w:jc w:val="center"/>
            </w:pPr>
            <w:r>
              <w:rPr>
                <w:rFonts w:ascii="宋体" w:hAnsi="宋体" w:eastAsia="宋体"/>
                <w:b w:val="0"/>
                <w:sz w:val="17"/>
              </w:rPr>
              <w:t>-0.15% [-3.27%, 2.65%]</w:t>
            </w:r>
          </w:p>
        </w:tc>
      </w:tr>
      <w:tr>
        <w:tc>
          <w:tcPr>
            <w:tcW w:type="dxa" w:w="2296"/>
          </w:tcPr>
          <w:p>
            <w:pPr>
              <w:jc w:val="center"/>
            </w:pPr>
            <w:r>
              <w:rPr>
                <w:rFonts w:ascii="宋体" w:hAnsi="宋体" w:eastAsia="宋体"/>
                <w:b w:val="0"/>
                <w:sz w:val="17"/>
              </w:rPr>
              <w:t>无条件校正消融</w:t>
            </w:r>
          </w:p>
        </w:tc>
        <w:tc>
          <w:tcPr>
            <w:tcW w:type="dxa" w:w="2296"/>
          </w:tcPr>
          <w:p>
            <w:pPr>
              <w:jc w:val="center"/>
            </w:pPr>
            <w:r>
              <w:rPr>
                <w:rFonts w:ascii="宋体" w:hAnsi="宋体" w:eastAsia="宋体"/>
                <w:b w:val="0"/>
                <w:sz w:val="17"/>
              </w:rPr>
              <w:t>-0.64% [-3.42%, 1.94%]</w:t>
            </w:r>
          </w:p>
        </w:tc>
        <w:tc>
          <w:tcPr>
            <w:tcW w:type="dxa" w:w="2296"/>
          </w:tcPr>
          <w:p>
            <w:pPr>
              <w:jc w:val="center"/>
            </w:pPr>
            <w:r>
              <w:rPr>
                <w:rFonts w:ascii="宋体" w:hAnsi="宋体" w:eastAsia="宋体"/>
                <w:b w:val="0"/>
                <w:sz w:val="17"/>
              </w:rPr>
              <w:t>1.68% [-0.79%, 4.09%]</w:t>
            </w:r>
          </w:p>
        </w:tc>
        <w:tc>
          <w:tcPr>
            <w:tcW w:type="dxa" w:w="2296"/>
          </w:tcPr>
          <w:p>
            <w:pPr>
              <w:jc w:val="center"/>
            </w:pPr>
            <w:r>
              <w:rPr>
                <w:rFonts w:ascii="宋体" w:hAnsi="宋体" w:eastAsia="宋体"/>
                <w:b w:val="0"/>
                <w:sz w:val="17"/>
              </w:rPr>
              <w:t>1.44% [-0.06%, 2.90%]</w:t>
            </w:r>
          </w:p>
        </w:tc>
      </w:tr>
      <w:tr>
        <w:tc>
          <w:tcPr>
            <w:tcW w:type="dxa" w:w="2296"/>
          </w:tcPr>
          <w:p>
            <w:pPr>
              <w:jc w:val="center"/>
            </w:pPr>
            <w:r>
              <w:rPr>
                <w:rFonts w:ascii="宋体" w:hAnsi="宋体" w:eastAsia="宋体"/>
                <w:b w:val="0"/>
                <w:sz w:val="17"/>
              </w:rPr>
              <w:t>取消分解损失</w:t>
            </w:r>
          </w:p>
        </w:tc>
        <w:tc>
          <w:tcPr>
            <w:tcW w:type="dxa" w:w="2296"/>
          </w:tcPr>
          <w:p>
            <w:pPr>
              <w:jc w:val="center"/>
            </w:pPr>
            <w:r>
              <w:rPr>
                <w:rFonts w:ascii="宋体" w:hAnsi="宋体" w:eastAsia="宋体"/>
                <w:b w:val="0"/>
                <w:sz w:val="17"/>
              </w:rPr>
              <w:t>-1.24% [-2.55%, 0.10%]</w:t>
            </w:r>
          </w:p>
        </w:tc>
        <w:tc>
          <w:tcPr>
            <w:tcW w:type="dxa" w:w="2296"/>
          </w:tcPr>
          <w:p>
            <w:pPr>
              <w:jc w:val="center"/>
            </w:pPr>
            <w:r>
              <w:rPr>
                <w:rFonts w:ascii="宋体" w:hAnsi="宋体" w:eastAsia="宋体"/>
                <w:b w:val="0"/>
                <w:sz w:val="17"/>
              </w:rPr>
              <w:t>2.37% [0.24%, 4.36%]</w:t>
            </w:r>
          </w:p>
        </w:tc>
        <w:tc>
          <w:tcPr>
            <w:tcW w:type="dxa" w:w="2296"/>
          </w:tcPr>
          <w:p>
            <w:pPr>
              <w:jc w:val="center"/>
            </w:pPr>
            <w:r>
              <w:rPr>
                <w:rFonts w:ascii="宋体" w:hAnsi="宋体" w:eastAsia="宋体"/>
                <w:b w:val="0"/>
                <w:sz w:val="17"/>
              </w:rPr>
              <w:t>2.56% [1.21%, 3.75%]</w:t>
            </w:r>
          </w:p>
        </w:tc>
      </w:tr>
    </w:tbl>
    <w:p/>
    <w:p>
      <w:pPr>
        <w:spacing w:line="360" w:lineRule="auto"/>
      </w:pPr>
      <w:r>
        <w:rPr>
          <w:rFonts w:ascii="宋体" w:hAnsi="宋体" w:eastAsia="宋体"/>
          <w:sz w:val="21"/>
        </w:rPr>
        <w:t>每个区间以图片 split_group_id 聚类、随机种子与组两阶段重采样的 2,000 次 Bootstrap 得到。校正相关的经验结论仅以 Brier/ECE 差值及其区间为准；若区间跨零，报告应保留为未观察到稳定增益，而不能根据单个种子或单项指标宣称优势。</w:t>
      </w:r>
    </w:p>
    <w:p>
      <w:pPr>
        <w:spacing w:line="360" w:lineRule="auto"/>
      </w:pPr>
      <w:r>
        <w:rPr>
          <w:rFonts w:ascii="宋体" w:hAnsi="宋体" w:eastAsia="宋体"/>
          <w:sz w:val="21"/>
        </w:rPr>
        <w:t>结论边界：本附录验证的是公开矿物标本图像上的四角色闭集识别和后验校准行为，不等同于工业分选、精矿品位预测、回收率提升、钒钛元素含量检测或未知矿物拒识性能。阶段条件化选矿决策图仍作为下一篇工作与后续研究方向。</w:t>
      </w:r>
    </w:p>
    <w:p>
      <w:pPr>
        <w:pStyle w:val="1"/>
      </w:pPr>
      <w:r>
        <w:t>附录 E RPG-HRGV 角色分区不确定性门控理论与实验</w:t>
      </w:r>
    </w:p>
    <w:p>
      <w:pPr>
        <w:pStyle w:val="21"/>
      </w:pPr>
      <w:r>
        <w:t>E.1 问题设定、网络结构与可检验命题</w:t>
      </w:r>
    </w:p>
    <w:p>
      <w:pPr>
        <w:spacing w:line="360" w:lineRule="auto"/>
      </w:pPr>
      <w:r>
        <w:rPr>
          <w:rFonts w:ascii="宋体" w:hAnsi="宋体" w:eastAsia="宋体"/>
          <w:sz w:val="21"/>
        </w:rPr>
        <w:t>RPG-HRGV-Net 保持原有 EfficientNet-B0 共享主干、直接角色专家和矿物种类专家。种类专家输出的 17 类矿物后验 p_s 通过固定的种类-角色映射矩阵 M 聚合为四角色后验 p_m=Mp_s；该映射仅编码本研究的公开图像四角色任务，不推断元素含量、品位或工业流程动作。</w:t>
      </w:r>
    </w:p>
    <w:p>
      <w:pPr>
        <w:jc w:val="center"/>
      </w:pPr>
      <w:r>
        <w:drawing>
          <wp:inline xmlns:a="http://schemas.openxmlformats.org/drawingml/2006/main" xmlns:pic="http://schemas.openxmlformats.org/drawingml/2006/picture">
            <wp:extent cx="5508000" cy="303849"/>
            <wp:docPr id="46" name="Picture 46"/>
            <wp:cNvGraphicFramePr>
              <a:graphicFrameLocks noChangeAspect="1"/>
            </wp:cNvGraphicFramePr>
            <a:graphic>
              <a:graphicData uri="http://schemas.openxmlformats.org/drawingml/2006/picture">
                <pic:pic>
                  <pic:nvPicPr>
                    <pic:cNvPr id="0" name="rpg_entropy.png"/>
                    <pic:cNvPicPr/>
                  </pic:nvPicPr>
                  <pic:blipFill>
                    <a:blip r:embed="rId57"/>
                    <a:stretch>
                      <a:fillRect/>
                    </a:stretch>
                  </pic:blipFill>
                  <pic:spPr>
                    <a:xfrm>
                      <a:off x="0" y="0"/>
                      <a:ext cx="5508000" cy="303849"/>
                    </a:xfrm>
                    <a:prstGeom prst="rect"/>
                  </pic:spPr>
                </pic:pic>
              </a:graphicData>
            </a:graphic>
          </wp:inline>
        </w:drawing>
      </w:r>
    </w:p>
    <w:p>
      <w:pPr>
        <w:spacing w:line="360" w:lineRule="auto"/>
      </w:pPr>
      <w:r>
        <w:rPr>
          <w:rFonts w:ascii="宋体" w:hAnsi="宋体" w:eastAsia="宋体"/>
          <w:sz w:val="21"/>
        </w:rPr>
        <w:t>式（E-1） 固定角色分区下的熵链式分解</w:t>
      </w:r>
    </w:p>
    <w:p>
      <w:pPr>
        <w:spacing w:line="360" w:lineRule="auto"/>
      </w:pPr>
      <w:r>
        <w:rPr>
          <w:rFonts w:ascii="宋体" w:hAnsi="宋体" w:eastAsia="宋体"/>
          <w:sz w:val="21"/>
        </w:rPr>
        <w:t>设角色变量为 R、细粒度种类变量为 S，则 H(S)=H(R)+H(S|R)。其中 U_between=H(R) 为角色间不确定性，U_within=H(S|R) 为角色内不确定性，后者刻画同一角色内部矿物种类的歧义。RPG 门控以这两个互补量及直接专家熵作为证据，而不将单一总熵误作所有不确定性的来源。</w:t>
      </w:r>
    </w:p>
    <w:p>
      <w:pPr>
        <w:jc w:val="center"/>
      </w:pPr>
      <w:r>
        <w:drawing>
          <wp:inline xmlns:a="http://schemas.openxmlformats.org/drawingml/2006/main" xmlns:pic="http://schemas.openxmlformats.org/drawingml/2006/picture">
            <wp:extent cx="5508000" cy="327589"/>
            <wp:docPr id="47" name="Picture 47"/>
            <wp:cNvGraphicFramePr>
              <a:graphicFrameLocks noChangeAspect="1"/>
            </wp:cNvGraphicFramePr>
            <a:graphic>
              <a:graphicData uri="http://schemas.openxmlformats.org/drawingml/2006/picture">
                <pic:pic>
                  <pic:nvPicPr>
                    <pic:cNvPr id="0" name="rpg_gate.png"/>
                    <pic:cNvPicPr/>
                  </pic:nvPicPr>
                  <pic:blipFill>
                    <a:blip r:embed="rId58"/>
                    <a:stretch>
                      <a:fillRect/>
                    </a:stretch>
                  </pic:blipFill>
                  <pic:spPr>
                    <a:xfrm>
                      <a:off x="0" y="0"/>
                      <a:ext cx="5508000" cy="327589"/>
                    </a:xfrm>
                    <a:prstGeom prst="rect"/>
                  </pic:spPr>
                </pic:pic>
              </a:graphicData>
            </a:graphic>
          </wp:inline>
        </w:drawing>
      </w:r>
    </w:p>
    <w:p>
      <w:pPr>
        <w:spacing w:line="360" w:lineRule="auto"/>
      </w:pPr>
      <w:r>
        <w:rPr>
          <w:rFonts w:ascii="宋体" w:hAnsi="宋体" w:eastAsia="宋体"/>
          <w:sz w:val="21"/>
        </w:rPr>
        <w:t>式（E-2） 角色分区不确定性门控</w:t>
      </w:r>
    </w:p>
    <w:p>
      <w:pPr>
        <w:jc w:val="center"/>
      </w:pPr>
      <w:r>
        <w:drawing>
          <wp:inline xmlns:a="http://schemas.openxmlformats.org/drawingml/2006/main" xmlns:pic="http://schemas.openxmlformats.org/drawingml/2006/picture">
            <wp:extent cx="5508000" cy="642075"/>
            <wp:docPr id="48" name="Picture 48"/>
            <wp:cNvGraphicFramePr>
              <a:graphicFrameLocks noChangeAspect="1"/>
            </wp:cNvGraphicFramePr>
            <a:graphic>
              <a:graphicData uri="http://schemas.openxmlformats.org/drawingml/2006/picture">
                <pic:pic>
                  <pic:nvPicPr>
                    <pic:cNvPr id="0" name="rpg_fusion.png"/>
                    <pic:cNvPicPr/>
                  </pic:nvPicPr>
                  <pic:blipFill>
                    <a:blip r:embed="rId59"/>
                    <a:stretch>
                      <a:fillRect/>
                    </a:stretch>
                  </pic:blipFill>
                  <pic:spPr>
                    <a:xfrm>
                      <a:off x="0" y="0"/>
                      <a:ext cx="5508000" cy="642075"/>
                    </a:xfrm>
                    <a:prstGeom prst="rect"/>
                  </pic:spPr>
                </pic:pic>
              </a:graphicData>
            </a:graphic>
          </wp:inline>
        </w:drawing>
      </w:r>
    </w:p>
    <w:p>
      <w:pPr>
        <w:spacing w:line="360" w:lineRule="auto"/>
      </w:pPr>
      <w:r>
        <w:rPr>
          <w:rFonts w:ascii="宋体" w:hAnsi="宋体" w:eastAsia="宋体"/>
          <w:sz w:val="21"/>
        </w:rPr>
        <w:t>式（E-3） 门控凸融合后验</w:t>
      </w:r>
    </w:p>
    <w:p>
      <w:pPr>
        <w:spacing w:line="360" w:lineRule="auto"/>
      </w:pPr>
      <w:r>
        <w:rPr>
          <w:rFonts w:ascii="宋体" w:hAnsi="宋体" w:eastAsia="宋体"/>
          <w:sz w:val="21"/>
        </w:rPr>
        <w:t>命题 P-R1（精确分解）：在固定映射 M 下，式（E-1）为离散熵的链式法则，因此 U_between+U_within 与种类总熵严格一致。命题 P-R2（角色稳定性）：当种类候选仅在同一角色内变化时，角色后验 p_m 不变，U_between 不因该类内歧义而上升；因此角色决策所需的可辨识信息弱于精确矿物种类识别所需的信息。命题 P-R3（凸融合包络）：因 g 属于 [0,1]，每一角色概率 p_f(r) 位于 p_d(r) 与 p_m(r) 的闭区间内，RPG 门控不能产生超出两路专家证据范围的单角色概率。P-R1 与 P-R3 为计算图的确定性性质；P-R2 的实际收益以及分区熵是否优于消融变量，由下列三随机种子实验检验。</w:t>
      </w:r>
    </w:p>
    <w:p>
      <w:pPr>
        <w:jc w:val="center"/>
      </w:pPr>
      <w:r>
        <w:drawing>
          <wp:inline xmlns:a="http://schemas.openxmlformats.org/drawingml/2006/main" xmlns:pic="http://schemas.openxmlformats.org/drawingml/2006/picture">
            <wp:extent cx="5544000" cy="3087095"/>
            <wp:docPr id="49" name="Picture 49"/>
            <wp:cNvGraphicFramePr>
              <a:graphicFrameLocks noChangeAspect="1"/>
            </wp:cNvGraphicFramePr>
            <a:graphic>
              <a:graphicData uri="http://schemas.openxmlformats.org/drawingml/2006/picture">
                <pic:pic>
                  <pic:nvPicPr>
                    <pic:cNvPr id="0" name="rpg_hrgv_architecture.png"/>
                    <pic:cNvPicPr/>
                  </pic:nvPicPr>
                  <pic:blipFill>
                    <a:blip r:embed="rId60"/>
                    <a:stretch>
                      <a:fillRect/>
                    </a:stretch>
                  </pic:blipFill>
                  <pic:spPr>
                    <a:xfrm>
                      <a:off x="0" y="0"/>
                      <a:ext cx="5544000" cy="3087095"/>
                    </a:xfrm>
                    <a:prstGeom prst="rect"/>
                  </pic:spPr>
                </pic:pic>
              </a:graphicData>
            </a:graphic>
          </wp:inline>
        </w:drawing>
      </w:r>
    </w:p>
    <w:p>
      <w:pPr>
        <w:pStyle w:val="af7"/>
        <w:jc w:val="center"/>
      </w:pPr>
      <w:r>
        <w:rPr>
          <w:rFonts w:ascii="宋体" w:hAnsi="宋体" w:eastAsia="宋体"/>
          <w:sz w:val="19"/>
        </w:rPr>
        <w:t>图 20 RPG-HRGV-Net 的角色分区不确定性门控结构</w:t>
      </w:r>
    </w:p>
    <w:p>
      <w:pPr>
        <w:pStyle w:val="21"/>
      </w:pPr>
      <w:r>
        <w:t>E.2 三随机种子分区不确定性消融</w:t>
      </w:r>
    </w:p>
    <w:tbl>
      <w:tblPr>
        <w:tblStyle w:val="aff1"/>
        <w:tblW w:type="auto" w:w="0"/>
        <w:tblLook w:firstColumn="1" w:firstRow="1" w:lastColumn="0" w:lastRow="0" w:noHBand="0" w:noVBand="1" w:val="04A0"/>
      </w:tblPr>
      <w:tblGrid>
        <w:gridCol w:w="1531"/>
        <w:gridCol w:w="1531"/>
        <w:gridCol w:w="1531"/>
        <w:gridCol w:w="1531"/>
        <w:gridCol w:w="1531"/>
        <w:gridCol w:w="1531"/>
      </w:tblGrid>
      <w:tr>
        <w:tc>
          <w:tcPr>
            <w:tcW w:type="dxa" w:w="1531"/>
          </w:tcPr>
          <w:p>
            <w:pPr>
              <w:jc w:val="center"/>
            </w:pPr>
            <w:r>
              <w:rPr>
                <w:rFonts w:ascii="宋体" w:hAnsi="宋体" w:eastAsia="宋体"/>
                <w:b/>
                <w:sz w:val="17"/>
              </w:rPr>
              <w:t>配置</w:t>
            </w:r>
          </w:p>
        </w:tc>
        <w:tc>
          <w:tcPr>
            <w:tcW w:type="dxa" w:w="1531"/>
          </w:tcPr>
          <w:p>
            <w:pPr>
              <w:jc w:val="center"/>
            </w:pPr>
            <w:r>
              <w:rPr>
                <w:rFonts w:ascii="宋体" w:hAnsi="宋体" w:eastAsia="宋体"/>
                <w:b/>
                <w:sz w:val="17"/>
              </w:rPr>
              <w:t>Accuracy</w:t>
            </w:r>
          </w:p>
        </w:tc>
        <w:tc>
          <w:tcPr>
            <w:tcW w:type="dxa" w:w="1531"/>
          </w:tcPr>
          <w:p>
            <w:pPr>
              <w:jc w:val="center"/>
            </w:pPr>
            <w:r>
              <w:rPr>
                <w:rFonts w:ascii="宋体" w:hAnsi="宋体" w:eastAsia="宋体"/>
                <w:b/>
                <w:sz w:val="17"/>
              </w:rPr>
              <w:t>Macro F1</w:t>
            </w:r>
          </w:p>
        </w:tc>
        <w:tc>
          <w:tcPr>
            <w:tcW w:type="dxa" w:w="1531"/>
          </w:tcPr>
          <w:p>
            <w:pPr>
              <w:jc w:val="center"/>
            </w:pPr>
            <w:r>
              <w:rPr>
                <w:rFonts w:ascii="宋体" w:hAnsi="宋体" w:eastAsia="宋体"/>
                <w:b/>
                <w:sz w:val="17"/>
              </w:rPr>
              <w:t>目标类召回</w:t>
            </w:r>
          </w:p>
        </w:tc>
        <w:tc>
          <w:tcPr>
            <w:tcW w:type="dxa" w:w="1531"/>
          </w:tcPr>
          <w:p>
            <w:pPr>
              <w:jc w:val="center"/>
            </w:pPr>
            <w:r>
              <w:rPr>
                <w:rFonts w:ascii="宋体" w:hAnsi="宋体" w:eastAsia="宋体"/>
                <w:b/>
                <w:sz w:val="17"/>
              </w:rPr>
              <w:t>Brier</w:t>
            </w:r>
          </w:p>
        </w:tc>
        <w:tc>
          <w:tcPr>
            <w:tcW w:type="dxa" w:w="1531"/>
          </w:tcPr>
          <w:p>
            <w:pPr>
              <w:jc w:val="center"/>
            </w:pPr>
            <w:r>
              <w:rPr>
                <w:rFonts w:ascii="宋体" w:hAnsi="宋体" w:eastAsia="宋体"/>
                <w:b/>
                <w:sz w:val="17"/>
              </w:rPr>
              <w:t>ECE</w:t>
            </w:r>
          </w:p>
        </w:tc>
      </w:tr>
      <w:tr>
        <w:tc>
          <w:tcPr>
            <w:tcW w:type="dxa" w:w="1531"/>
          </w:tcPr>
          <w:p>
            <w:pPr>
              <w:jc w:val="center"/>
            </w:pPr>
            <w:r>
              <w:rPr>
                <w:rFonts w:ascii="宋体" w:hAnsi="宋体" w:eastAsia="宋体"/>
                <w:b w:val="0"/>
                <w:sz w:val="17"/>
              </w:rPr>
              <w:t>RSG 完整模型</w:t>
            </w:r>
          </w:p>
        </w:tc>
        <w:tc>
          <w:tcPr>
            <w:tcW w:type="dxa" w:w="1531"/>
          </w:tcPr>
          <w:p>
            <w:pPr>
              <w:jc w:val="center"/>
            </w:pPr>
            <w:r>
              <w:rPr>
                <w:rFonts w:ascii="宋体" w:hAnsi="宋体" w:eastAsia="宋体"/>
                <w:b w:val="0"/>
                <w:sz w:val="17"/>
              </w:rPr>
              <w:t>76.45%</w:t>
            </w:r>
          </w:p>
        </w:tc>
        <w:tc>
          <w:tcPr>
            <w:tcW w:type="dxa" w:w="1531"/>
          </w:tcPr>
          <w:p>
            <w:pPr>
              <w:jc w:val="center"/>
            </w:pPr>
            <w:r>
              <w:rPr>
                <w:rFonts w:ascii="宋体" w:hAnsi="宋体" w:eastAsia="宋体"/>
                <w:b w:val="0"/>
                <w:sz w:val="17"/>
              </w:rPr>
              <w:t>74.76%</w:t>
            </w:r>
          </w:p>
        </w:tc>
        <w:tc>
          <w:tcPr>
            <w:tcW w:type="dxa" w:w="1531"/>
          </w:tcPr>
          <w:p>
            <w:pPr>
              <w:jc w:val="center"/>
            </w:pPr>
            <w:r>
              <w:rPr>
                <w:rFonts w:ascii="宋体" w:hAnsi="宋体" w:eastAsia="宋体"/>
                <w:b w:val="0"/>
                <w:sz w:val="17"/>
              </w:rPr>
              <w:t>72.91%</w:t>
            </w:r>
          </w:p>
        </w:tc>
        <w:tc>
          <w:tcPr>
            <w:tcW w:type="dxa" w:w="1531"/>
          </w:tcPr>
          <w:p>
            <w:pPr>
              <w:jc w:val="center"/>
            </w:pPr>
            <w:r>
              <w:rPr>
                <w:rFonts w:ascii="宋体" w:hAnsi="宋体" w:eastAsia="宋体"/>
                <w:b w:val="0"/>
                <w:sz w:val="17"/>
              </w:rPr>
              <w:t>37.02%</w:t>
            </w:r>
          </w:p>
        </w:tc>
        <w:tc>
          <w:tcPr>
            <w:tcW w:type="dxa" w:w="1531"/>
          </w:tcPr>
          <w:p>
            <w:pPr>
              <w:jc w:val="center"/>
            </w:pPr>
            <w:r>
              <w:rPr>
                <w:rFonts w:ascii="宋体" w:hAnsi="宋体" w:eastAsia="宋体"/>
                <w:b w:val="0"/>
                <w:sz w:val="17"/>
              </w:rPr>
              <w:t>12.90%</w:t>
            </w:r>
          </w:p>
        </w:tc>
      </w:tr>
      <w:tr>
        <w:tc>
          <w:tcPr>
            <w:tcW w:type="dxa" w:w="1531"/>
          </w:tcPr>
          <w:p>
            <w:pPr>
              <w:jc w:val="center"/>
            </w:pPr>
            <w:r>
              <w:rPr>
                <w:rFonts w:ascii="宋体" w:hAnsi="宋体" w:eastAsia="宋体"/>
                <w:b w:val="0"/>
                <w:sz w:val="17"/>
              </w:rPr>
              <w:t>RPG 完整模型</w:t>
            </w:r>
          </w:p>
        </w:tc>
        <w:tc>
          <w:tcPr>
            <w:tcW w:type="dxa" w:w="1531"/>
          </w:tcPr>
          <w:p>
            <w:pPr>
              <w:jc w:val="center"/>
            </w:pPr>
            <w:r>
              <w:rPr>
                <w:rFonts w:ascii="宋体" w:hAnsi="宋体" w:eastAsia="宋体"/>
                <w:b w:val="0"/>
                <w:sz w:val="17"/>
              </w:rPr>
              <w:t>76.32%</w:t>
            </w:r>
          </w:p>
        </w:tc>
        <w:tc>
          <w:tcPr>
            <w:tcW w:type="dxa" w:w="1531"/>
          </w:tcPr>
          <w:p>
            <w:pPr>
              <w:jc w:val="center"/>
            </w:pPr>
            <w:r>
              <w:rPr>
                <w:rFonts w:ascii="宋体" w:hAnsi="宋体" w:eastAsia="宋体"/>
                <w:b w:val="0"/>
                <w:sz w:val="17"/>
              </w:rPr>
              <w:t>74.52%</w:t>
            </w:r>
          </w:p>
        </w:tc>
        <w:tc>
          <w:tcPr>
            <w:tcW w:type="dxa" w:w="1531"/>
          </w:tcPr>
          <w:p>
            <w:pPr>
              <w:jc w:val="center"/>
            </w:pPr>
            <w:r>
              <w:rPr>
                <w:rFonts w:ascii="宋体" w:hAnsi="宋体" w:eastAsia="宋体"/>
                <w:b w:val="0"/>
                <w:sz w:val="17"/>
              </w:rPr>
              <w:t>74.90%</w:t>
            </w:r>
          </w:p>
        </w:tc>
        <w:tc>
          <w:tcPr>
            <w:tcW w:type="dxa" w:w="1531"/>
          </w:tcPr>
          <w:p>
            <w:pPr>
              <w:jc w:val="center"/>
            </w:pPr>
            <w:r>
              <w:rPr>
                <w:rFonts w:ascii="宋体" w:hAnsi="宋体" w:eastAsia="宋体"/>
                <w:b w:val="0"/>
                <w:sz w:val="17"/>
              </w:rPr>
              <w:t>37.43%</w:t>
            </w:r>
          </w:p>
        </w:tc>
        <w:tc>
          <w:tcPr>
            <w:tcW w:type="dxa" w:w="1531"/>
          </w:tcPr>
          <w:p>
            <w:pPr>
              <w:jc w:val="center"/>
            </w:pPr>
            <w:r>
              <w:rPr>
                <w:rFonts w:ascii="宋体" w:hAnsi="宋体" w:eastAsia="宋体"/>
                <w:b w:val="0"/>
                <w:sz w:val="17"/>
              </w:rPr>
              <w:t>12.48%</w:t>
            </w:r>
          </w:p>
        </w:tc>
      </w:tr>
      <w:tr>
        <w:tc>
          <w:tcPr>
            <w:tcW w:type="dxa" w:w="1531"/>
          </w:tcPr>
          <w:p>
            <w:pPr>
              <w:jc w:val="center"/>
            </w:pPr>
            <w:r>
              <w:rPr>
                <w:rFonts w:ascii="宋体" w:hAnsi="宋体" w:eastAsia="宋体"/>
                <w:b w:val="0"/>
                <w:sz w:val="17"/>
              </w:rPr>
              <w:t>去除角色内不确定性</w:t>
            </w:r>
          </w:p>
        </w:tc>
        <w:tc>
          <w:tcPr>
            <w:tcW w:type="dxa" w:w="1531"/>
          </w:tcPr>
          <w:p>
            <w:pPr>
              <w:jc w:val="center"/>
            </w:pPr>
            <w:r>
              <w:rPr>
                <w:rFonts w:ascii="宋体" w:hAnsi="宋体" w:eastAsia="宋体"/>
                <w:b w:val="0"/>
                <w:sz w:val="17"/>
              </w:rPr>
              <w:t>76.32%</w:t>
            </w:r>
          </w:p>
        </w:tc>
        <w:tc>
          <w:tcPr>
            <w:tcW w:type="dxa" w:w="1531"/>
          </w:tcPr>
          <w:p>
            <w:pPr>
              <w:jc w:val="center"/>
            </w:pPr>
            <w:r>
              <w:rPr>
                <w:rFonts w:ascii="宋体" w:hAnsi="宋体" w:eastAsia="宋体"/>
                <w:b w:val="0"/>
                <w:sz w:val="17"/>
              </w:rPr>
              <w:t>74.67%</w:t>
            </w:r>
          </w:p>
        </w:tc>
        <w:tc>
          <w:tcPr>
            <w:tcW w:type="dxa" w:w="1531"/>
          </w:tcPr>
          <w:p>
            <w:pPr>
              <w:jc w:val="center"/>
            </w:pPr>
            <w:r>
              <w:rPr>
                <w:rFonts w:ascii="宋体" w:hAnsi="宋体" w:eastAsia="宋体"/>
                <w:b w:val="0"/>
                <w:sz w:val="17"/>
              </w:rPr>
              <w:t>74.63%</w:t>
            </w:r>
          </w:p>
        </w:tc>
        <w:tc>
          <w:tcPr>
            <w:tcW w:type="dxa" w:w="1531"/>
          </w:tcPr>
          <w:p>
            <w:pPr>
              <w:jc w:val="center"/>
            </w:pPr>
            <w:r>
              <w:rPr>
                <w:rFonts w:ascii="宋体" w:hAnsi="宋体" w:eastAsia="宋体"/>
                <w:b w:val="0"/>
                <w:sz w:val="17"/>
              </w:rPr>
              <w:t>37.74%</w:t>
            </w:r>
          </w:p>
        </w:tc>
        <w:tc>
          <w:tcPr>
            <w:tcW w:type="dxa" w:w="1531"/>
          </w:tcPr>
          <w:p>
            <w:pPr>
              <w:jc w:val="center"/>
            </w:pPr>
            <w:r>
              <w:rPr>
                <w:rFonts w:ascii="宋体" w:hAnsi="宋体" w:eastAsia="宋体"/>
                <w:b w:val="0"/>
                <w:sz w:val="17"/>
              </w:rPr>
              <w:t>12.75%</w:t>
            </w:r>
          </w:p>
        </w:tc>
      </w:tr>
      <w:tr>
        <w:tc>
          <w:tcPr>
            <w:tcW w:type="dxa" w:w="1531"/>
          </w:tcPr>
          <w:p>
            <w:pPr>
              <w:jc w:val="center"/>
            </w:pPr>
            <w:r>
              <w:rPr>
                <w:rFonts w:ascii="宋体" w:hAnsi="宋体" w:eastAsia="宋体"/>
                <w:b w:val="0"/>
                <w:sz w:val="17"/>
              </w:rPr>
              <w:t>去除角色间不确定性</w:t>
            </w:r>
          </w:p>
        </w:tc>
        <w:tc>
          <w:tcPr>
            <w:tcW w:type="dxa" w:w="1531"/>
          </w:tcPr>
          <w:p>
            <w:pPr>
              <w:jc w:val="center"/>
            </w:pPr>
            <w:r>
              <w:rPr>
                <w:rFonts w:ascii="宋体" w:hAnsi="宋体" w:eastAsia="宋体"/>
                <w:b w:val="0"/>
                <w:sz w:val="17"/>
              </w:rPr>
              <w:t>75.86%</w:t>
            </w:r>
          </w:p>
        </w:tc>
        <w:tc>
          <w:tcPr>
            <w:tcW w:type="dxa" w:w="1531"/>
          </w:tcPr>
          <w:p>
            <w:pPr>
              <w:jc w:val="center"/>
            </w:pPr>
            <w:r>
              <w:rPr>
                <w:rFonts w:ascii="宋体" w:hAnsi="宋体" w:eastAsia="宋体"/>
                <w:b w:val="0"/>
                <w:sz w:val="17"/>
              </w:rPr>
              <w:t>73.79%</w:t>
            </w:r>
          </w:p>
        </w:tc>
        <w:tc>
          <w:tcPr>
            <w:tcW w:type="dxa" w:w="1531"/>
          </w:tcPr>
          <w:p>
            <w:pPr>
              <w:jc w:val="center"/>
            </w:pPr>
            <w:r>
              <w:rPr>
                <w:rFonts w:ascii="宋体" w:hAnsi="宋体" w:eastAsia="宋体"/>
                <w:b w:val="0"/>
                <w:sz w:val="17"/>
              </w:rPr>
              <w:t>73.97%</w:t>
            </w:r>
          </w:p>
        </w:tc>
        <w:tc>
          <w:tcPr>
            <w:tcW w:type="dxa" w:w="1531"/>
          </w:tcPr>
          <w:p>
            <w:pPr>
              <w:jc w:val="center"/>
            </w:pPr>
            <w:r>
              <w:rPr>
                <w:rFonts w:ascii="宋体" w:hAnsi="宋体" w:eastAsia="宋体"/>
                <w:b w:val="0"/>
                <w:sz w:val="17"/>
              </w:rPr>
              <w:t>38.30%</w:t>
            </w:r>
          </w:p>
        </w:tc>
        <w:tc>
          <w:tcPr>
            <w:tcW w:type="dxa" w:w="1531"/>
          </w:tcPr>
          <w:p>
            <w:pPr>
              <w:jc w:val="center"/>
            </w:pPr>
            <w:r>
              <w:rPr>
                <w:rFonts w:ascii="宋体" w:hAnsi="宋体" w:eastAsia="宋体"/>
                <w:b w:val="0"/>
                <w:sz w:val="17"/>
              </w:rPr>
              <w:t>13.88%</w:t>
            </w:r>
          </w:p>
        </w:tc>
      </w:tr>
      <w:tr>
        <w:tc>
          <w:tcPr>
            <w:tcW w:type="dxa" w:w="1531"/>
          </w:tcPr>
          <w:p>
            <w:pPr>
              <w:jc w:val="center"/>
            </w:pPr>
            <w:r>
              <w:rPr>
                <w:rFonts w:ascii="宋体" w:hAnsi="宋体" w:eastAsia="宋体"/>
                <w:b w:val="0"/>
                <w:sz w:val="17"/>
              </w:rPr>
              <w:t>仅使用总熵</w:t>
            </w:r>
          </w:p>
        </w:tc>
        <w:tc>
          <w:tcPr>
            <w:tcW w:type="dxa" w:w="1531"/>
          </w:tcPr>
          <w:p>
            <w:pPr>
              <w:jc w:val="center"/>
            </w:pPr>
            <w:r>
              <w:rPr>
                <w:rFonts w:ascii="宋体" w:hAnsi="宋体" w:eastAsia="宋体"/>
                <w:b w:val="0"/>
                <w:sz w:val="17"/>
              </w:rPr>
              <w:t>75.93%</w:t>
            </w:r>
          </w:p>
        </w:tc>
        <w:tc>
          <w:tcPr>
            <w:tcW w:type="dxa" w:w="1531"/>
          </w:tcPr>
          <w:p>
            <w:pPr>
              <w:jc w:val="center"/>
            </w:pPr>
            <w:r>
              <w:rPr>
                <w:rFonts w:ascii="宋体" w:hAnsi="宋体" w:eastAsia="宋体"/>
                <w:b w:val="0"/>
                <w:sz w:val="17"/>
              </w:rPr>
              <w:t>74.25%</w:t>
            </w:r>
          </w:p>
        </w:tc>
        <w:tc>
          <w:tcPr>
            <w:tcW w:type="dxa" w:w="1531"/>
          </w:tcPr>
          <w:p>
            <w:pPr>
              <w:jc w:val="center"/>
            </w:pPr>
            <w:r>
              <w:rPr>
                <w:rFonts w:ascii="宋体" w:hAnsi="宋体" w:eastAsia="宋体"/>
                <w:b w:val="0"/>
                <w:sz w:val="17"/>
              </w:rPr>
              <w:t>74.50%</w:t>
            </w:r>
          </w:p>
        </w:tc>
        <w:tc>
          <w:tcPr>
            <w:tcW w:type="dxa" w:w="1531"/>
          </w:tcPr>
          <w:p>
            <w:pPr>
              <w:jc w:val="center"/>
            </w:pPr>
            <w:r>
              <w:rPr>
                <w:rFonts w:ascii="宋体" w:hAnsi="宋体" w:eastAsia="宋体"/>
                <w:b w:val="0"/>
                <w:sz w:val="17"/>
              </w:rPr>
              <w:t>37.63%</w:t>
            </w:r>
          </w:p>
        </w:tc>
        <w:tc>
          <w:tcPr>
            <w:tcW w:type="dxa" w:w="1531"/>
          </w:tcPr>
          <w:p>
            <w:pPr>
              <w:jc w:val="center"/>
            </w:pPr>
            <w:r>
              <w:rPr>
                <w:rFonts w:ascii="宋体" w:hAnsi="宋体" w:eastAsia="宋体"/>
                <w:b w:val="0"/>
                <w:sz w:val="17"/>
              </w:rPr>
              <w:t>12.89%</w:t>
            </w:r>
          </w:p>
        </w:tc>
      </w:tr>
    </w:tbl>
    <w:p/>
    <w:p>
      <w:pPr>
        <w:spacing w:line="360" w:lineRule="auto"/>
      </w:pPr>
      <w:r>
        <w:rPr>
          <w:rFonts w:ascii="宋体" w:hAnsi="宋体" w:eastAsia="宋体"/>
          <w:sz w:val="21"/>
        </w:rPr>
        <w:t>完整 RPG、两个分区熵移除消融和仅总熵消融在固定数据划分、主干、训练预算、图像增强和随机种子下进行对比。若 RPG 完整模型相对 RSG 的成对区间未显示稳定优势，本附录仅将其报告为理论驱动的受控探索，而不作性能优越性结论。</w:t>
      </w:r>
    </w:p>
    <w:p>
      <w:pPr>
        <w:pStyle w:val="21"/>
      </w:pPr>
      <w:r>
        <w:t>E.3 成对统计与结论边界</w:t>
      </w:r>
    </w:p>
    <w:tbl>
      <w:tblPr>
        <w:tblStyle w:val="aff1"/>
        <w:tblW w:type="auto" w:w="0"/>
        <w:tblLook w:firstColumn="1" w:firstRow="1" w:lastColumn="0" w:lastRow="0" w:noHBand="0" w:noVBand="1" w:val="04A0"/>
      </w:tblPr>
      <w:tblGrid>
        <w:gridCol w:w="2296"/>
        <w:gridCol w:w="2296"/>
        <w:gridCol w:w="2296"/>
        <w:gridCol w:w="2296"/>
      </w:tblGrid>
      <w:tr>
        <w:tc>
          <w:tcPr>
            <w:tcW w:type="dxa" w:w="2296"/>
          </w:tcPr>
          <w:p>
            <w:pPr>
              <w:jc w:val="center"/>
            </w:pPr>
            <w:r>
              <w:rPr>
                <w:rFonts w:ascii="宋体" w:hAnsi="宋体" w:eastAsia="宋体"/>
                <w:b/>
                <w:sz w:val="17"/>
              </w:rPr>
              <w:t>相对 RSG</w:t>
            </w:r>
          </w:p>
        </w:tc>
        <w:tc>
          <w:tcPr>
            <w:tcW w:type="dxa" w:w="2296"/>
          </w:tcPr>
          <w:p>
            <w:pPr>
              <w:jc w:val="center"/>
            </w:pPr>
            <w:r>
              <w:rPr>
                <w:rFonts w:ascii="宋体" w:hAnsi="宋体" w:eastAsia="宋体"/>
                <w:b/>
                <w:sz w:val="17"/>
              </w:rPr>
              <w:t>Macro F1 差值 [95% CI]</w:t>
            </w:r>
          </w:p>
        </w:tc>
        <w:tc>
          <w:tcPr>
            <w:tcW w:type="dxa" w:w="2296"/>
          </w:tcPr>
          <w:p>
            <w:pPr>
              <w:jc w:val="center"/>
            </w:pPr>
            <w:r>
              <w:rPr>
                <w:rFonts w:ascii="宋体" w:hAnsi="宋体" w:eastAsia="宋体"/>
                <w:b/>
                <w:sz w:val="17"/>
              </w:rPr>
              <w:t>门控遗憾差值 [95% CI]</w:t>
            </w:r>
          </w:p>
        </w:tc>
        <w:tc>
          <w:tcPr>
            <w:tcW w:type="dxa" w:w="2296"/>
          </w:tcPr>
          <w:p>
            <w:pPr>
              <w:jc w:val="center"/>
            </w:pPr>
            <w:r>
              <w:rPr>
                <w:rFonts w:ascii="宋体" w:hAnsi="宋体" w:eastAsia="宋体"/>
                <w:b/>
                <w:sz w:val="17"/>
              </w:rPr>
              <w:t>Brier 差值 [95% CI]</w:t>
            </w:r>
          </w:p>
        </w:tc>
      </w:tr>
      <w:tr>
        <w:tc>
          <w:tcPr>
            <w:tcW w:type="dxa" w:w="2296"/>
          </w:tcPr>
          <w:p>
            <w:pPr>
              <w:jc w:val="center"/>
            </w:pPr>
            <w:r>
              <w:rPr>
                <w:rFonts w:ascii="宋体" w:hAnsi="宋体" w:eastAsia="宋体"/>
                <w:b w:val="0"/>
                <w:sz w:val="17"/>
              </w:rPr>
              <w:t>RPG 完整模型</w:t>
            </w:r>
          </w:p>
        </w:tc>
        <w:tc>
          <w:tcPr>
            <w:tcW w:type="dxa" w:w="2296"/>
          </w:tcPr>
          <w:p>
            <w:pPr>
              <w:jc w:val="center"/>
            </w:pPr>
            <w:r>
              <w:rPr>
                <w:rFonts w:ascii="宋体" w:hAnsi="宋体" w:eastAsia="宋体"/>
                <w:b w:val="0"/>
                <w:sz w:val="17"/>
              </w:rPr>
              <w:t>-0.23% [-2.11%, 1.51%]</w:t>
            </w:r>
          </w:p>
        </w:tc>
        <w:tc>
          <w:tcPr>
            <w:tcW w:type="dxa" w:w="2296"/>
          </w:tcPr>
          <w:p>
            <w:pPr>
              <w:jc w:val="center"/>
            </w:pPr>
            <w:r>
              <w:rPr>
                <w:rFonts w:ascii="宋体" w:hAnsi="宋体" w:eastAsia="宋体"/>
                <w:b w:val="0"/>
                <w:sz w:val="17"/>
              </w:rPr>
              <w:t>0.29% [-1.01%, 1.33%]</w:t>
            </w:r>
          </w:p>
        </w:tc>
        <w:tc>
          <w:tcPr>
            <w:tcW w:type="dxa" w:w="2296"/>
          </w:tcPr>
          <w:p>
            <w:pPr>
              <w:jc w:val="center"/>
            </w:pPr>
            <w:r>
              <w:rPr>
                <w:rFonts w:ascii="宋体" w:hAnsi="宋体" w:eastAsia="宋体"/>
                <w:b w:val="0"/>
                <w:sz w:val="17"/>
              </w:rPr>
              <w:t>0.41% [-1.82%, 2.89%]</w:t>
            </w:r>
          </w:p>
        </w:tc>
      </w:tr>
      <w:tr>
        <w:tc>
          <w:tcPr>
            <w:tcW w:type="dxa" w:w="2296"/>
          </w:tcPr>
          <w:p>
            <w:pPr>
              <w:jc w:val="center"/>
            </w:pPr>
            <w:r>
              <w:rPr>
                <w:rFonts w:ascii="宋体" w:hAnsi="宋体" w:eastAsia="宋体"/>
                <w:b w:val="0"/>
                <w:sz w:val="17"/>
              </w:rPr>
              <w:t>去除角色内不确定性</w:t>
            </w:r>
          </w:p>
        </w:tc>
        <w:tc>
          <w:tcPr>
            <w:tcW w:type="dxa" w:w="2296"/>
          </w:tcPr>
          <w:p>
            <w:pPr>
              <w:jc w:val="center"/>
            </w:pPr>
            <w:r>
              <w:rPr>
                <w:rFonts w:ascii="宋体" w:hAnsi="宋体" w:eastAsia="宋体"/>
                <w:b w:val="0"/>
                <w:sz w:val="17"/>
              </w:rPr>
              <w:t>-0.08% [-1.66%, 1.50%]</w:t>
            </w:r>
          </w:p>
        </w:tc>
        <w:tc>
          <w:tcPr>
            <w:tcW w:type="dxa" w:w="2296"/>
          </w:tcPr>
          <w:p>
            <w:pPr>
              <w:jc w:val="center"/>
            </w:pPr>
            <w:r>
              <w:rPr>
                <w:rFonts w:ascii="宋体" w:hAnsi="宋体" w:eastAsia="宋体"/>
                <w:b w:val="0"/>
                <w:sz w:val="17"/>
              </w:rPr>
              <w:t>0.29% [-1.02%, 1.33%]</w:t>
            </w:r>
          </w:p>
        </w:tc>
        <w:tc>
          <w:tcPr>
            <w:tcW w:type="dxa" w:w="2296"/>
          </w:tcPr>
          <w:p>
            <w:pPr>
              <w:jc w:val="center"/>
            </w:pPr>
            <w:r>
              <w:rPr>
                <w:rFonts w:ascii="宋体" w:hAnsi="宋体" w:eastAsia="宋体"/>
                <w:b w:val="0"/>
                <w:sz w:val="17"/>
              </w:rPr>
              <w:t>0.72% [-1.58%, 2.99%]</w:t>
            </w:r>
          </w:p>
        </w:tc>
      </w:tr>
      <w:tr>
        <w:tc>
          <w:tcPr>
            <w:tcW w:type="dxa" w:w="2296"/>
          </w:tcPr>
          <w:p>
            <w:pPr>
              <w:jc w:val="center"/>
            </w:pPr>
            <w:r>
              <w:rPr>
                <w:rFonts w:ascii="宋体" w:hAnsi="宋体" w:eastAsia="宋体"/>
                <w:b w:val="0"/>
                <w:sz w:val="17"/>
              </w:rPr>
              <w:t>去除角色间不确定性</w:t>
            </w:r>
          </w:p>
        </w:tc>
        <w:tc>
          <w:tcPr>
            <w:tcW w:type="dxa" w:w="2296"/>
          </w:tcPr>
          <w:p>
            <w:pPr>
              <w:jc w:val="center"/>
            </w:pPr>
            <w:r>
              <w:rPr>
                <w:rFonts w:ascii="宋体" w:hAnsi="宋体" w:eastAsia="宋体"/>
                <w:b w:val="0"/>
                <w:sz w:val="17"/>
              </w:rPr>
              <w:t>-0.97% [-2.54%, 0.63%]</w:t>
            </w:r>
          </w:p>
        </w:tc>
        <w:tc>
          <w:tcPr>
            <w:tcW w:type="dxa" w:w="2296"/>
          </w:tcPr>
          <w:p>
            <w:pPr>
              <w:jc w:val="center"/>
            </w:pPr>
            <w:r>
              <w:rPr>
                <w:rFonts w:ascii="宋体" w:hAnsi="宋体" w:eastAsia="宋体"/>
                <w:b w:val="0"/>
                <w:sz w:val="17"/>
              </w:rPr>
              <w:t>0.29% [-0.37%, 0.98%]</w:t>
            </w:r>
          </w:p>
        </w:tc>
        <w:tc>
          <w:tcPr>
            <w:tcW w:type="dxa" w:w="2296"/>
          </w:tcPr>
          <w:p>
            <w:pPr>
              <w:jc w:val="center"/>
            </w:pPr>
            <w:r>
              <w:rPr>
                <w:rFonts w:ascii="宋体" w:hAnsi="宋体" w:eastAsia="宋体"/>
                <w:b w:val="0"/>
                <w:sz w:val="17"/>
              </w:rPr>
              <w:t>1.28% [-0.58%, 3.19%]</w:t>
            </w:r>
          </w:p>
        </w:tc>
      </w:tr>
      <w:tr>
        <w:tc>
          <w:tcPr>
            <w:tcW w:type="dxa" w:w="2296"/>
          </w:tcPr>
          <w:p>
            <w:pPr>
              <w:jc w:val="center"/>
            </w:pPr>
            <w:r>
              <w:rPr>
                <w:rFonts w:ascii="宋体" w:hAnsi="宋体" w:eastAsia="宋体"/>
                <w:b w:val="0"/>
                <w:sz w:val="17"/>
              </w:rPr>
              <w:t>仅使用总熵</w:t>
            </w:r>
          </w:p>
        </w:tc>
        <w:tc>
          <w:tcPr>
            <w:tcW w:type="dxa" w:w="2296"/>
          </w:tcPr>
          <w:p>
            <w:pPr>
              <w:jc w:val="center"/>
            </w:pPr>
            <w:r>
              <w:rPr>
                <w:rFonts w:ascii="宋体" w:hAnsi="宋体" w:eastAsia="宋体"/>
                <w:b w:val="0"/>
                <w:sz w:val="17"/>
              </w:rPr>
              <w:t>-0.51% [-2.31%, 1.29%]</w:t>
            </w:r>
          </w:p>
        </w:tc>
        <w:tc>
          <w:tcPr>
            <w:tcW w:type="dxa" w:w="2296"/>
          </w:tcPr>
          <w:p>
            <w:pPr>
              <w:jc w:val="center"/>
            </w:pPr>
            <w:r>
              <w:rPr>
                <w:rFonts w:ascii="宋体" w:hAnsi="宋体" w:eastAsia="宋体"/>
                <w:b w:val="0"/>
                <w:sz w:val="17"/>
              </w:rPr>
              <w:t>0.03% [-0.99%, 0.90%]</w:t>
            </w:r>
          </w:p>
        </w:tc>
        <w:tc>
          <w:tcPr>
            <w:tcW w:type="dxa" w:w="2296"/>
          </w:tcPr>
          <w:p>
            <w:pPr>
              <w:jc w:val="center"/>
            </w:pPr>
            <w:r>
              <w:rPr>
                <w:rFonts w:ascii="宋体" w:hAnsi="宋体" w:eastAsia="宋体"/>
                <w:b w:val="0"/>
                <w:sz w:val="17"/>
              </w:rPr>
              <w:t>0.61% [-1.66%, 2.81%]</w:t>
            </w:r>
          </w:p>
        </w:tc>
      </w:tr>
    </w:tbl>
    <w:p/>
    <w:p>
      <w:pPr>
        <w:spacing w:line="360" w:lineRule="auto"/>
      </w:pPr>
      <w:r>
        <w:rPr>
          <w:rFonts w:ascii="宋体" w:hAnsi="宋体" w:eastAsia="宋体"/>
          <w:sz w:val="21"/>
        </w:rPr>
        <w:t>差值均为配置减去 RSG；门控遗憾以融合后验相对于两路专家中概率更优者的负对数似然损失定义，越低越好。区间通过图片 split_group_id 聚类、随机种子与组两阶段重采样的 2,000 次 Bootstrap 得到。理论命题中的信息分解恒等式不依赖实验，实验只检验所构造的门控特征是否在本数据与本协议下带来稳定的经验收益。</w:t>
      </w:r>
    </w:p>
    <w:p>
      <w:pPr>
        <w:spacing w:line="360" w:lineRule="auto"/>
      </w:pPr>
      <w:r>
        <w:rPr>
          <w:rFonts w:ascii="宋体" w:hAnsi="宋体" w:eastAsia="宋体"/>
          <w:sz w:val="21"/>
        </w:rPr>
        <w:t>结论边界：RPG-HRGV 验证的是公开矿物标本图像上的四角色闭集识别、门控行为和后验质量，不等同于工业分选、精矿品位预测、回收率提升、钒钛元素含量检测、真实工况泛化或未知矿物拒识性能。阶段条件化选矿决策图及送检风险最小化作为后续研究方向，不在本附录中声称已完成验证。</w:t>
      </w:r>
    </w:p>
    <w:p>
      <w:pPr>
        <w:pStyle w:val="1"/>
      </w:pPr>
      <w:r>
        <w:t>附录 F M-RPG-HRGV 容量归一化单调门控理论与实验</w:t>
      </w:r>
    </w:p>
    <w:p>
      <w:pPr>
        <w:pStyle w:val="21"/>
      </w:pPr>
      <w:r>
        <w:t>F.1 容量归一化单调门控</w:t>
      </w:r>
    </w:p>
    <w:p>
      <w:pPr>
        <w:spacing w:line="360" w:lineRule="auto"/>
      </w:pPr>
      <w:r>
        <w:rPr>
          <w:rFonts w:ascii="宋体" w:hAnsi="宋体" w:eastAsia="宋体"/>
          <w:sz w:val="21"/>
        </w:rPr>
        <w:t>M-RPG-HRGV 在 RPG 的固定矿物种类-角色映射上进一步处理四个角色的种类容量不均衡问题。设 p_s 为 17 类矿物种类后验、p_m=Mp_s 为四角色后验，角色 r 所含种类数为 n_r。种类总不确定性仍满足熵链式分解，但角色内熵的最大允许值随 n_r 变化，不能直接与角色间熵比较。</w:t>
      </w:r>
    </w:p>
    <w:p>
      <w:pPr>
        <w:jc w:val="center"/>
      </w:pPr>
      <w:r>
        <w:drawing>
          <wp:inline xmlns:a="http://schemas.openxmlformats.org/drawingml/2006/main" xmlns:pic="http://schemas.openxmlformats.org/drawingml/2006/picture">
            <wp:extent cx="5508000" cy="462020"/>
            <wp:docPr id="50" name="Picture 50"/>
            <wp:cNvGraphicFramePr>
              <a:graphicFrameLocks noChangeAspect="1"/>
            </wp:cNvGraphicFramePr>
            <a:graphic>
              <a:graphicData uri="http://schemas.openxmlformats.org/drawingml/2006/picture">
                <pic:pic>
                  <pic:nvPicPr>
                    <pic:cNvPr id="0" name="mrpg_identity.png"/>
                    <pic:cNvPicPr/>
                  </pic:nvPicPr>
                  <pic:blipFill>
                    <a:blip r:embed="rId61"/>
                    <a:stretch>
                      <a:fillRect/>
                    </a:stretch>
                  </pic:blipFill>
                  <pic:spPr>
                    <a:xfrm>
                      <a:off x="0" y="0"/>
                      <a:ext cx="5508000" cy="462020"/>
                    </a:xfrm>
                    <a:prstGeom prst="rect"/>
                  </pic:spPr>
                </pic:pic>
              </a:graphicData>
            </a:graphic>
          </wp:inline>
        </w:drawing>
      </w:r>
    </w:p>
    <w:p>
      <w:pPr>
        <w:spacing w:line="360" w:lineRule="auto"/>
      </w:pPr>
      <w:r>
        <w:rPr>
          <w:rFonts w:ascii="宋体" w:hAnsi="宋体" w:eastAsia="宋体"/>
          <w:sz w:val="21"/>
        </w:rPr>
        <w:t>式（F-1） 固定角色分区下保留的原始熵链式恒等式</w:t>
      </w:r>
    </w:p>
    <w:p>
      <w:pPr>
        <w:jc w:val="center"/>
      </w:pPr>
      <w:r>
        <w:drawing>
          <wp:inline xmlns:a="http://schemas.openxmlformats.org/drawingml/2006/main" xmlns:pic="http://schemas.openxmlformats.org/drawingml/2006/picture">
            <wp:extent cx="5508000" cy="360851"/>
            <wp:docPr id="51" name="Picture 51"/>
            <wp:cNvGraphicFramePr>
              <a:graphicFrameLocks noChangeAspect="1"/>
            </wp:cNvGraphicFramePr>
            <a:graphic>
              <a:graphicData uri="http://schemas.openxmlformats.org/drawingml/2006/picture">
                <pic:pic>
                  <pic:nvPicPr>
                    <pic:cNvPr id="0" name="mrpg_normalization.png"/>
                    <pic:cNvPicPr/>
                  </pic:nvPicPr>
                  <pic:blipFill>
                    <a:blip r:embed="rId62"/>
                    <a:stretch>
                      <a:fillRect/>
                    </a:stretch>
                  </pic:blipFill>
                  <pic:spPr>
                    <a:xfrm>
                      <a:off x="0" y="0"/>
                      <a:ext cx="5508000" cy="360851"/>
                    </a:xfrm>
                    <a:prstGeom prst="rect"/>
                  </pic:spPr>
                </pic:pic>
              </a:graphicData>
            </a:graphic>
          </wp:inline>
        </w:drawing>
      </w:r>
    </w:p>
    <w:p>
      <w:pPr>
        <w:spacing w:line="360" w:lineRule="auto"/>
      </w:pPr>
      <w:r>
        <w:rPr>
          <w:rFonts w:ascii="宋体" w:hAnsi="宋体" w:eastAsia="宋体"/>
          <w:sz w:val="21"/>
        </w:rPr>
        <w:t>式（F-2） 按角色种类容量归一化的两类不确定性</w:t>
      </w:r>
    </w:p>
    <w:p>
      <w:pPr>
        <w:spacing w:line="360" w:lineRule="auto"/>
      </w:pPr>
      <w:r>
        <w:rPr>
          <w:rFonts w:ascii="宋体" w:hAnsi="宋体" w:eastAsia="宋体"/>
          <w:sz w:val="21"/>
        </w:rPr>
        <w:t>将角色间熵除以 log|R|，并将角色内条件熵除以其在当前角色后验下的容量上界 C_within(p_m)，得到均位于 [0,1] 的 u_between 与 u_within。若 C_within 为零，则定义 u_within=0。该归一化不改变式（F-1）的原始信息分解，只为门控比较提供无量纲且容量可比的输入。</w:t>
      </w:r>
    </w:p>
    <w:p>
      <w:pPr>
        <w:jc w:val="center"/>
      </w:pPr>
      <w:r>
        <w:drawing>
          <wp:inline xmlns:a="http://schemas.openxmlformats.org/drawingml/2006/main" xmlns:pic="http://schemas.openxmlformats.org/drawingml/2006/picture">
            <wp:extent cx="5508000" cy="302052"/>
            <wp:docPr id="52" name="Picture 52"/>
            <wp:cNvGraphicFramePr>
              <a:graphicFrameLocks noChangeAspect="1"/>
            </wp:cNvGraphicFramePr>
            <a:graphic>
              <a:graphicData uri="http://schemas.openxmlformats.org/drawingml/2006/picture">
                <pic:pic>
                  <pic:nvPicPr>
                    <pic:cNvPr id="0" name="mrpg_monotone_gate.png"/>
                    <pic:cNvPicPr/>
                  </pic:nvPicPr>
                  <pic:blipFill>
                    <a:blip r:embed="rId63"/>
                    <a:stretch>
                      <a:fillRect/>
                    </a:stretch>
                  </pic:blipFill>
                  <pic:spPr>
                    <a:xfrm>
                      <a:off x="0" y="0"/>
                      <a:ext cx="5508000" cy="302052"/>
                    </a:xfrm>
                    <a:prstGeom prst="rect"/>
                  </pic:spPr>
                </pic:pic>
              </a:graphicData>
            </a:graphic>
          </wp:inline>
        </w:drawing>
      </w:r>
    </w:p>
    <w:p>
      <w:pPr>
        <w:spacing w:line="360" w:lineRule="auto"/>
      </w:pPr>
      <w:r>
        <w:rPr>
          <w:rFonts w:ascii="宋体" w:hAnsi="宋体" w:eastAsia="宋体"/>
          <w:sz w:val="21"/>
        </w:rPr>
        <w:t>式（F-3） 对角色间歧义单调的直接专家分配与凸融合</w:t>
      </w:r>
    </w:p>
    <w:p>
      <w:pPr>
        <w:jc w:val="center"/>
      </w:pPr>
      <w:r>
        <w:drawing>
          <wp:inline xmlns:a="http://schemas.openxmlformats.org/drawingml/2006/main" xmlns:pic="http://schemas.openxmlformats.org/drawingml/2006/picture">
            <wp:extent cx="5508000" cy="761474"/>
            <wp:docPr id="53" name="Picture 53"/>
            <wp:cNvGraphicFramePr>
              <a:graphicFrameLocks noChangeAspect="1"/>
            </wp:cNvGraphicFramePr>
            <a:graphic>
              <a:graphicData uri="http://schemas.openxmlformats.org/drawingml/2006/picture">
                <pic:pic>
                  <pic:nvPicPr>
                    <pic:cNvPr id="0" name="mrpg_derivative.png"/>
                    <pic:cNvPicPr/>
                  </pic:nvPicPr>
                  <pic:blipFill>
                    <a:blip r:embed="rId64"/>
                    <a:stretch>
                      <a:fillRect/>
                    </a:stretch>
                  </pic:blipFill>
                  <pic:spPr>
                    <a:xfrm>
                      <a:off x="0" y="0"/>
                      <a:ext cx="5508000" cy="761474"/>
                    </a:xfrm>
                    <a:prstGeom prst="rect"/>
                  </pic:spPr>
                </pic:pic>
              </a:graphicData>
            </a:graphic>
          </wp:inline>
        </w:drawing>
      </w:r>
    </w:p>
    <w:p>
      <w:pPr>
        <w:spacing w:line="360" w:lineRule="auto"/>
      </w:pPr>
      <w:r>
        <w:rPr>
          <w:rFonts w:ascii="宋体" w:hAnsi="宋体" w:eastAsia="宋体"/>
          <w:sz w:val="21"/>
        </w:rPr>
        <w:t>式（F-4） 角色间不确定性到直接专家门控的非负导数</w:t>
      </w:r>
    </w:p>
    <w:p>
      <w:pPr>
        <w:spacing w:line="360" w:lineRule="auto"/>
      </w:pPr>
      <w:r>
        <w:rPr>
          <w:rFonts w:ascii="宋体" w:hAnsi="宋体" w:eastAsia="宋体"/>
          <w:sz w:val="21"/>
        </w:rPr>
        <w:t>命题 M-R1（精确分解）：式（F-1）为固定映射下的条件熵链式法则。命题 M-R2（归一化有界性）：u_between 与 u_within 均落在 [0,1]。命题 M-R3（单调直接专家分配）：在共享特征、直接专家熵和 u_within 固定时，式（F-4）非负，角色间歧义增加不会降低直接角色专家的门控权重。命题 M-R4（凸融合包络）：因 g_M 属于 [0,1]，最终每个角色后验仍位于两路专家同角色概率的闭区间内。M-R1 至 M-R4 是当前公式和计算图的确定性性质；模型的经验性能只由下列受控实验判断。</w:t>
      </w:r>
    </w:p>
    <w:p>
      <w:pPr>
        <w:jc w:val="center"/>
      </w:pPr>
      <w:r>
        <w:drawing>
          <wp:inline xmlns:a="http://schemas.openxmlformats.org/drawingml/2006/main" xmlns:pic="http://schemas.openxmlformats.org/drawingml/2006/picture">
            <wp:extent cx="5544000" cy="3102944"/>
            <wp:docPr id="54" name="Picture 54"/>
            <wp:cNvGraphicFramePr>
              <a:graphicFrameLocks noChangeAspect="1"/>
            </wp:cNvGraphicFramePr>
            <a:graphic>
              <a:graphicData uri="http://schemas.openxmlformats.org/drawingml/2006/picture">
                <pic:pic>
                  <pic:nvPicPr>
                    <pic:cNvPr id="0" name="图_MRPG-HRGV-Net_网络结构与理论性质.png"/>
                    <pic:cNvPicPr/>
                  </pic:nvPicPr>
                  <pic:blipFill>
                    <a:blip r:embed="rId65"/>
                    <a:stretch>
                      <a:fillRect/>
                    </a:stretch>
                  </pic:blipFill>
                  <pic:spPr>
                    <a:xfrm>
                      <a:off x="0" y="0"/>
                      <a:ext cx="5544000" cy="3102944"/>
                    </a:xfrm>
                    <a:prstGeom prst="rect"/>
                  </pic:spPr>
                </pic:pic>
              </a:graphicData>
            </a:graphic>
          </wp:inline>
        </w:drawing>
      </w:r>
    </w:p>
    <w:p>
      <w:pPr>
        <w:pStyle w:val="af7"/>
        <w:jc w:val="center"/>
      </w:pPr>
      <w:r>
        <w:rPr>
          <w:rFonts w:ascii="宋体" w:hAnsi="宋体" w:eastAsia="宋体"/>
          <w:sz w:val="19"/>
        </w:rPr>
        <w:t>图 21 M-RPG-HRGV-Net 的容量归一化单调角色分区门控结构</w:t>
      </w:r>
    </w:p>
    <w:p>
      <w:pPr>
        <w:pStyle w:val="21"/>
      </w:pPr>
      <w:r>
        <w:t>F.2 三随机种子单调性与容量归一化消融</w:t>
      </w:r>
    </w:p>
    <w:tbl>
      <w:tblPr>
        <w:tblStyle w:val="aff1"/>
        <w:tblW w:type="auto" w:w="0"/>
        <w:tblLook w:firstColumn="1" w:firstRow="1" w:lastColumn="0" w:lastRow="0" w:noHBand="0" w:noVBand="1" w:val="04A0"/>
      </w:tblPr>
      <w:tblGrid>
        <w:gridCol w:w="1531"/>
        <w:gridCol w:w="1531"/>
        <w:gridCol w:w="1531"/>
        <w:gridCol w:w="1531"/>
        <w:gridCol w:w="1531"/>
        <w:gridCol w:w="1531"/>
      </w:tblGrid>
      <w:tr>
        <w:tc>
          <w:tcPr>
            <w:tcW w:type="dxa" w:w="1531"/>
          </w:tcPr>
          <w:p>
            <w:pPr>
              <w:jc w:val="center"/>
            </w:pPr>
            <w:r>
              <w:rPr>
                <w:rFonts w:ascii="宋体" w:hAnsi="宋体" w:eastAsia="宋体"/>
                <w:b/>
                <w:sz w:val="17"/>
              </w:rPr>
              <w:t>配置</w:t>
            </w:r>
          </w:p>
        </w:tc>
        <w:tc>
          <w:tcPr>
            <w:tcW w:type="dxa" w:w="1531"/>
          </w:tcPr>
          <w:p>
            <w:pPr>
              <w:jc w:val="center"/>
            </w:pPr>
            <w:r>
              <w:rPr>
                <w:rFonts w:ascii="宋体" w:hAnsi="宋体" w:eastAsia="宋体"/>
                <w:b/>
                <w:sz w:val="17"/>
              </w:rPr>
              <w:t>Accuracy</w:t>
            </w:r>
          </w:p>
        </w:tc>
        <w:tc>
          <w:tcPr>
            <w:tcW w:type="dxa" w:w="1531"/>
          </w:tcPr>
          <w:p>
            <w:pPr>
              <w:jc w:val="center"/>
            </w:pPr>
            <w:r>
              <w:rPr>
                <w:rFonts w:ascii="宋体" w:hAnsi="宋体" w:eastAsia="宋体"/>
                <w:b/>
                <w:sz w:val="17"/>
              </w:rPr>
              <w:t>Macro F1</w:t>
            </w:r>
          </w:p>
        </w:tc>
        <w:tc>
          <w:tcPr>
            <w:tcW w:type="dxa" w:w="1531"/>
          </w:tcPr>
          <w:p>
            <w:pPr>
              <w:jc w:val="center"/>
            </w:pPr>
            <w:r>
              <w:rPr>
                <w:rFonts w:ascii="宋体" w:hAnsi="宋体" w:eastAsia="宋体"/>
                <w:b/>
                <w:sz w:val="17"/>
              </w:rPr>
              <w:t>目标类召回</w:t>
            </w:r>
          </w:p>
        </w:tc>
        <w:tc>
          <w:tcPr>
            <w:tcW w:type="dxa" w:w="1531"/>
          </w:tcPr>
          <w:p>
            <w:pPr>
              <w:jc w:val="center"/>
            </w:pPr>
            <w:r>
              <w:rPr>
                <w:rFonts w:ascii="宋体" w:hAnsi="宋体" w:eastAsia="宋体"/>
                <w:b/>
                <w:sz w:val="17"/>
              </w:rPr>
              <w:t>Brier</w:t>
            </w:r>
          </w:p>
        </w:tc>
        <w:tc>
          <w:tcPr>
            <w:tcW w:type="dxa" w:w="1531"/>
          </w:tcPr>
          <w:p>
            <w:pPr>
              <w:jc w:val="center"/>
            </w:pPr>
            <w:r>
              <w:rPr>
                <w:rFonts w:ascii="宋体" w:hAnsi="宋体" w:eastAsia="宋体"/>
                <w:b/>
                <w:sz w:val="17"/>
              </w:rPr>
              <w:t>ECE</w:t>
            </w:r>
          </w:p>
        </w:tc>
      </w:tr>
      <w:tr>
        <w:tc>
          <w:tcPr>
            <w:tcW w:type="dxa" w:w="1531"/>
          </w:tcPr>
          <w:p>
            <w:pPr>
              <w:jc w:val="center"/>
            </w:pPr>
            <w:r>
              <w:rPr>
                <w:rFonts w:ascii="宋体" w:hAnsi="宋体" w:eastAsia="宋体"/>
                <w:b w:val="0"/>
                <w:sz w:val="17"/>
              </w:rPr>
              <w:t>RSG 完整模型</w:t>
            </w:r>
          </w:p>
        </w:tc>
        <w:tc>
          <w:tcPr>
            <w:tcW w:type="dxa" w:w="1531"/>
          </w:tcPr>
          <w:p>
            <w:pPr>
              <w:jc w:val="center"/>
            </w:pPr>
            <w:r>
              <w:rPr>
                <w:rFonts w:ascii="宋体" w:hAnsi="宋体" w:eastAsia="宋体"/>
                <w:b w:val="0"/>
                <w:sz w:val="17"/>
              </w:rPr>
              <w:t>76.45%</w:t>
            </w:r>
          </w:p>
        </w:tc>
        <w:tc>
          <w:tcPr>
            <w:tcW w:type="dxa" w:w="1531"/>
          </w:tcPr>
          <w:p>
            <w:pPr>
              <w:jc w:val="center"/>
            </w:pPr>
            <w:r>
              <w:rPr>
                <w:rFonts w:ascii="宋体" w:hAnsi="宋体" w:eastAsia="宋体"/>
                <w:b w:val="0"/>
                <w:sz w:val="17"/>
              </w:rPr>
              <w:t>74.76%</w:t>
            </w:r>
          </w:p>
        </w:tc>
        <w:tc>
          <w:tcPr>
            <w:tcW w:type="dxa" w:w="1531"/>
          </w:tcPr>
          <w:p>
            <w:pPr>
              <w:jc w:val="center"/>
            </w:pPr>
            <w:r>
              <w:rPr>
                <w:rFonts w:ascii="宋体" w:hAnsi="宋体" w:eastAsia="宋体"/>
                <w:b w:val="0"/>
                <w:sz w:val="17"/>
              </w:rPr>
              <w:t>72.91%</w:t>
            </w:r>
          </w:p>
        </w:tc>
        <w:tc>
          <w:tcPr>
            <w:tcW w:type="dxa" w:w="1531"/>
          </w:tcPr>
          <w:p>
            <w:pPr>
              <w:jc w:val="center"/>
            </w:pPr>
            <w:r>
              <w:rPr>
                <w:rFonts w:ascii="宋体" w:hAnsi="宋体" w:eastAsia="宋体"/>
                <w:b w:val="0"/>
                <w:sz w:val="17"/>
              </w:rPr>
              <w:t>37.02%</w:t>
            </w:r>
          </w:p>
        </w:tc>
        <w:tc>
          <w:tcPr>
            <w:tcW w:type="dxa" w:w="1531"/>
          </w:tcPr>
          <w:p>
            <w:pPr>
              <w:jc w:val="center"/>
            </w:pPr>
            <w:r>
              <w:rPr>
                <w:rFonts w:ascii="宋体" w:hAnsi="宋体" w:eastAsia="宋体"/>
                <w:b w:val="0"/>
                <w:sz w:val="17"/>
              </w:rPr>
              <w:t>12.90%</w:t>
            </w:r>
          </w:p>
        </w:tc>
      </w:tr>
      <w:tr>
        <w:tc>
          <w:tcPr>
            <w:tcW w:type="dxa" w:w="1531"/>
          </w:tcPr>
          <w:p>
            <w:pPr>
              <w:jc w:val="center"/>
            </w:pPr>
            <w:r>
              <w:rPr>
                <w:rFonts w:ascii="宋体" w:hAnsi="宋体" w:eastAsia="宋体"/>
                <w:b w:val="0"/>
                <w:sz w:val="17"/>
              </w:rPr>
              <w:t>原始 RPG 完整模型</w:t>
            </w:r>
          </w:p>
        </w:tc>
        <w:tc>
          <w:tcPr>
            <w:tcW w:type="dxa" w:w="1531"/>
          </w:tcPr>
          <w:p>
            <w:pPr>
              <w:jc w:val="center"/>
            </w:pPr>
            <w:r>
              <w:rPr>
                <w:rFonts w:ascii="宋体" w:hAnsi="宋体" w:eastAsia="宋体"/>
                <w:b w:val="0"/>
                <w:sz w:val="17"/>
              </w:rPr>
              <w:t>76.32%</w:t>
            </w:r>
          </w:p>
        </w:tc>
        <w:tc>
          <w:tcPr>
            <w:tcW w:type="dxa" w:w="1531"/>
          </w:tcPr>
          <w:p>
            <w:pPr>
              <w:jc w:val="center"/>
            </w:pPr>
            <w:r>
              <w:rPr>
                <w:rFonts w:ascii="宋体" w:hAnsi="宋体" w:eastAsia="宋体"/>
                <w:b w:val="0"/>
                <w:sz w:val="17"/>
              </w:rPr>
              <w:t>74.52%</w:t>
            </w:r>
          </w:p>
        </w:tc>
        <w:tc>
          <w:tcPr>
            <w:tcW w:type="dxa" w:w="1531"/>
          </w:tcPr>
          <w:p>
            <w:pPr>
              <w:jc w:val="center"/>
            </w:pPr>
            <w:r>
              <w:rPr>
                <w:rFonts w:ascii="宋体" w:hAnsi="宋体" w:eastAsia="宋体"/>
                <w:b w:val="0"/>
                <w:sz w:val="17"/>
              </w:rPr>
              <w:t>74.90%</w:t>
            </w:r>
          </w:p>
        </w:tc>
        <w:tc>
          <w:tcPr>
            <w:tcW w:type="dxa" w:w="1531"/>
          </w:tcPr>
          <w:p>
            <w:pPr>
              <w:jc w:val="center"/>
            </w:pPr>
            <w:r>
              <w:rPr>
                <w:rFonts w:ascii="宋体" w:hAnsi="宋体" w:eastAsia="宋体"/>
                <w:b w:val="0"/>
                <w:sz w:val="17"/>
              </w:rPr>
              <w:t>37.43%</w:t>
            </w:r>
          </w:p>
        </w:tc>
        <w:tc>
          <w:tcPr>
            <w:tcW w:type="dxa" w:w="1531"/>
          </w:tcPr>
          <w:p>
            <w:pPr>
              <w:jc w:val="center"/>
            </w:pPr>
            <w:r>
              <w:rPr>
                <w:rFonts w:ascii="宋体" w:hAnsi="宋体" w:eastAsia="宋体"/>
                <w:b w:val="0"/>
                <w:sz w:val="17"/>
              </w:rPr>
              <w:t>12.48%</w:t>
            </w:r>
          </w:p>
        </w:tc>
      </w:tr>
      <w:tr>
        <w:tc>
          <w:tcPr>
            <w:tcW w:type="dxa" w:w="1531"/>
          </w:tcPr>
          <w:p>
            <w:pPr>
              <w:jc w:val="center"/>
            </w:pPr>
            <w:r>
              <w:rPr>
                <w:rFonts w:ascii="宋体" w:hAnsi="宋体" w:eastAsia="宋体"/>
                <w:b w:val="0"/>
                <w:sz w:val="17"/>
              </w:rPr>
              <w:t>M-RPG 完整模型</w:t>
            </w:r>
          </w:p>
        </w:tc>
        <w:tc>
          <w:tcPr>
            <w:tcW w:type="dxa" w:w="1531"/>
          </w:tcPr>
          <w:p>
            <w:pPr>
              <w:jc w:val="center"/>
            </w:pPr>
            <w:r>
              <w:rPr>
                <w:rFonts w:ascii="宋体" w:hAnsi="宋体" w:eastAsia="宋体"/>
                <w:b w:val="0"/>
                <w:sz w:val="17"/>
              </w:rPr>
              <w:t>75.78%</w:t>
            </w:r>
          </w:p>
        </w:tc>
        <w:tc>
          <w:tcPr>
            <w:tcW w:type="dxa" w:w="1531"/>
          </w:tcPr>
          <w:p>
            <w:pPr>
              <w:jc w:val="center"/>
            </w:pPr>
            <w:r>
              <w:rPr>
                <w:rFonts w:ascii="宋体" w:hAnsi="宋体" w:eastAsia="宋体"/>
                <w:b w:val="0"/>
                <w:sz w:val="17"/>
              </w:rPr>
              <w:t>74.34%</w:t>
            </w:r>
          </w:p>
        </w:tc>
        <w:tc>
          <w:tcPr>
            <w:tcW w:type="dxa" w:w="1531"/>
          </w:tcPr>
          <w:p>
            <w:pPr>
              <w:jc w:val="center"/>
            </w:pPr>
            <w:r>
              <w:rPr>
                <w:rFonts w:ascii="宋体" w:hAnsi="宋体" w:eastAsia="宋体"/>
                <w:b w:val="0"/>
                <w:sz w:val="17"/>
              </w:rPr>
              <w:t>75.83%</w:t>
            </w:r>
          </w:p>
        </w:tc>
        <w:tc>
          <w:tcPr>
            <w:tcW w:type="dxa" w:w="1531"/>
          </w:tcPr>
          <w:p>
            <w:pPr>
              <w:jc w:val="center"/>
            </w:pPr>
            <w:r>
              <w:rPr>
                <w:rFonts w:ascii="宋体" w:hAnsi="宋体" w:eastAsia="宋体"/>
                <w:b w:val="0"/>
                <w:sz w:val="17"/>
              </w:rPr>
              <w:t>37.50%</w:t>
            </w:r>
          </w:p>
        </w:tc>
        <w:tc>
          <w:tcPr>
            <w:tcW w:type="dxa" w:w="1531"/>
          </w:tcPr>
          <w:p>
            <w:pPr>
              <w:jc w:val="center"/>
            </w:pPr>
            <w:r>
              <w:rPr>
                <w:rFonts w:ascii="宋体" w:hAnsi="宋体" w:eastAsia="宋体"/>
                <w:b w:val="0"/>
                <w:sz w:val="17"/>
              </w:rPr>
              <w:t>14.07%</w:t>
            </w:r>
          </w:p>
        </w:tc>
      </w:tr>
      <w:tr>
        <w:tc>
          <w:tcPr>
            <w:tcW w:type="dxa" w:w="1531"/>
          </w:tcPr>
          <w:p>
            <w:pPr>
              <w:jc w:val="center"/>
            </w:pPr>
            <w:r>
              <w:rPr>
                <w:rFonts w:ascii="宋体" w:hAnsi="宋体" w:eastAsia="宋体"/>
                <w:b w:val="0"/>
                <w:sz w:val="17"/>
              </w:rPr>
              <w:t>去除单调约束</w:t>
            </w:r>
          </w:p>
        </w:tc>
        <w:tc>
          <w:tcPr>
            <w:tcW w:type="dxa" w:w="1531"/>
          </w:tcPr>
          <w:p>
            <w:pPr>
              <w:jc w:val="center"/>
            </w:pPr>
            <w:r>
              <w:rPr>
                <w:rFonts w:ascii="宋体" w:hAnsi="宋体" w:eastAsia="宋体"/>
                <w:b w:val="0"/>
                <w:sz w:val="17"/>
              </w:rPr>
              <w:t>76.17%</w:t>
            </w:r>
          </w:p>
        </w:tc>
        <w:tc>
          <w:tcPr>
            <w:tcW w:type="dxa" w:w="1531"/>
          </w:tcPr>
          <w:p>
            <w:pPr>
              <w:jc w:val="center"/>
            </w:pPr>
            <w:r>
              <w:rPr>
                <w:rFonts w:ascii="宋体" w:hAnsi="宋体" w:eastAsia="宋体"/>
                <w:b w:val="0"/>
                <w:sz w:val="17"/>
              </w:rPr>
              <w:t>74.50%</w:t>
            </w:r>
          </w:p>
        </w:tc>
        <w:tc>
          <w:tcPr>
            <w:tcW w:type="dxa" w:w="1531"/>
          </w:tcPr>
          <w:p>
            <w:pPr>
              <w:jc w:val="center"/>
            </w:pPr>
            <w:r>
              <w:rPr>
                <w:rFonts w:ascii="宋体" w:hAnsi="宋体" w:eastAsia="宋体"/>
                <w:b w:val="0"/>
                <w:sz w:val="17"/>
              </w:rPr>
              <w:t>75.56%</w:t>
            </w:r>
          </w:p>
        </w:tc>
        <w:tc>
          <w:tcPr>
            <w:tcW w:type="dxa" w:w="1531"/>
          </w:tcPr>
          <w:p>
            <w:pPr>
              <w:jc w:val="center"/>
            </w:pPr>
            <w:r>
              <w:rPr>
                <w:rFonts w:ascii="宋体" w:hAnsi="宋体" w:eastAsia="宋体"/>
                <w:b w:val="0"/>
                <w:sz w:val="17"/>
              </w:rPr>
              <w:t>36.66%</w:t>
            </w:r>
          </w:p>
        </w:tc>
        <w:tc>
          <w:tcPr>
            <w:tcW w:type="dxa" w:w="1531"/>
          </w:tcPr>
          <w:p>
            <w:pPr>
              <w:jc w:val="center"/>
            </w:pPr>
            <w:r>
              <w:rPr>
                <w:rFonts w:ascii="宋体" w:hAnsi="宋体" w:eastAsia="宋体"/>
                <w:b w:val="0"/>
                <w:sz w:val="17"/>
              </w:rPr>
              <w:t>12.45%</w:t>
            </w:r>
          </w:p>
        </w:tc>
      </w:tr>
      <w:tr>
        <w:tc>
          <w:tcPr>
            <w:tcW w:type="dxa" w:w="1531"/>
          </w:tcPr>
          <w:p>
            <w:pPr>
              <w:jc w:val="center"/>
            </w:pPr>
            <w:r>
              <w:rPr>
                <w:rFonts w:ascii="宋体" w:hAnsi="宋体" w:eastAsia="宋体"/>
                <w:b w:val="0"/>
                <w:sz w:val="17"/>
              </w:rPr>
              <w:t>去除角色间不确定性</w:t>
            </w:r>
          </w:p>
        </w:tc>
        <w:tc>
          <w:tcPr>
            <w:tcW w:type="dxa" w:w="1531"/>
          </w:tcPr>
          <w:p>
            <w:pPr>
              <w:jc w:val="center"/>
            </w:pPr>
            <w:r>
              <w:rPr>
                <w:rFonts w:ascii="宋体" w:hAnsi="宋体" w:eastAsia="宋体"/>
                <w:b w:val="0"/>
                <w:sz w:val="17"/>
              </w:rPr>
              <w:t>76.22%</w:t>
            </w:r>
          </w:p>
        </w:tc>
        <w:tc>
          <w:tcPr>
            <w:tcW w:type="dxa" w:w="1531"/>
          </w:tcPr>
          <w:p>
            <w:pPr>
              <w:jc w:val="center"/>
            </w:pPr>
            <w:r>
              <w:rPr>
                <w:rFonts w:ascii="宋体" w:hAnsi="宋体" w:eastAsia="宋体"/>
                <w:b w:val="0"/>
                <w:sz w:val="17"/>
              </w:rPr>
              <w:t>74.40%</w:t>
            </w:r>
          </w:p>
        </w:tc>
        <w:tc>
          <w:tcPr>
            <w:tcW w:type="dxa" w:w="1531"/>
          </w:tcPr>
          <w:p>
            <w:pPr>
              <w:jc w:val="center"/>
            </w:pPr>
            <w:r>
              <w:rPr>
                <w:rFonts w:ascii="宋体" w:hAnsi="宋体" w:eastAsia="宋体"/>
                <w:b w:val="0"/>
                <w:sz w:val="17"/>
              </w:rPr>
              <w:t>76.23%</w:t>
            </w:r>
          </w:p>
        </w:tc>
        <w:tc>
          <w:tcPr>
            <w:tcW w:type="dxa" w:w="1531"/>
          </w:tcPr>
          <w:p>
            <w:pPr>
              <w:jc w:val="center"/>
            </w:pPr>
            <w:r>
              <w:rPr>
                <w:rFonts w:ascii="宋体" w:hAnsi="宋体" w:eastAsia="宋体"/>
                <w:b w:val="0"/>
                <w:sz w:val="17"/>
              </w:rPr>
              <w:t>37.47%</w:t>
            </w:r>
          </w:p>
        </w:tc>
        <w:tc>
          <w:tcPr>
            <w:tcW w:type="dxa" w:w="1531"/>
          </w:tcPr>
          <w:p>
            <w:pPr>
              <w:jc w:val="center"/>
            </w:pPr>
            <w:r>
              <w:rPr>
                <w:rFonts w:ascii="宋体" w:hAnsi="宋体" w:eastAsia="宋体"/>
                <w:b w:val="0"/>
                <w:sz w:val="17"/>
              </w:rPr>
              <w:t>13.07%</w:t>
            </w:r>
          </w:p>
        </w:tc>
      </w:tr>
    </w:tbl>
    <w:p/>
    <w:p>
      <w:pPr>
        <w:spacing w:line="360" w:lineRule="auto"/>
      </w:pPr>
      <w:r>
        <w:rPr>
          <w:rFonts w:ascii="宋体" w:hAnsi="宋体" w:eastAsia="宋体"/>
          <w:sz w:val="21"/>
        </w:rPr>
        <w:t>完整 M-RPG、无单调约束和无角色间不确定性三个配置使用相同数据划分、主干、训练预算、图像增强及三随机种子。原始 RPG 同时保留为容量归一化前的理论对照。</w:t>
      </w:r>
    </w:p>
    <w:p>
      <w:pPr>
        <w:pStyle w:val="21"/>
      </w:pPr>
      <w:r>
        <w:t>F.3 成对统计与结论边界</w:t>
      </w:r>
    </w:p>
    <w:tbl>
      <w:tblPr>
        <w:tblStyle w:val="aff1"/>
        <w:tblW w:type="auto" w:w="0"/>
        <w:tblLook w:firstColumn="1" w:firstRow="1" w:lastColumn="0" w:lastRow="0" w:noHBand="0" w:noVBand="1" w:val="04A0"/>
      </w:tblPr>
      <w:tblGrid>
        <w:gridCol w:w="2296"/>
        <w:gridCol w:w="2296"/>
        <w:gridCol w:w="2296"/>
        <w:gridCol w:w="2296"/>
      </w:tblGrid>
      <w:tr>
        <w:tc>
          <w:tcPr>
            <w:tcW w:type="dxa" w:w="2296"/>
          </w:tcPr>
          <w:p>
            <w:pPr>
              <w:jc w:val="center"/>
            </w:pPr>
            <w:r>
              <w:rPr>
                <w:rFonts w:ascii="宋体" w:hAnsi="宋体" w:eastAsia="宋体"/>
                <w:b/>
                <w:sz w:val="17"/>
              </w:rPr>
              <w:t>相对 RSG</w:t>
            </w:r>
          </w:p>
        </w:tc>
        <w:tc>
          <w:tcPr>
            <w:tcW w:type="dxa" w:w="2296"/>
          </w:tcPr>
          <w:p>
            <w:pPr>
              <w:jc w:val="center"/>
            </w:pPr>
            <w:r>
              <w:rPr>
                <w:rFonts w:ascii="宋体" w:hAnsi="宋体" w:eastAsia="宋体"/>
                <w:b/>
                <w:sz w:val="17"/>
              </w:rPr>
              <w:t>Macro F1 差值 [95% CI]</w:t>
            </w:r>
          </w:p>
        </w:tc>
        <w:tc>
          <w:tcPr>
            <w:tcW w:type="dxa" w:w="2296"/>
          </w:tcPr>
          <w:p>
            <w:pPr>
              <w:jc w:val="center"/>
            </w:pPr>
            <w:r>
              <w:rPr>
                <w:rFonts w:ascii="宋体" w:hAnsi="宋体" w:eastAsia="宋体"/>
                <w:b/>
                <w:sz w:val="17"/>
              </w:rPr>
              <w:t>目标类召回差值 [95% CI]</w:t>
            </w:r>
          </w:p>
        </w:tc>
        <w:tc>
          <w:tcPr>
            <w:tcW w:type="dxa" w:w="2296"/>
          </w:tcPr>
          <w:p>
            <w:pPr>
              <w:jc w:val="center"/>
            </w:pPr>
            <w:r>
              <w:rPr>
                <w:rFonts w:ascii="宋体" w:hAnsi="宋体" w:eastAsia="宋体"/>
                <w:b/>
                <w:sz w:val="17"/>
              </w:rPr>
              <w:t>Brier 差值 [95% CI]</w:t>
            </w:r>
          </w:p>
        </w:tc>
      </w:tr>
      <w:tr>
        <w:tc>
          <w:tcPr>
            <w:tcW w:type="dxa" w:w="2296"/>
          </w:tcPr>
          <w:p>
            <w:pPr>
              <w:jc w:val="center"/>
            </w:pPr>
            <w:r>
              <w:rPr>
                <w:rFonts w:ascii="宋体" w:hAnsi="宋体" w:eastAsia="宋体"/>
                <w:b w:val="0"/>
                <w:sz w:val="17"/>
              </w:rPr>
              <w:t>M-RPG 完整模型</w:t>
            </w:r>
          </w:p>
        </w:tc>
        <w:tc>
          <w:tcPr>
            <w:tcW w:type="dxa" w:w="2296"/>
          </w:tcPr>
          <w:p>
            <w:pPr>
              <w:jc w:val="center"/>
            </w:pPr>
            <w:r>
              <w:rPr>
                <w:rFonts w:ascii="宋体" w:hAnsi="宋体" w:eastAsia="宋体"/>
                <w:b w:val="0"/>
                <w:sz w:val="17"/>
              </w:rPr>
              <w:t>-0.41% [-2.16%, 1.30%]</w:t>
            </w:r>
          </w:p>
        </w:tc>
        <w:tc>
          <w:tcPr>
            <w:tcW w:type="dxa" w:w="2296"/>
          </w:tcPr>
          <w:p>
            <w:pPr>
              <w:jc w:val="center"/>
            </w:pPr>
            <w:r>
              <w:rPr>
                <w:rFonts w:ascii="宋体" w:hAnsi="宋体" w:eastAsia="宋体"/>
                <w:b w:val="0"/>
                <w:sz w:val="17"/>
              </w:rPr>
              <w:t>2.92% [0.13%, 5.84%]</w:t>
            </w:r>
          </w:p>
        </w:tc>
        <w:tc>
          <w:tcPr>
            <w:tcW w:type="dxa" w:w="2296"/>
          </w:tcPr>
          <w:p>
            <w:pPr>
              <w:jc w:val="center"/>
            </w:pPr>
            <w:r>
              <w:rPr>
                <w:rFonts w:ascii="宋体" w:hAnsi="宋体" w:eastAsia="宋体"/>
                <w:b w:val="0"/>
                <w:sz w:val="17"/>
              </w:rPr>
              <w:t>0.48% [-2.13%, 2.79%]</w:t>
            </w:r>
          </w:p>
        </w:tc>
      </w:tr>
      <w:tr>
        <w:tc>
          <w:tcPr>
            <w:tcW w:type="dxa" w:w="2296"/>
          </w:tcPr>
          <w:p>
            <w:pPr>
              <w:jc w:val="center"/>
            </w:pPr>
            <w:r>
              <w:rPr>
                <w:rFonts w:ascii="宋体" w:hAnsi="宋体" w:eastAsia="宋体"/>
                <w:b w:val="0"/>
                <w:sz w:val="17"/>
              </w:rPr>
              <w:t>去除单调约束</w:t>
            </w:r>
          </w:p>
        </w:tc>
        <w:tc>
          <w:tcPr>
            <w:tcW w:type="dxa" w:w="2296"/>
          </w:tcPr>
          <w:p>
            <w:pPr>
              <w:jc w:val="center"/>
            </w:pPr>
            <w:r>
              <w:rPr>
                <w:rFonts w:ascii="宋体" w:hAnsi="宋体" w:eastAsia="宋体"/>
                <w:b w:val="0"/>
                <w:sz w:val="17"/>
              </w:rPr>
              <w:t>-0.25% [-2.24%, 1.51%]</w:t>
            </w:r>
          </w:p>
        </w:tc>
        <w:tc>
          <w:tcPr>
            <w:tcW w:type="dxa" w:w="2296"/>
          </w:tcPr>
          <w:p>
            <w:pPr>
              <w:jc w:val="center"/>
            </w:pPr>
            <w:r>
              <w:rPr>
                <w:rFonts w:ascii="宋体" w:hAnsi="宋体" w:eastAsia="宋体"/>
                <w:b w:val="0"/>
                <w:sz w:val="17"/>
              </w:rPr>
              <w:t>2.66% [-0.53%, 5.84%]</w:t>
            </w:r>
          </w:p>
        </w:tc>
        <w:tc>
          <w:tcPr>
            <w:tcW w:type="dxa" w:w="2296"/>
          </w:tcPr>
          <w:p>
            <w:pPr>
              <w:jc w:val="center"/>
            </w:pPr>
            <w:r>
              <w:rPr>
                <w:rFonts w:ascii="宋体" w:hAnsi="宋体" w:eastAsia="宋体"/>
                <w:b w:val="0"/>
                <w:sz w:val="17"/>
              </w:rPr>
              <w:t>-0.36% [-2.29%, 1.53%]</w:t>
            </w:r>
          </w:p>
        </w:tc>
      </w:tr>
      <w:tr>
        <w:tc>
          <w:tcPr>
            <w:tcW w:type="dxa" w:w="2296"/>
          </w:tcPr>
          <w:p>
            <w:pPr>
              <w:jc w:val="center"/>
            </w:pPr>
            <w:r>
              <w:rPr>
                <w:rFonts w:ascii="宋体" w:hAnsi="宋体" w:eastAsia="宋体"/>
                <w:b w:val="0"/>
                <w:sz w:val="17"/>
              </w:rPr>
              <w:t>去除角色间不确定性</w:t>
            </w:r>
          </w:p>
        </w:tc>
        <w:tc>
          <w:tcPr>
            <w:tcW w:type="dxa" w:w="2296"/>
          </w:tcPr>
          <w:p>
            <w:pPr>
              <w:jc w:val="center"/>
            </w:pPr>
            <w:r>
              <w:rPr>
                <w:rFonts w:ascii="宋体" w:hAnsi="宋体" w:eastAsia="宋体"/>
                <w:b w:val="0"/>
                <w:sz w:val="17"/>
              </w:rPr>
              <w:t>-0.36% [-2.14%, 1.62%]</w:t>
            </w:r>
          </w:p>
        </w:tc>
        <w:tc>
          <w:tcPr>
            <w:tcW w:type="dxa" w:w="2296"/>
          </w:tcPr>
          <w:p>
            <w:pPr>
              <w:jc w:val="center"/>
            </w:pPr>
            <w:r>
              <w:rPr>
                <w:rFonts w:ascii="宋体" w:hAnsi="宋体" w:eastAsia="宋体"/>
                <w:b w:val="0"/>
                <w:sz w:val="17"/>
              </w:rPr>
              <w:t>3.32% [-1.46%, 7.97%]</w:t>
            </w:r>
          </w:p>
        </w:tc>
        <w:tc>
          <w:tcPr>
            <w:tcW w:type="dxa" w:w="2296"/>
          </w:tcPr>
          <w:p>
            <w:pPr>
              <w:jc w:val="center"/>
            </w:pPr>
            <w:r>
              <w:rPr>
                <w:rFonts w:ascii="宋体" w:hAnsi="宋体" w:eastAsia="宋体"/>
                <w:b w:val="0"/>
                <w:sz w:val="17"/>
              </w:rPr>
              <w:t>0.46% [-1.46%, 2.27%]</w:t>
            </w:r>
          </w:p>
        </w:tc>
      </w:tr>
    </w:tbl>
    <w:p/>
    <w:p>
      <w:pPr>
        <w:spacing w:line="360" w:lineRule="auto"/>
      </w:pPr>
      <w:r>
        <w:rPr>
          <w:rFonts w:ascii="宋体" w:hAnsi="宋体" w:eastAsia="宋体"/>
          <w:sz w:val="21"/>
        </w:rPr>
        <w:t>相对完整 M-RPG 的直接消融：差值定义为消融配置减去完整 M-RPG。</w:t>
      </w:r>
    </w:p>
    <w:tbl>
      <w:tblPr>
        <w:tblStyle w:val="aff1"/>
        <w:tblW w:type="auto" w:w="0"/>
        <w:tblLook w:firstColumn="1" w:firstRow="1" w:lastColumn="0" w:lastRow="0" w:noHBand="0" w:noVBand="1" w:val="04A0"/>
      </w:tblPr>
      <w:tblGrid>
        <w:gridCol w:w="2296"/>
        <w:gridCol w:w="2296"/>
        <w:gridCol w:w="2296"/>
        <w:gridCol w:w="2296"/>
      </w:tblGrid>
      <w:tr>
        <w:tc>
          <w:tcPr>
            <w:tcW w:type="dxa" w:w="2296"/>
          </w:tcPr>
          <w:p>
            <w:pPr>
              <w:jc w:val="center"/>
            </w:pPr>
            <w:r>
              <w:rPr>
                <w:rFonts w:ascii="宋体" w:hAnsi="宋体" w:eastAsia="宋体"/>
                <w:b/>
                <w:sz w:val="17"/>
              </w:rPr>
              <w:t>消融配置</w:t>
            </w:r>
          </w:p>
        </w:tc>
        <w:tc>
          <w:tcPr>
            <w:tcW w:type="dxa" w:w="2296"/>
          </w:tcPr>
          <w:p>
            <w:pPr>
              <w:jc w:val="center"/>
            </w:pPr>
            <w:r>
              <w:rPr>
                <w:rFonts w:ascii="宋体" w:hAnsi="宋体" w:eastAsia="宋体"/>
                <w:b/>
                <w:sz w:val="17"/>
              </w:rPr>
              <w:t>Macro F1 差值 [95% CI]</w:t>
            </w:r>
          </w:p>
        </w:tc>
        <w:tc>
          <w:tcPr>
            <w:tcW w:type="dxa" w:w="2296"/>
          </w:tcPr>
          <w:p>
            <w:pPr>
              <w:jc w:val="center"/>
            </w:pPr>
            <w:r>
              <w:rPr>
                <w:rFonts w:ascii="宋体" w:hAnsi="宋体" w:eastAsia="宋体"/>
                <w:b/>
                <w:sz w:val="17"/>
              </w:rPr>
              <w:t>目标类召回差值 [95% CI]</w:t>
            </w:r>
          </w:p>
        </w:tc>
        <w:tc>
          <w:tcPr>
            <w:tcW w:type="dxa" w:w="2296"/>
          </w:tcPr>
          <w:p>
            <w:pPr>
              <w:jc w:val="center"/>
            </w:pPr>
            <w:r>
              <w:rPr>
                <w:rFonts w:ascii="宋体" w:hAnsi="宋体" w:eastAsia="宋体"/>
                <w:b/>
                <w:sz w:val="17"/>
              </w:rPr>
              <w:t>Brier 差值 [95% CI]</w:t>
            </w:r>
          </w:p>
        </w:tc>
      </w:tr>
      <w:tr>
        <w:tc>
          <w:tcPr>
            <w:tcW w:type="dxa" w:w="2296"/>
          </w:tcPr>
          <w:p>
            <w:pPr>
              <w:jc w:val="center"/>
            </w:pPr>
            <w:r>
              <w:rPr>
                <w:rFonts w:ascii="宋体" w:hAnsi="宋体" w:eastAsia="宋体"/>
                <w:b w:val="0"/>
                <w:sz w:val="17"/>
              </w:rPr>
              <w:t>去除单调约束</w:t>
            </w:r>
          </w:p>
        </w:tc>
        <w:tc>
          <w:tcPr>
            <w:tcW w:type="dxa" w:w="2296"/>
          </w:tcPr>
          <w:p>
            <w:pPr>
              <w:jc w:val="center"/>
            </w:pPr>
            <w:r>
              <w:rPr>
                <w:rFonts w:ascii="宋体" w:hAnsi="宋体" w:eastAsia="宋体"/>
                <w:b w:val="0"/>
                <w:sz w:val="17"/>
              </w:rPr>
              <w:t>0.16% [-1.64%, 2.17%]</w:t>
            </w:r>
          </w:p>
        </w:tc>
        <w:tc>
          <w:tcPr>
            <w:tcW w:type="dxa" w:w="2296"/>
          </w:tcPr>
          <w:p>
            <w:pPr>
              <w:jc w:val="center"/>
            </w:pPr>
            <w:r>
              <w:rPr>
                <w:rFonts w:ascii="宋体" w:hAnsi="宋体" w:eastAsia="宋体"/>
                <w:b w:val="0"/>
                <w:sz w:val="17"/>
              </w:rPr>
              <w:t>-0.27% [-2.92%, 2.52%]</w:t>
            </w:r>
          </w:p>
        </w:tc>
        <w:tc>
          <w:tcPr>
            <w:tcW w:type="dxa" w:w="2296"/>
          </w:tcPr>
          <w:p>
            <w:pPr>
              <w:jc w:val="center"/>
            </w:pPr>
            <w:r>
              <w:rPr>
                <w:rFonts w:ascii="宋体" w:hAnsi="宋体" w:eastAsia="宋体"/>
                <w:b w:val="0"/>
                <w:sz w:val="17"/>
              </w:rPr>
              <w:t>-0.84% [-2.39%, 0.56%]</w:t>
            </w:r>
          </w:p>
        </w:tc>
      </w:tr>
      <w:tr>
        <w:tc>
          <w:tcPr>
            <w:tcW w:type="dxa" w:w="2296"/>
          </w:tcPr>
          <w:p>
            <w:pPr>
              <w:jc w:val="center"/>
            </w:pPr>
            <w:r>
              <w:rPr>
                <w:rFonts w:ascii="宋体" w:hAnsi="宋体" w:eastAsia="宋体"/>
                <w:b w:val="0"/>
                <w:sz w:val="17"/>
              </w:rPr>
              <w:t>去除角色间不确定性</w:t>
            </w:r>
          </w:p>
        </w:tc>
        <w:tc>
          <w:tcPr>
            <w:tcW w:type="dxa" w:w="2296"/>
          </w:tcPr>
          <w:p>
            <w:pPr>
              <w:jc w:val="center"/>
            </w:pPr>
            <w:r>
              <w:rPr>
                <w:rFonts w:ascii="宋体" w:hAnsi="宋体" w:eastAsia="宋体"/>
                <w:b w:val="0"/>
                <w:sz w:val="17"/>
              </w:rPr>
              <w:t>0.05% [-1.29%, 1.24%]</w:t>
            </w:r>
          </w:p>
        </w:tc>
        <w:tc>
          <w:tcPr>
            <w:tcW w:type="dxa" w:w="2296"/>
          </w:tcPr>
          <w:p>
            <w:pPr>
              <w:jc w:val="center"/>
            </w:pPr>
            <w:r>
              <w:rPr>
                <w:rFonts w:ascii="宋体" w:hAnsi="宋体" w:eastAsia="宋体"/>
                <w:b w:val="0"/>
                <w:sz w:val="17"/>
              </w:rPr>
              <w:t>0.40% [-3.45%, 5.18%]</w:t>
            </w:r>
          </w:p>
        </w:tc>
        <w:tc>
          <w:tcPr>
            <w:tcW w:type="dxa" w:w="2296"/>
          </w:tcPr>
          <w:p>
            <w:pPr>
              <w:jc w:val="center"/>
            </w:pPr>
            <w:r>
              <w:rPr>
                <w:rFonts w:ascii="宋体" w:hAnsi="宋体" w:eastAsia="宋体"/>
                <w:b w:val="0"/>
                <w:sz w:val="17"/>
              </w:rPr>
              <w:t>-0.02% [-1.48%, 1.53%]</w:t>
            </w:r>
          </w:p>
        </w:tc>
      </w:tr>
    </w:tbl>
    <w:p/>
    <w:p>
      <w:pPr>
        <w:spacing w:line="360" w:lineRule="auto"/>
      </w:pPr>
      <w:r>
        <w:rPr>
          <w:rFonts w:ascii="宋体" w:hAnsi="宋体" w:eastAsia="宋体"/>
          <w:sz w:val="21"/>
        </w:rPr>
        <w:t>每个区间以图片 split_group_id 聚类、随机种子与组两阶段重采样的 2,000 次 Bootstrap 得到。理论命题 M-R1 至 M-R4 不依赖实验；经验结论只以受控三随机种子均值与成对区间为准。若完整模型与直接消融的关键区间跨零，则不能将目标类表现差异归因于单调项或角色间不确定性项。若任何关键区间跨零，则仅报告未观察到稳定经验增益，不能以单种子、单指标或理论性质替代经验性能结论。</w:t>
      </w:r>
    </w:p>
    <w:p>
      <w:pPr>
        <w:spacing w:line="360" w:lineRule="auto"/>
      </w:pPr>
      <w:r>
        <w:rPr>
          <w:rFonts w:ascii="宋体" w:hAnsi="宋体" w:eastAsia="宋体"/>
          <w:sz w:val="21"/>
        </w:rPr>
        <w:t>结论边界：M-RPG-HRGV 只验证公开矿物标本图像上的四角色闭集识别、概率融合和门控性质；不等同于工业分选、精矿品位预测、回收率提升、元素含量检测、真实工况泛化或未知矿物拒识性能。阶段条件化选矿决策图和送检代价决策仍作为后续研究方向。</w:t>
      </w:r>
    </w:p>
    <w:p>
      <w:pPr>
        <w:pStyle w:val="1"/>
      </w:pPr>
      <w:r>
        <w:t>附录 G M-RPG-HRGV 五随机种子扩展验证</w:t>
      </w:r>
    </w:p>
    <w:p>
      <w:pPr>
        <w:pStyle w:val="21"/>
      </w:pPr>
      <w:r>
        <w:t>G.1 预注册的两随机种子扩展</w:t>
      </w:r>
    </w:p>
    <w:p>
      <w:pPr>
        <w:spacing w:line="360" w:lineRule="auto"/>
      </w:pPr>
      <w:r>
        <w:rPr>
          <w:rFonts w:ascii="宋体" w:hAnsi="宋体" w:eastAsia="宋体"/>
          <w:sz w:val="21"/>
        </w:rPr>
        <w:t>为检验三随机种子观察到的目标类召回趋势是否稳健，在不改变固定数据划分、ImageNet 预训练 EfficientNet-B0 主干、RSG 残差验证器、优化器、图像增强、训练预算和 M-RPG 公式的前提下，预先登记新增随机种子 20260730 与 20260731。该附录将新增两次训练与原三次正式训练合并为五随机种子比较；它是扩展验证，不替代附录 F 的直接组件消融。</w:t>
      </w:r>
    </w:p>
    <w:tbl>
      <w:tblPr>
        <w:tblStyle w:val="aff1"/>
        <w:tblW w:type="auto" w:w="0"/>
        <w:tblLook w:firstColumn="1" w:firstRow="1" w:lastColumn="0" w:lastRow="0" w:noHBand="0" w:noVBand="1" w:val="04A0"/>
      </w:tblPr>
      <w:tblGrid>
        <w:gridCol w:w="1312"/>
        <w:gridCol w:w="1312"/>
        <w:gridCol w:w="1312"/>
        <w:gridCol w:w="1312"/>
        <w:gridCol w:w="1312"/>
        <w:gridCol w:w="1312"/>
        <w:gridCol w:w="1312"/>
      </w:tblGrid>
      <w:tr>
        <w:tc>
          <w:tcPr>
            <w:tcW w:type="dxa" w:w="1312"/>
          </w:tcPr>
          <w:p>
            <w:pPr>
              <w:jc w:val="center"/>
            </w:pPr>
            <w:r>
              <w:rPr>
                <w:rFonts w:ascii="宋体" w:hAnsi="宋体" w:eastAsia="宋体"/>
                <w:b/>
                <w:sz w:val="17"/>
              </w:rPr>
              <w:t>配置</w:t>
            </w:r>
          </w:p>
        </w:tc>
        <w:tc>
          <w:tcPr>
            <w:tcW w:type="dxa" w:w="1312"/>
          </w:tcPr>
          <w:p>
            <w:pPr>
              <w:jc w:val="center"/>
            </w:pPr>
            <w:r>
              <w:rPr>
                <w:rFonts w:ascii="宋体" w:hAnsi="宋体" w:eastAsia="宋体"/>
                <w:b/>
                <w:sz w:val="17"/>
              </w:rPr>
              <w:t>Macro F1</w:t>
            </w:r>
          </w:p>
        </w:tc>
        <w:tc>
          <w:tcPr>
            <w:tcW w:type="dxa" w:w="1312"/>
          </w:tcPr>
          <w:p>
            <w:pPr>
              <w:jc w:val="center"/>
            </w:pPr>
            <w:r>
              <w:rPr>
                <w:rFonts w:ascii="宋体" w:hAnsi="宋体" w:eastAsia="宋体"/>
                <w:b/>
                <w:sz w:val="17"/>
              </w:rPr>
              <w:t>目标类召回</w:t>
            </w:r>
          </w:p>
        </w:tc>
        <w:tc>
          <w:tcPr>
            <w:tcW w:type="dxa" w:w="1312"/>
          </w:tcPr>
          <w:p>
            <w:pPr>
              <w:jc w:val="center"/>
            </w:pPr>
            <w:r>
              <w:rPr>
                <w:rFonts w:ascii="宋体" w:hAnsi="宋体" w:eastAsia="宋体"/>
                <w:b/>
                <w:sz w:val="17"/>
              </w:rPr>
              <w:t>含钛类误入目标</w:t>
            </w:r>
          </w:p>
        </w:tc>
        <w:tc>
          <w:tcPr>
            <w:tcW w:type="dxa" w:w="1312"/>
          </w:tcPr>
          <w:p>
            <w:pPr>
              <w:jc w:val="center"/>
            </w:pPr>
            <w:r>
              <w:rPr>
                <w:rFonts w:ascii="宋体" w:hAnsi="宋体" w:eastAsia="宋体"/>
                <w:b/>
                <w:sz w:val="17"/>
              </w:rPr>
              <w:t>金属光泽类误入目标</w:t>
            </w:r>
          </w:p>
        </w:tc>
        <w:tc>
          <w:tcPr>
            <w:tcW w:type="dxa" w:w="1312"/>
          </w:tcPr>
          <w:p>
            <w:pPr>
              <w:jc w:val="center"/>
            </w:pPr>
            <w:r>
              <w:rPr>
                <w:rFonts w:ascii="宋体" w:hAnsi="宋体" w:eastAsia="宋体"/>
                <w:b/>
                <w:sz w:val="17"/>
              </w:rPr>
              <w:t>Brier</w:t>
            </w:r>
          </w:p>
        </w:tc>
        <w:tc>
          <w:tcPr>
            <w:tcW w:type="dxa" w:w="1312"/>
          </w:tcPr>
          <w:p>
            <w:pPr>
              <w:jc w:val="center"/>
            </w:pPr>
            <w:r>
              <w:rPr>
                <w:rFonts w:ascii="宋体" w:hAnsi="宋体" w:eastAsia="宋体"/>
                <w:b/>
                <w:sz w:val="17"/>
              </w:rPr>
              <w:t>ECE</w:t>
            </w:r>
          </w:p>
        </w:tc>
      </w:tr>
      <w:tr>
        <w:tc>
          <w:tcPr>
            <w:tcW w:type="dxa" w:w="1312"/>
          </w:tcPr>
          <w:p>
            <w:pPr>
              <w:jc w:val="center"/>
            </w:pPr>
            <w:r>
              <w:rPr>
                <w:rFonts w:ascii="宋体" w:hAnsi="宋体" w:eastAsia="宋体"/>
                <w:b w:val="0"/>
                <w:sz w:val="17"/>
              </w:rPr>
              <w:t>RSG 完整模型</w:t>
            </w:r>
          </w:p>
        </w:tc>
        <w:tc>
          <w:tcPr>
            <w:tcW w:type="dxa" w:w="1312"/>
          </w:tcPr>
          <w:p>
            <w:pPr>
              <w:jc w:val="center"/>
            </w:pPr>
            <w:r>
              <w:rPr>
                <w:rFonts w:ascii="宋体" w:hAnsi="宋体" w:eastAsia="宋体"/>
                <w:b w:val="0"/>
                <w:sz w:val="17"/>
              </w:rPr>
              <w:t>74.01%</w:t>
            </w:r>
          </w:p>
        </w:tc>
        <w:tc>
          <w:tcPr>
            <w:tcW w:type="dxa" w:w="1312"/>
          </w:tcPr>
          <w:p>
            <w:pPr>
              <w:jc w:val="center"/>
            </w:pPr>
            <w:r>
              <w:rPr>
                <w:rFonts w:ascii="宋体" w:hAnsi="宋体" w:eastAsia="宋体"/>
                <w:b w:val="0"/>
                <w:sz w:val="17"/>
              </w:rPr>
              <w:t>72.35%</w:t>
            </w:r>
          </w:p>
        </w:tc>
        <w:tc>
          <w:tcPr>
            <w:tcW w:type="dxa" w:w="1312"/>
          </w:tcPr>
          <w:p>
            <w:pPr>
              <w:jc w:val="center"/>
            </w:pPr>
            <w:r>
              <w:rPr>
                <w:rFonts w:ascii="宋体" w:hAnsi="宋体" w:eastAsia="宋体"/>
                <w:b w:val="0"/>
                <w:sz w:val="17"/>
              </w:rPr>
              <w:t>9.04%</w:t>
            </w:r>
          </w:p>
        </w:tc>
        <w:tc>
          <w:tcPr>
            <w:tcW w:type="dxa" w:w="1312"/>
          </w:tcPr>
          <w:p>
            <w:pPr>
              <w:jc w:val="center"/>
            </w:pPr>
            <w:r>
              <w:rPr>
                <w:rFonts w:ascii="宋体" w:hAnsi="宋体" w:eastAsia="宋体"/>
                <w:b w:val="0"/>
                <w:sz w:val="17"/>
              </w:rPr>
              <w:t>11.82%</w:t>
            </w:r>
          </w:p>
        </w:tc>
        <w:tc>
          <w:tcPr>
            <w:tcW w:type="dxa" w:w="1312"/>
          </w:tcPr>
          <w:p>
            <w:pPr>
              <w:jc w:val="center"/>
            </w:pPr>
            <w:r>
              <w:rPr>
                <w:rFonts w:ascii="宋体" w:hAnsi="宋体" w:eastAsia="宋体"/>
                <w:b w:val="0"/>
                <w:sz w:val="17"/>
              </w:rPr>
              <w:t>37.65%</w:t>
            </w:r>
          </w:p>
        </w:tc>
        <w:tc>
          <w:tcPr>
            <w:tcW w:type="dxa" w:w="1312"/>
          </w:tcPr>
          <w:p>
            <w:pPr>
              <w:jc w:val="center"/>
            </w:pPr>
            <w:r>
              <w:rPr>
                <w:rFonts w:ascii="宋体" w:hAnsi="宋体" w:eastAsia="宋体"/>
                <w:b w:val="0"/>
                <w:sz w:val="17"/>
              </w:rPr>
              <w:t>13.54%</w:t>
            </w:r>
          </w:p>
        </w:tc>
      </w:tr>
      <w:tr>
        <w:tc>
          <w:tcPr>
            <w:tcW w:type="dxa" w:w="1312"/>
          </w:tcPr>
          <w:p>
            <w:pPr>
              <w:jc w:val="center"/>
            </w:pPr>
            <w:r>
              <w:rPr>
                <w:rFonts w:ascii="宋体" w:hAnsi="宋体" w:eastAsia="宋体"/>
                <w:b w:val="0"/>
                <w:sz w:val="17"/>
              </w:rPr>
              <w:t>M-RPG 完整模型</w:t>
            </w:r>
          </w:p>
        </w:tc>
        <w:tc>
          <w:tcPr>
            <w:tcW w:type="dxa" w:w="1312"/>
          </w:tcPr>
          <w:p>
            <w:pPr>
              <w:jc w:val="center"/>
            </w:pPr>
            <w:r>
              <w:rPr>
                <w:rFonts w:ascii="宋体" w:hAnsi="宋体" w:eastAsia="宋体"/>
                <w:b w:val="0"/>
                <w:sz w:val="17"/>
              </w:rPr>
              <w:t>74.03%</w:t>
            </w:r>
          </w:p>
        </w:tc>
        <w:tc>
          <w:tcPr>
            <w:tcW w:type="dxa" w:w="1312"/>
          </w:tcPr>
          <w:p>
            <w:pPr>
              <w:jc w:val="center"/>
            </w:pPr>
            <w:r>
              <w:rPr>
                <w:rFonts w:ascii="宋体" w:hAnsi="宋体" w:eastAsia="宋体"/>
                <w:b w:val="0"/>
                <w:sz w:val="17"/>
              </w:rPr>
              <w:t>73.47%</w:t>
            </w:r>
          </w:p>
        </w:tc>
        <w:tc>
          <w:tcPr>
            <w:tcW w:type="dxa" w:w="1312"/>
          </w:tcPr>
          <w:p>
            <w:pPr>
              <w:jc w:val="center"/>
            </w:pPr>
            <w:r>
              <w:rPr>
                <w:rFonts w:ascii="宋体" w:hAnsi="宋体" w:eastAsia="宋体"/>
                <w:b w:val="0"/>
                <w:sz w:val="17"/>
              </w:rPr>
              <w:t>9.45%</w:t>
            </w:r>
          </w:p>
        </w:tc>
        <w:tc>
          <w:tcPr>
            <w:tcW w:type="dxa" w:w="1312"/>
          </w:tcPr>
          <w:p>
            <w:pPr>
              <w:jc w:val="center"/>
            </w:pPr>
            <w:r>
              <w:rPr>
                <w:rFonts w:ascii="宋体" w:hAnsi="宋体" w:eastAsia="宋体"/>
                <w:b w:val="0"/>
                <w:sz w:val="17"/>
              </w:rPr>
              <w:t>10.34%</w:t>
            </w:r>
          </w:p>
        </w:tc>
        <w:tc>
          <w:tcPr>
            <w:tcW w:type="dxa" w:w="1312"/>
          </w:tcPr>
          <w:p>
            <w:pPr>
              <w:jc w:val="center"/>
            </w:pPr>
            <w:r>
              <w:rPr>
                <w:rFonts w:ascii="宋体" w:hAnsi="宋体" w:eastAsia="宋体"/>
                <w:b w:val="0"/>
                <w:sz w:val="17"/>
              </w:rPr>
              <w:t>37.69%</w:t>
            </w:r>
          </w:p>
        </w:tc>
        <w:tc>
          <w:tcPr>
            <w:tcW w:type="dxa" w:w="1312"/>
          </w:tcPr>
          <w:p>
            <w:pPr>
              <w:jc w:val="center"/>
            </w:pPr>
            <w:r>
              <w:rPr>
                <w:rFonts w:ascii="宋体" w:hAnsi="宋体" w:eastAsia="宋体"/>
                <w:b w:val="0"/>
                <w:sz w:val="17"/>
              </w:rPr>
              <w:t>13.46%</w:t>
            </w:r>
          </w:p>
        </w:tc>
      </w:tr>
    </w:tbl>
    <w:p/>
    <w:p>
      <w:pPr>
        <w:pStyle w:val="21"/>
      </w:pPr>
      <w:r>
        <w:t>G.2 成对区间与证据边界</w:t>
      </w:r>
    </w:p>
    <w:tbl>
      <w:tblPr>
        <w:tblStyle w:val="aff1"/>
        <w:tblW w:type="auto" w:w="0"/>
        <w:tblLook w:firstColumn="1" w:firstRow="1" w:lastColumn="0" w:lastRow="0" w:noHBand="0" w:noVBand="1" w:val="04A0"/>
      </w:tblPr>
      <w:tblGrid>
        <w:gridCol w:w="4592"/>
        <w:gridCol w:w="4592"/>
      </w:tblGrid>
      <w:tr>
        <w:tc>
          <w:tcPr>
            <w:tcW w:type="dxa" w:w="4592"/>
          </w:tcPr>
          <w:p>
            <w:pPr>
              <w:jc w:val="center"/>
            </w:pPr>
            <w:r>
              <w:rPr>
                <w:rFonts w:ascii="宋体" w:hAnsi="宋体" w:eastAsia="宋体"/>
                <w:b/>
                <w:sz w:val="17"/>
              </w:rPr>
              <w:t>M-RPG 减 RSG</w:t>
            </w:r>
          </w:p>
        </w:tc>
        <w:tc>
          <w:tcPr>
            <w:tcW w:type="dxa" w:w="4592"/>
          </w:tcPr>
          <w:p>
            <w:pPr>
              <w:jc w:val="center"/>
            </w:pPr>
            <w:r>
              <w:rPr>
                <w:rFonts w:ascii="宋体" w:hAnsi="宋体" w:eastAsia="宋体"/>
                <w:b/>
                <w:sz w:val="17"/>
              </w:rPr>
              <w:t>差值 [95% CI]</w:t>
            </w:r>
          </w:p>
        </w:tc>
      </w:tr>
      <w:tr>
        <w:tc>
          <w:tcPr>
            <w:tcW w:type="dxa" w:w="4592"/>
          </w:tcPr>
          <w:p>
            <w:pPr>
              <w:jc w:val="center"/>
            </w:pPr>
            <w:r>
              <w:rPr>
                <w:rFonts w:ascii="宋体" w:hAnsi="宋体" w:eastAsia="宋体"/>
                <w:b w:val="0"/>
                <w:sz w:val="17"/>
              </w:rPr>
              <w:t>Macro F1</w:t>
            </w:r>
          </w:p>
        </w:tc>
        <w:tc>
          <w:tcPr>
            <w:tcW w:type="dxa" w:w="4592"/>
          </w:tcPr>
          <w:p>
            <w:pPr>
              <w:jc w:val="center"/>
            </w:pPr>
            <w:r>
              <w:rPr>
                <w:rFonts w:ascii="宋体" w:hAnsi="宋体" w:eastAsia="宋体"/>
                <w:b w:val="0"/>
                <w:sz w:val="17"/>
              </w:rPr>
              <w:t>0.02% [-1.44%, 1.49%]</w:t>
            </w:r>
          </w:p>
        </w:tc>
      </w:tr>
      <w:tr>
        <w:tc>
          <w:tcPr>
            <w:tcW w:type="dxa" w:w="4592"/>
          </w:tcPr>
          <w:p>
            <w:pPr>
              <w:jc w:val="center"/>
            </w:pPr>
            <w:r>
              <w:rPr>
                <w:rFonts w:ascii="宋体" w:hAnsi="宋体" w:eastAsia="宋体"/>
                <w:b w:val="0"/>
                <w:sz w:val="17"/>
              </w:rPr>
              <w:t>目标类召回</w:t>
            </w:r>
          </w:p>
        </w:tc>
        <w:tc>
          <w:tcPr>
            <w:tcW w:type="dxa" w:w="4592"/>
          </w:tcPr>
          <w:p>
            <w:pPr>
              <w:jc w:val="center"/>
            </w:pPr>
            <w:r>
              <w:rPr>
                <w:rFonts w:ascii="宋体" w:hAnsi="宋体" w:eastAsia="宋体"/>
                <w:b w:val="0"/>
                <w:sz w:val="17"/>
              </w:rPr>
              <w:t>1.12% [-1.83%, 3.90%]</w:t>
            </w:r>
          </w:p>
        </w:tc>
      </w:tr>
      <w:tr>
        <w:tc>
          <w:tcPr>
            <w:tcW w:type="dxa" w:w="4592"/>
          </w:tcPr>
          <w:p>
            <w:pPr>
              <w:jc w:val="center"/>
            </w:pPr>
            <w:r>
              <w:rPr>
                <w:rFonts w:ascii="宋体" w:hAnsi="宋体" w:eastAsia="宋体"/>
                <w:b w:val="0"/>
                <w:sz w:val="17"/>
              </w:rPr>
              <w:t>含钛类误入目标</w:t>
            </w:r>
          </w:p>
        </w:tc>
        <w:tc>
          <w:tcPr>
            <w:tcW w:type="dxa" w:w="4592"/>
          </w:tcPr>
          <w:p>
            <w:pPr>
              <w:jc w:val="center"/>
            </w:pPr>
            <w:r>
              <w:rPr>
                <w:rFonts w:ascii="宋体" w:hAnsi="宋体" w:eastAsia="宋体"/>
                <w:b w:val="0"/>
                <w:sz w:val="17"/>
              </w:rPr>
              <w:t>0.41% [-1.79%, 2.81%]</w:t>
            </w:r>
          </w:p>
        </w:tc>
      </w:tr>
      <w:tr>
        <w:tc>
          <w:tcPr>
            <w:tcW w:type="dxa" w:w="4592"/>
          </w:tcPr>
          <w:p>
            <w:pPr>
              <w:jc w:val="center"/>
            </w:pPr>
            <w:r>
              <w:rPr>
                <w:rFonts w:ascii="宋体" w:hAnsi="宋体" w:eastAsia="宋体"/>
                <w:b w:val="0"/>
                <w:sz w:val="17"/>
              </w:rPr>
              <w:t>金属光泽类误入目标</w:t>
            </w:r>
          </w:p>
        </w:tc>
        <w:tc>
          <w:tcPr>
            <w:tcW w:type="dxa" w:w="4592"/>
          </w:tcPr>
          <w:p>
            <w:pPr>
              <w:jc w:val="center"/>
            </w:pPr>
            <w:r>
              <w:rPr>
                <w:rFonts w:ascii="宋体" w:hAnsi="宋体" w:eastAsia="宋体"/>
                <w:b w:val="0"/>
                <w:sz w:val="17"/>
              </w:rPr>
              <w:t>-1.48% [-5.34%, 2.16%]</w:t>
            </w:r>
          </w:p>
        </w:tc>
      </w:tr>
      <w:tr>
        <w:tc>
          <w:tcPr>
            <w:tcW w:type="dxa" w:w="4592"/>
          </w:tcPr>
          <w:p>
            <w:pPr>
              <w:jc w:val="center"/>
            </w:pPr>
            <w:r>
              <w:rPr>
                <w:rFonts w:ascii="宋体" w:hAnsi="宋体" w:eastAsia="宋体"/>
                <w:b w:val="0"/>
                <w:sz w:val="17"/>
              </w:rPr>
              <w:t>Brier</w:t>
            </w:r>
          </w:p>
        </w:tc>
        <w:tc>
          <w:tcPr>
            <w:tcW w:type="dxa" w:w="4592"/>
          </w:tcPr>
          <w:p>
            <w:pPr>
              <w:jc w:val="center"/>
            </w:pPr>
            <w:r>
              <w:rPr>
                <w:rFonts w:ascii="宋体" w:hAnsi="宋体" w:eastAsia="宋体"/>
                <w:b w:val="0"/>
                <w:sz w:val="17"/>
              </w:rPr>
              <w:t>0.04% [-1.94%, 1.94%]</w:t>
            </w:r>
          </w:p>
        </w:tc>
      </w:tr>
      <w:tr>
        <w:tc>
          <w:tcPr>
            <w:tcW w:type="dxa" w:w="4592"/>
          </w:tcPr>
          <w:p>
            <w:pPr>
              <w:jc w:val="center"/>
            </w:pPr>
            <w:r>
              <w:rPr>
                <w:rFonts w:ascii="宋体" w:hAnsi="宋体" w:eastAsia="宋体"/>
                <w:b w:val="0"/>
                <w:sz w:val="17"/>
              </w:rPr>
              <w:t>ECE</w:t>
            </w:r>
          </w:p>
        </w:tc>
        <w:tc>
          <w:tcPr>
            <w:tcW w:type="dxa" w:w="4592"/>
          </w:tcPr>
          <w:p>
            <w:pPr>
              <w:jc w:val="center"/>
            </w:pPr>
            <w:r>
              <w:rPr>
                <w:rFonts w:ascii="宋体" w:hAnsi="宋体" w:eastAsia="宋体"/>
                <w:b w:val="0"/>
                <w:sz w:val="17"/>
              </w:rPr>
              <w:t>-0.08% [-2.32%, 2.08%]</w:t>
            </w:r>
          </w:p>
        </w:tc>
      </w:tr>
    </w:tbl>
    <w:p/>
    <w:p>
      <w:pPr>
        <w:spacing w:line="360" w:lineRule="auto"/>
      </w:pPr>
      <w:r>
        <w:rPr>
          <w:rFonts w:ascii="宋体" w:hAnsi="宋体" w:eastAsia="宋体"/>
          <w:sz w:val="21"/>
        </w:rPr>
        <w:t>差值以 M-RPG 减 RSG 定义；目标类召回的正差值有利，误入目标比例、Brier 和 ECE 的负差值有利。所有区间均以图片 split_group_id 聚类，并在五个随机种子与图片组上进行两阶段重采样的 5,000 次 Bootstrap 得到。扩展后，Macro F1、目标类召回、两类误入目标比例及校准指标的区间均跨零。因此，本研究未观察到 M-RPG 相对 RSG 的稳定经验优势；附录 F 的 M-R1 至 M-R4 仍是公式和计算图的确定性性质，但不能据此替代经验优越性证明。</w:t>
      </w:r>
    </w:p>
    <w:p>
      <w:pPr>
        <w:spacing w:line="360" w:lineRule="auto"/>
      </w:pPr>
      <w:r>
        <w:rPr>
          <w:rFonts w:ascii="宋体" w:hAnsi="宋体" w:eastAsia="宋体"/>
          <w:sz w:val="21"/>
        </w:rPr>
        <w:t>这一扩展验证保留为可复核的反证性结果：理论结构提供了可解释的容量归一化、单调门控和凸融合约束，但在当前公开矿物标本四角色闭集协议下，尚不足以支持总体性能、目标类召回、误入控制或校准性能优于 RSG 的结论。后续需在来源留出或真实外部图像上，结合更多独立重复进一步检验其泛化价值。</w:t>
      </w:r>
    </w:p>
    <w:p>
      <w:pPr>
        <w:pStyle w:val="1"/>
      </w:pPr>
      <w:r>
        <w:t>附录 H RSG-HRGV 理论性质与证据对应图</w:t>
      </w:r>
    </w:p>
    <w:p>
      <w:pPr>
        <w:pStyle w:val="21"/>
      </w:pPr>
      <w:r>
        <w:t>H.1 定理、计算图与实验证据的对应关系</w:t>
      </w:r>
    </w:p>
    <w:p>
      <w:pPr>
        <w:spacing w:line="360" w:lineRule="auto"/>
      </w:pPr>
      <w:r>
        <w:rPr>
          <w:rFonts w:ascii="宋体" w:hAnsi="宋体" w:eastAsia="宋体"/>
          <w:sz w:val="21"/>
        </w:rPr>
        <w:t>图 22 将 RSG-HRGV 的三条可证明性质与其直接对应的经验指标并列呈现。定理 B.1 约束门控偏离真实类概率更优专家时的路由后悔；定理 B.2 描述损失差驱动的软门控对硬最优选择的指数逼近；定理 B.3 限定 stop-gradient 后悔分支的局部梯度范围。它们均为当前公式与计算图的性质，而非总体分类精度的先验保证。</w:t>
      </w:r>
    </w:p>
    <w:p>
      <w:pPr>
        <w:jc w:val="center"/>
      </w:pPr>
      <w:r>
        <w:drawing>
          <wp:inline xmlns:a="http://schemas.openxmlformats.org/drawingml/2006/main" xmlns:pic="http://schemas.openxmlformats.org/drawingml/2006/picture">
            <wp:extent cx="5688000" cy="3000466"/>
            <wp:docPr id="55" name="Picture 55"/>
            <wp:cNvGraphicFramePr>
              <a:graphicFrameLocks noChangeAspect="1"/>
            </wp:cNvGraphicFramePr>
            <a:graphic>
              <a:graphicData uri="http://schemas.openxmlformats.org/drawingml/2006/picture">
                <pic:pic>
                  <pic:nvPicPr>
                    <pic:cNvPr id="0" name="fig_rsg_theory_evidence.png"/>
                    <pic:cNvPicPr/>
                  </pic:nvPicPr>
                  <pic:blipFill>
                    <a:blip r:embed="rId66"/>
                    <a:stretch>
                      <a:fillRect/>
                    </a:stretch>
                  </pic:blipFill>
                  <pic:spPr>
                    <a:xfrm>
                      <a:off x="0" y="0"/>
                      <a:ext cx="5688000" cy="3000466"/>
                    </a:xfrm>
                    <a:prstGeom prst="rect"/>
                  </pic:spPr>
                </pic:pic>
              </a:graphicData>
            </a:graphic>
          </wp:inline>
        </w:drawing>
      </w:r>
    </w:p>
    <w:p>
      <w:pPr>
        <w:pStyle w:val="af7"/>
        <w:jc w:val="center"/>
      </w:pPr>
      <w:r>
        <w:rPr>
          <w:rFonts w:ascii="宋体" w:hAnsi="宋体" w:eastAsia="宋体"/>
          <w:sz w:val="19"/>
        </w:rPr>
        <w:t>图 22 RSG-HRGV 的理论性质与平均路由后悔证据对应关系</w:t>
      </w:r>
    </w:p>
    <w:p>
      <w:pPr>
        <w:spacing w:line="360" w:lineRule="auto"/>
      </w:pPr>
      <w:r>
        <w:rPr>
          <w:rFonts w:ascii="宋体" w:hAnsi="宋体" w:eastAsia="宋体"/>
          <w:sz w:val="21"/>
        </w:rPr>
        <w:t>固定测试的 RSG-HRGV 相对 HRGV 平均路由后悔差为 -1.77 个百分点，95% Bootstrap 区间为 [-2.86, -0.69] 个百分点；摄影者留出确认集对应差值为 -3.53 个百分点，区间为 [-4.75, -2.17] 个百分点。两个预定义区间均低于零，支持在本协议下平均路由后悔下降。该结论不主张总体分类性能优越：Accuracy、Macro F1、目标类召回及两类误入目标比例的成对区间仍存在跨零情况。</w:t>
      </w:r>
    </w:p>
    <w:p>
      <w:pPr>
        <w:spacing w:line="360" w:lineRule="auto"/>
      </w:pPr>
      <w:r>
        <w:rPr>
          <w:rFonts w:ascii="宋体" w:hAnsi="宋体" w:eastAsia="宋体"/>
          <w:sz w:val="21"/>
        </w:rPr>
        <w:t>证据边界：图中的摄影者留出仍来自公开 Mindat 标本图像，不能等同于真实矿石颗粒、现场传送带、工业分选、精矿品位、回收率、元素含量检测、跨矿区泛化或未知矿物拒识。</w:t>
      </w:r>
    </w:p>
    <w:p>
      <w:pPr>
        <w:pStyle w:val="21"/>
      </w:pPr>
      <w:r>
        <w:t>H.2 高精度检查点重放的数值一致性验证</w:t>
      </w:r>
    </w:p>
    <w:tbl>
      <w:tblPr>
        <w:tblStyle w:val="aff1"/>
        <w:tblW w:type="auto" w:w="0"/>
        <w:tblLook w:firstColumn="1" w:firstRow="1" w:lastColumn="0" w:lastRow="0" w:noHBand="0" w:noVBand="1" w:val="04A0"/>
      </w:tblPr>
      <w:tblGrid>
        <w:gridCol w:w="1148"/>
        <w:gridCol w:w="1148"/>
        <w:gridCol w:w="1148"/>
        <w:gridCol w:w="1148"/>
        <w:gridCol w:w="1148"/>
        <w:gridCol w:w="1148"/>
        <w:gridCol w:w="1148"/>
        <w:gridCol w:w="1148"/>
      </w:tblGrid>
      <w:tr>
        <w:tc>
          <w:tcPr>
            <w:tcW w:type="dxa" w:w="1148"/>
          </w:tcPr>
          <w:p>
            <w:pPr>
              <w:jc w:val="center"/>
            </w:pPr>
            <w:r>
              <w:rPr>
                <w:rFonts w:ascii="宋体" w:hAnsi="宋体" w:eastAsia="宋体"/>
                <w:b/>
                <w:sz w:val="17"/>
              </w:rPr>
              <w:t>协议</w:t>
            </w:r>
          </w:p>
        </w:tc>
        <w:tc>
          <w:tcPr>
            <w:tcW w:type="dxa" w:w="1148"/>
          </w:tcPr>
          <w:p>
            <w:pPr>
              <w:jc w:val="center"/>
            </w:pPr>
            <w:r>
              <w:rPr>
                <w:rFonts w:ascii="宋体" w:hAnsi="宋体" w:eastAsia="宋体"/>
                <w:b/>
                <w:sz w:val="17"/>
              </w:rPr>
              <w:t>随机种子</w:t>
            </w:r>
          </w:p>
        </w:tc>
        <w:tc>
          <w:tcPr>
            <w:tcW w:type="dxa" w:w="1148"/>
          </w:tcPr>
          <w:p>
            <w:pPr>
              <w:jc w:val="center"/>
            </w:pPr>
            <w:r>
              <w:rPr>
                <w:rFonts w:ascii="宋体" w:hAnsi="宋体" w:eastAsia="宋体"/>
                <w:b/>
                <w:sz w:val="17"/>
              </w:rPr>
              <w:t>样本数</w:t>
            </w:r>
          </w:p>
        </w:tc>
        <w:tc>
          <w:tcPr>
            <w:tcW w:type="dxa" w:w="1148"/>
          </w:tcPr>
          <w:p>
            <w:pPr>
              <w:jc w:val="center"/>
            </w:pPr>
            <w:r>
              <w:rPr>
                <w:rFonts w:ascii="宋体" w:hAnsi="宋体" w:eastAsia="宋体"/>
                <w:b/>
                <w:sz w:val="17"/>
              </w:rPr>
              <w:t>最小真值概率</w:t>
            </w:r>
          </w:p>
        </w:tc>
        <w:tc>
          <w:tcPr>
            <w:tcW w:type="dxa" w:w="1148"/>
          </w:tcPr>
          <w:p>
            <w:pPr>
              <w:jc w:val="center"/>
            </w:pPr>
            <w:r>
              <w:rPr>
                <w:rFonts w:ascii="宋体" w:hAnsi="宋体" w:eastAsia="宋体"/>
                <w:b/>
                <w:sz w:val="17"/>
              </w:rPr>
              <w:t>B.1 最大残差</w:t>
            </w:r>
          </w:p>
        </w:tc>
        <w:tc>
          <w:tcPr>
            <w:tcW w:type="dxa" w:w="1148"/>
          </w:tcPr>
          <w:p>
            <w:pPr>
              <w:jc w:val="center"/>
            </w:pPr>
            <w:r>
              <w:rPr>
                <w:rFonts w:ascii="宋体" w:hAnsi="宋体" w:eastAsia="宋体"/>
                <w:b/>
                <w:sz w:val="17"/>
              </w:rPr>
              <w:t>B.1 违反数</w:t>
            </w:r>
          </w:p>
        </w:tc>
        <w:tc>
          <w:tcPr>
            <w:tcW w:type="dxa" w:w="1148"/>
          </w:tcPr>
          <w:p>
            <w:pPr>
              <w:jc w:val="center"/>
            </w:pPr>
            <w:r>
              <w:rPr>
                <w:rFonts w:ascii="宋体" w:hAnsi="宋体" w:eastAsia="宋体"/>
                <w:b/>
                <w:sz w:val="17"/>
              </w:rPr>
              <w:t>B.2 最大残差</w:t>
            </w:r>
          </w:p>
        </w:tc>
        <w:tc>
          <w:tcPr>
            <w:tcW w:type="dxa" w:w="1148"/>
          </w:tcPr>
          <w:p>
            <w:pPr>
              <w:jc w:val="center"/>
            </w:pPr>
            <w:r>
              <w:rPr>
                <w:rFonts w:ascii="宋体" w:hAnsi="宋体" w:eastAsia="宋体"/>
                <w:b/>
                <w:sz w:val="17"/>
              </w:rPr>
              <w:t>B.2 违反数</w:t>
            </w:r>
          </w:p>
        </w:tc>
      </w:tr>
      <w:tr>
        <w:tc>
          <w:tcPr>
            <w:tcW w:type="dxa" w:w="1148"/>
          </w:tcPr>
          <w:p>
            <w:pPr>
              <w:jc w:val="center"/>
            </w:pPr>
            <w:r>
              <w:rPr>
                <w:rFonts w:ascii="宋体" w:hAnsi="宋体" w:eastAsia="宋体"/>
                <w:b w:val="0"/>
                <w:sz w:val="17"/>
              </w:rPr>
              <w:t>固定测试</w:t>
            </w:r>
          </w:p>
        </w:tc>
        <w:tc>
          <w:tcPr>
            <w:tcW w:type="dxa" w:w="1148"/>
          </w:tcPr>
          <w:p>
            <w:pPr>
              <w:jc w:val="center"/>
            </w:pPr>
            <w:r>
              <w:rPr>
                <w:rFonts w:ascii="宋体" w:hAnsi="宋体" w:eastAsia="宋体"/>
                <w:b w:val="0"/>
                <w:sz w:val="17"/>
              </w:rPr>
              <w:t>20260727</w:t>
            </w:r>
          </w:p>
        </w:tc>
        <w:tc>
          <w:tcPr>
            <w:tcW w:type="dxa" w:w="1148"/>
          </w:tcPr>
          <w:p>
            <w:pPr>
              <w:jc w:val="center"/>
            </w:pPr>
            <w:r>
              <w:rPr>
                <w:rFonts w:ascii="宋体" w:hAnsi="宋体" w:eastAsia="宋体"/>
                <w:b w:val="0"/>
                <w:sz w:val="17"/>
              </w:rPr>
              <w:t>1284</w:t>
            </w:r>
          </w:p>
        </w:tc>
        <w:tc>
          <w:tcPr>
            <w:tcW w:type="dxa" w:w="1148"/>
          </w:tcPr>
          <w:p>
            <w:pPr>
              <w:jc w:val="center"/>
            </w:pPr>
            <w:r>
              <w:rPr>
                <w:rFonts w:ascii="宋体" w:hAnsi="宋体" w:eastAsia="宋体"/>
                <w:b w:val="0"/>
                <w:sz w:val="17"/>
              </w:rPr>
              <w:t>3.11e-06</w:t>
            </w:r>
          </w:p>
        </w:tc>
        <w:tc>
          <w:tcPr>
            <w:tcW w:type="dxa" w:w="1148"/>
          </w:tcPr>
          <w:p>
            <w:pPr>
              <w:jc w:val="center"/>
            </w:pPr>
            <w:r>
              <w:rPr>
                <w:rFonts w:ascii="宋体" w:hAnsi="宋体" w:eastAsia="宋体"/>
                <w:b w:val="0"/>
                <w:sz w:val="17"/>
              </w:rPr>
              <w:t>-6.09e-01</w:t>
            </w:r>
          </w:p>
        </w:tc>
        <w:tc>
          <w:tcPr>
            <w:tcW w:type="dxa" w:w="1148"/>
          </w:tcPr>
          <w:p>
            <w:pPr>
              <w:jc w:val="center"/>
            </w:pPr>
            <w:r>
              <w:rPr>
                <w:rFonts w:ascii="宋体" w:hAnsi="宋体" w:eastAsia="宋体"/>
                <w:b w:val="0"/>
                <w:sz w:val="17"/>
              </w:rPr>
              <w:t>0</w:t>
            </w:r>
          </w:p>
        </w:tc>
        <w:tc>
          <w:tcPr>
            <w:tcW w:type="dxa" w:w="1148"/>
          </w:tcPr>
          <w:p>
            <w:pPr>
              <w:jc w:val="center"/>
            </w:pPr>
            <w:r>
              <w:rPr>
                <w:rFonts w:ascii="宋体" w:hAnsi="宋体" w:eastAsia="宋体"/>
                <w:b w:val="0"/>
                <w:sz w:val="17"/>
              </w:rPr>
              <w:t>5.89e-08</w:t>
            </w:r>
          </w:p>
        </w:tc>
        <w:tc>
          <w:tcPr>
            <w:tcW w:type="dxa" w:w="1148"/>
          </w:tcPr>
          <w:p>
            <w:pPr>
              <w:jc w:val="center"/>
            </w:pPr>
            <w:r>
              <w:rPr>
                <w:rFonts w:ascii="宋体" w:hAnsi="宋体" w:eastAsia="宋体"/>
                <w:b w:val="0"/>
                <w:sz w:val="17"/>
              </w:rPr>
              <w:t>0</w:t>
            </w:r>
          </w:p>
        </w:tc>
      </w:tr>
      <w:tr>
        <w:tc>
          <w:tcPr>
            <w:tcW w:type="dxa" w:w="1148"/>
          </w:tcPr>
          <w:p>
            <w:pPr>
              <w:jc w:val="center"/>
            </w:pPr>
            <w:r>
              <w:rPr>
                <w:rFonts w:ascii="宋体" w:hAnsi="宋体" w:eastAsia="宋体"/>
                <w:b w:val="0"/>
                <w:sz w:val="17"/>
              </w:rPr>
              <w:t>固定测试</w:t>
            </w:r>
          </w:p>
        </w:tc>
        <w:tc>
          <w:tcPr>
            <w:tcW w:type="dxa" w:w="1148"/>
          </w:tcPr>
          <w:p>
            <w:pPr>
              <w:jc w:val="center"/>
            </w:pPr>
            <w:r>
              <w:rPr>
                <w:rFonts w:ascii="宋体" w:hAnsi="宋体" w:eastAsia="宋体"/>
                <w:b w:val="0"/>
                <w:sz w:val="17"/>
              </w:rPr>
              <w:t>20260728</w:t>
            </w:r>
          </w:p>
        </w:tc>
        <w:tc>
          <w:tcPr>
            <w:tcW w:type="dxa" w:w="1148"/>
          </w:tcPr>
          <w:p>
            <w:pPr>
              <w:jc w:val="center"/>
            </w:pPr>
            <w:r>
              <w:rPr>
                <w:rFonts w:ascii="宋体" w:hAnsi="宋体" w:eastAsia="宋体"/>
                <w:b w:val="0"/>
                <w:sz w:val="17"/>
              </w:rPr>
              <w:t>1284</w:t>
            </w:r>
          </w:p>
        </w:tc>
        <w:tc>
          <w:tcPr>
            <w:tcW w:type="dxa" w:w="1148"/>
          </w:tcPr>
          <w:p>
            <w:pPr>
              <w:jc w:val="center"/>
            </w:pPr>
            <w:r>
              <w:rPr>
                <w:rFonts w:ascii="宋体" w:hAnsi="宋体" w:eastAsia="宋体"/>
                <w:b w:val="0"/>
                <w:sz w:val="17"/>
              </w:rPr>
              <w:t>3.97e-07</w:t>
            </w:r>
          </w:p>
        </w:tc>
        <w:tc>
          <w:tcPr>
            <w:tcW w:type="dxa" w:w="1148"/>
          </w:tcPr>
          <w:p>
            <w:pPr>
              <w:jc w:val="center"/>
            </w:pPr>
            <w:r>
              <w:rPr>
                <w:rFonts w:ascii="宋体" w:hAnsi="宋体" w:eastAsia="宋体"/>
                <w:b w:val="0"/>
                <w:sz w:val="17"/>
              </w:rPr>
              <w:t>-3.35e-01</w:t>
            </w:r>
          </w:p>
        </w:tc>
        <w:tc>
          <w:tcPr>
            <w:tcW w:type="dxa" w:w="1148"/>
          </w:tcPr>
          <w:p>
            <w:pPr>
              <w:jc w:val="center"/>
            </w:pPr>
            <w:r>
              <w:rPr>
                <w:rFonts w:ascii="宋体" w:hAnsi="宋体" w:eastAsia="宋体"/>
                <w:b w:val="0"/>
                <w:sz w:val="17"/>
              </w:rPr>
              <w:t>0</w:t>
            </w:r>
          </w:p>
        </w:tc>
        <w:tc>
          <w:tcPr>
            <w:tcW w:type="dxa" w:w="1148"/>
          </w:tcPr>
          <w:p>
            <w:pPr>
              <w:jc w:val="center"/>
            </w:pPr>
            <w:r>
              <w:rPr>
                <w:rFonts w:ascii="宋体" w:hAnsi="宋体" w:eastAsia="宋体"/>
                <w:b w:val="0"/>
                <w:sz w:val="17"/>
              </w:rPr>
              <w:t>5.94e-08</w:t>
            </w:r>
          </w:p>
        </w:tc>
        <w:tc>
          <w:tcPr>
            <w:tcW w:type="dxa" w:w="1148"/>
          </w:tcPr>
          <w:p>
            <w:pPr>
              <w:jc w:val="center"/>
            </w:pPr>
            <w:r>
              <w:rPr>
                <w:rFonts w:ascii="宋体" w:hAnsi="宋体" w:eastAsia="宋体"/>
                <w:b w:val="0"/>
                <w:sz w:val="17"/>
              </w:rPr>
              <w:t>0</w:t>
            </w:r>
          </w:p>
        </w:tc>
      </w:tr>
      <w:tr>
        <w:tc>
          <w:tcPr>
            <w:tcW w:type="dxa" w:w="1148"/>
          </w:tcPr>
          <w:p>
            <w:pPr>
              <w:jc w:val="center"/>
            </w:pPr>
            <w:r>
              <w:rPr>
                <w:rFonts w:ascii="宋体" w:hAnsi="宋体" w:eastAsia="宋体"/>
                <w:b w:val="0"/>
                <w:sz w:val="17"/>
              </w:rPr>
              <w:t>固定测试</w:t>
            </w:r>
          </w:p>
        </w:tc>
        <w:tc>
          <w:tcPr>
            <w:tcW w:type="dxa" w:w="1148"/>
          </w:tcPr>
          <w:p>
            <w:pPr>
              <w:jc w:val="center"/>
            </w:pPr>
            <w:r>
              <w:rPr>
                <w:rFonts w:ascii="宋体" w:hAnsi="宋体" w:eastAsia="宋体"/>
                <w:b w:val="0"/>
                <w:sz w:val="17"/>
              </w:rPr>
              <w:t>20260729</w:t>
            </w:r>
          </w:p>
        </w:tc>
        <w:tc>
          <w:tcPr>
            <w:tcW w:type="dxa" w:w="1148"/>
          </w:tcPr>
          <w:p>
            <w:pPr>
              <w:jc w:val="center"/>
            </w:pPr>
            <w:r>
              <w:rPr>
                <w:rFonts w:ascii="宋体" w:hAnsi="宋体" w:eastAsia="宋体"/>
                <w:b w:val="0"/>
                <w:sz w:val="17"/>
              </w:rPr>
              <w:t>1284</w:t>
            </w:r>
          </w:p>
        </w:tc>
        <w:tc>
          <w:tcPr>
            <w:tcW w:type="dxa" w:w="1148"/>
          </w:tcPr>
          <w:p>
            <w:pPr>
              <w:jc w:val="center"/>
            </w:pPr>
            <w:r>
              <w:rPr>
                <w:rFonts w:ascii="宋体" w:hAnsi="宋体" w:eastAsia="宋体"/>
                <w:b w:val="0"/>
                <w:sz w:val="17"/>
              </w:rPr>
              <w:t>6.80e-07</w:t>
            </w:r>
          </w:p>
        </w:tc>
        <w:tc>
          <w:tcPr>
            <w:tcW w:type="dxa" w:w="1148"/>
          </w:tcPr>
          <w:p>
            <w:pPr>
              <w:jc w:val="center"/>
            </w:pPr>
            <w:r>
              <w:rPr>
                <w:rFonts w:ascii="宋体" w:hAnsi="宋体" w:eastAsia="宋体"/>
                <w:b w:val="0"/>
                <w:sz w:val="17"/>
              </w:rPr>
              <w:t>-5.96e-08</w:t>
            </w:r>
          </w:p>
        </w:tc>
        <w:tc>
          <w:tcPr>
            <w:tcW w:type="dxa" w:w="1148"/>
          </w:tcPr>
          <w:p>
            <w:pPr>
              <w:jc w:val="center"/>
            </w:pPr>
            <w:r>
              <w:rPr>
                <w:rFonts w:ascii="宋体" w:hAnsi="宋体" w:eastAsia="宋体"/>
                <w:b w:val="0"/>
                <w:sz w:val="17"/>
              </w:rPr>
              <w:t>0</w:t>
            </w:r>
          </w:p>
        </w:tc>
        <w:tc>
          <w:tcPr>
            <w:tcW w:type="dxa" w:w="1148"/>
          </w:tcPr>
          <w:p>
            <w:pPr>
              <w:jc w:val="center"/>
            </w:pPr>
            <w:r>
              <w:rPr>
                <w:rFonts w:ascii="宋体" w:hAnsi="宋体" w:eastAsia="宋体"/>
                <w:b w:val="0"/>
                <w:sz w:val="17"/>
              </w:rPr>
              <w:t>4.35e-08</w:t>
            </w:r>
          </w:p>
        </w:tc>
        <w:tc>
          <w:tcPr>
            <w:tcW w:type="dxa" w:w="1148"/>
          </w:tcPr>
          <w:p>
            <w:pPr>
              <w:jc w:val="center"/>
            </w:pPr>
            <w:r>
              <w:rPr>
                <w:rFonts w:ascii="宋体" w:hAnsi="宋体" w:eastAsia="宋体"/>
                <w:b w:val="0"/>
                <w:sz w:val="17"/>
              </w:rPr>
              <w:t>0</w:t>
            </w:r>
          </w:p>
        </w:tc>
      </w:tr>
      <w:tr>
        <w:tc>
          <w:tcPr>
            <w:tcW w:type="dxa" w:w="1148"/>
          </w:tcPr>
          <w:p>
            <w:pPr>
              <w:jc w:val="center"/>
            </w:pPr>
            <w:r>
              <w:rPr>
                <w:rFonts w:ascii="宋体" w:hAnsi="宋体" w:eastAsia="宋体"/>
                <w:b w:val="0"/>
                <w:sz w:val="17"/>
              </w:rPr>
              <w:t>摄影者留出</w:t>
            </w:r>
          </w:p>
        </w:tc>
        <w:tc>
          <w:tcPr>
            <w:tcW w:type="dxa" w:w="1148"/>
          </w:tcPr>
          <w:p>
            <w:pPr>
              <w:jc w:val="center"/>
            </w:pPr>
            <w:r>
              <w:rPr>
                <w:rFonts w:ascii="宋体" w:hAnsi="宋体" w:eastAsia="宋体"/>
                <w:b w:val="0"/>
                <w:sz w:val="17"/>
              </w:rPr>
              <w:t>20260727</w:t>
            </w:r>
          </w:p>
        </w:tc>
        <w:tc>
          <w:tcPr>
            <w:tcW w:type="dxa" w:w="1148"/>
          </w:tcPr>
          <w:p>
            <w:pPr>
              <w:jc w:val="center"/>
            </w:pPr>
            <w:r>
              <w:rPr>
                <w:rFonts w:ascii="宋体" w:hAnsi="宋体" w:eastAsia="宋体"/>
                <w:b w:val="0"/>
                <w:sz w:val="17"/>
              </w:rPr>
              <w:t>846</w:t>
            </w:r>
          </w:p>
        </w:tc>
        <w:tc>
          <w:tcPr>
            <w:tcW w:type="dxa" w:w="1148"/>
          </w:tcPr>
          <w:p>
            <w:pPr>
              <w:jc w:val="center"/>
            </w:pPr>
            <w:r>
              <w:rPr>
                <w:rFonts w:ascii="宋体" w:hAnsi="宋体" w:eastAsia="宋体"/>
                <w:b w:val="0"/>
                <w:sz w:val="17"/>
              </w:rPr>
              <w:t>7.30e-07</w:t>
            </w:r>
          </w:p>
        </w:tc>
        <w:tc>
          <w:tcPr>
            <w:tcW w:type="dxa" w:w="1148"/>
          </w:tcPr>
          <w:p>
            <w:pPr>
              <w:jc w:val="center"/>
            </w:pPr>
            <w:r>
              <w:rPr>
                <w:rFonts w:ascii="宋体" w:hAnsi="宋体" w:eastAsia="宋体"/>
                <w:b w:val="0"/>
                <w:sz w:val="17"/>
              </w:rPr>
              <w:t>-4.90e-01</w:t>
            </w:r>
          </w:p>
        </w:tc>
        <w:tc>
          <w:tcPr>
            <w:tcW w:type="dxa" w:w="1148"/>
          </w:tcPr>
          <w:p>
            <w:pPr>
              <w:jc w:val="center"/>
            </w:pPr>
            <w:r>
              <w:rPr>
                <w:rFonts w:ascii="宋体" w:hAnsi="宋体" w:eastAsia="宋体"/>
                <w:b w:val="0"/>
                <w:sz w:val="17"/>
              </w:rPr>
              <w:t>0</w:t>
            </w:r>
          </w:p>
        </w:tc>
        <w:tc>
          <w:tcPr>
            <w:tcW w:type="dxa" w:w="1148"/>
          </w:tcPr>
          <w:p>
            <w:pPr>
              <w:jc w:val="center"/>
            </w:pPr>
            <w:r>
              <w:rPr>
                <w:rFonts w:ascii="宋体" w:hAnsi="宋体" w:eastAsia="宋体"/>
                <w:b w:val="0"/>
                <w:sz w:val="17"/>
              </w:rPr>
              <w:t>3.95e-08</w:t>
            </w:r>
          </w:p>
        </w:tc>
        <w:tc>
          <w:tcPr>
            <w:tcW w:type="dxa" w:w="1148"/>
          </w:tcPr>
          <w:p>
            <w:pPr>
              <w:jc w:val="center"/>
            </w:pPr>
            <w:r>
              <w:rPr>
                <w:rFonts w:ascii="宋体" w:hAnsi="宋体" w:eastAsia="宋体"/>
                <w:b w:val="0"/>
                <w:sz w:val="17"/>
              </w:rPr>
              <w:t>0</w:t>
            </w:r>
          </w:p>
        </w:tc>
      </w:tr>
      <w:tr>
        <w:tc>
          <w:tcPr>
            <w:tcW w:type="dxa" w:w="1148"/>
          </w:tcPr>
          <w:p>
            <w:pPr>
              <w:jc w:val="center"/>
            </w:pPr>
            <w:r>
              <w:rPr>
                <w:rFonts w:ascii="宋体" w:hAnsi="宋体" w:eastAsia="宋体"/>
                <w:b w:val="0"/>
                <w:sz w:val="17"/>
              </w:rPr>
              <w:t>摄影者留出</w:t>
            </w:r>
          </w:p>
        </w:tc>
        <w:tc>
          <w:tcPr>
            <w:tcW w:type="dxa" w:w="1148"/>
          </w:tcPr>
          <w:p>
            <w:pPr>
              <w:jc w:val="center"/>
            </w:pPr>
            <w:r>
              <w:rPr>
                <w:rFonts w:ascii="宋体" w:hAnsi="宋体" w:eastAsia="宋体"/>
                <w:b w:val="0"/>
                <w:sz w:val="17"/>
              </w:rPr>
              <w:t>20260729</w:t>
            </w:r>
          </w:p>
        </w:tc>
        <w:tc>
          <w:tcPr>
            <w:tcW w:type="dxa" w:w="1148"/>
          </w:tcPr>
          <w:p>
            <w:pPr>
              <w:jc w:val="center"/>
            </w:pPr>
            <w:r>
              <w:rPr>
                <w:rFonts w:ascii="宋体" w:hAnsi="宋体" w:eastAsia="宋体"/>
                <w:b w:val="0"/>
                <w:sz w:val="17"/>
              </w:rPr>
              <w:t>846</w:t>
            </w:r>
          </w:p>
        </w:tc>
        <w:tc>
          <w:tcPr>
            <w:tcW w:type="dxa" w:w="1148"/>
          </w:tcPr>
          <w:p>
            <w:pPr>
              <w:jc w:val="center"/>
            </w:pPr>
            <w:r>
              <w:rPr>
                <w:rFonts w:ascii="宋体" w:hAnsi="宋体" w:eastAsia="宋体"/>
                <w:b w:val="0"/>
                <w:sz w:val="17"/>
              </w:rPr>
              <w:t>3.10e-05</w:t>
            </w:r>
          </w:p>
        </w:tc>
        <w:tc>
          <w:tcPr>
            <w:tcW w:type="dxa" w:w="1148"/>
          </w:tcPr>
          <w:p>
            <w:pPr>
              <w:jc w:val="center"/>
            </w:pPr>
            <w:r>
              <w:rPr>
                <w:rFonts w:ascii="宋体" w:hAnsi="宋体" w:eastAsia="宋体"/>
                <w:b w:val="0"/>
                <w:sz w:val="17"/>
              </w:rPr>
              <w:t>-2.65e+01</w:t>
            </w:r>
          </w:p>
        </w:tc>
        <w:tc>
          <w:tcPr>
            <w:tcW w:type="dxa" w:w="1148"/>
          </w:tcPr>
          <w:p>
            <w:pPr>
              <w:jc w:val="center"/>
            </w:pPr>
            <w:r>
              <w:rPr>
                <w:rFonts w:ascii="宋体" w:hAnsi="宋体" w:eastAsia="宋体"/>
                <w:b w:val="0"/>
                <w:sz w:val="17"/>
              </w:rPr>
              <w:t>0</w:t>
            </w:r>
          </w:p>
        </w:tc>
        <w:tc>
          <w:tcPr>
            <w:tcW w:type="dxa" w:w="1148"/>
          </w:tcPr>
          <w:p>
            <w:pPr>
              <w:jc w:val="center"/>
            </w:pPr>
            <w:r>
              <w:rPr>
                <w:rFonts w:ascii="宋体" w:hAnsi="宋体" w:eastAsia="宋体"/>
                <w:b w:val="0"/>
                <w:sz w:val="17"/>
              </w:rPr>
              <w:t>-8.69e-09</w:t>
            </w:r>
          </w:p>
        </w:tc>
        <w:tc>
          <w:tcPr>
            <w:tcW w:type="dxa" w:w="1148"/>
          </w:tcPr>
          <w:p>
            <w:pPr>
              <w:jc w:val="center"/>
            </w:pPr>
            <w:r>
              <w:rPr>
                <w:rFonts w:ascii="宋体" w:hAnsi="宋体" w:eastAsia="宋体"/>
                <w:b w:val="0"/>
                <w:sz w:val="17"/>
              </w:rPr>
              <w:t>0</w:t>
            </w:r>
          </w:p>
        </w:tc>
      </w:tr>
      <w:tr>
        <w:tc>
          <w:tcPr>
            <w:tcW w:type="dxa" w:w="1148"/>
          </w:tcPr>
          <w:p>
            <w:pPr>
              <w:jc w:val="center"/>
            </w:pPr>
            <w:r>
              <w:rPr>
                <w:rFonts w:ascii="宋体" w:hAnsi="宋体" w:eastAsia="宋体"/>
                <w:b w:val="0"/>
                <w:sz w:val="17"/>
              </w:rPr>
              <w:t>摄影者留出</w:t>
            </w:r>
          </w:p>
        </w:tc>
        <w:tc>
          <w:tcPr>
            <w:tcW w:type="dxa" w:w="1148"/>
          </w:tcPr>
          <w:p>
            <w:pPr>
              <w:jc w:val="center"/>
            </w:pPr>
            <w:r>
              <w:rPr>
                <w:rFonts w:ascii="宋体" w:hAnsi="宋体" w:eastAsia="宋体"/>
                <w:b w:val="0"/>
                <w:sz w:val="17"/>
              </w:rPr>
              <w:t>20260730</w:t>
            </w:r>
          </w:p>
        </w:tc>
        <w:tc>
          <w:tcPr>
            <w:tcW w:type="dxa" w:w="1148"/>
          </w:tcPr>
          <w:p>
            <w:pPr>
              <w:jc w:val="center"/>
            </w:pPr>
            <w:r>
              <w:rPr>
                <w:rFonts w:ascii="宋体" w:hAnsi="宋体" w:eastAsia="宋体"/>
                <w:b w:val="0"/>
                <w:sz w:val="17"/>
              </w:rPr>
              <w:t>846</w:t>
            </w:r>
          </w:p>
        </w:tc>
        <w:tc>
          <w:tcPr>
            <w:tcW w:type="dxa" w:w="1148"/>
          </w:tcPr>
          <w:p>
            <w:pPr>
              <w:jc w:val="center"/>
            </w:pPr>
            <w:r>
              <w:rPr>
                <w:rFonts w:ascii="宋体" w:hAnsi="宋体" w:eastAsia="宋体"/>
                <w:b w:val="0"/>
                <w:sz w:val="17"/>
              </w:rPr>
              <w:t>1.13e-05</w:t>
            </w:r>
          </w:p>
        </w:tc>
        <w:tc>
          <w:tcPr>
            <w:tcW w:type="dxa" w:w="1148"/>
          </w:tcPr>
          <w:p>
            <w:pPr>
              <w:jc w:val="center"/>
            </w:pPr>
            <w:r>
              <w:rPr>
                <w:rFonts w:ascii="宋体" w:hAnsi="宋体" w:eastAsia="宋体"/>
                <w:b w:val="0"/>
                <w:sz w:val="17"/>
              </w:rPr>
              <w:t>-1.31e+00</w:t>
            </w:r>
          </w:p>
        </w:tc>
        <w:tc>
          <w:tcPr>
            <w:tcW w:type="dxa" w:w="1148"/>
          </w:tcPr>
          <w:p>
            <w:pPr>
              <w:jc w:val="center"/>
            </w:pPr>
            <w:r>
              <w:rPr>
                <w:rFonts w:ascii="宋体" w:hAnsi="宋体" w:eastAsia="宋体"/>
                <w:b w:val="0"/>
                <w:sz w:val="17"/>
              </w:rPr>
              <w:t>0</w:t>
            </w:r>
          </w:p>
        </w:tc>
        <w:tc>
          <w:tcPr>
            <w:tcW w:type="dxa" w:w="1148"/>
          </w:tcPr>
          <w:p>
            <w:pPr>
              <w:jc w:val="center"/>
            </w:pPr>
            <w:r>
              <w:rPr>
                <w:rFonts w:ascii="宋体" w:hAnsi="宋体" w:eastAsia="宋体"/>
                <w:b w:val="0"/>
                <w:sz w:val="17"/>
              </w:rPr>
              <w:t>3.50e-08</w:t>
            </w:r>
          </w:p>
        </w:tc>
        <w:tc>
          <w:tcPr>
            <w:tcW w:type="dxa" w:w="1148"/>
          </w:tcPr>
          <w:p>
            <w:pPr>
              <w:jc w:val="center"/>
            </w:pPr>
            <w:r>
              <w:rPr>
                <w:rFonts w:ascii="宋体" w:hAnsi="宋体" w:eastAsia="宋体"/>
                <w:b w:val="0"/>
                <w:sz w:val="17"/>
              </w:rPr>
              <w:t>0</w:t>
            </w:r>
          </w:p>
        </w:tc>
      </w:tr>
    </w:tbl>
    <w:p/>
    <w:p>
      <w:pPr>
        <w:spacing w:line="360" w:lineRule="auto"/>
      </w:pPr>
      <w:r>
        <w:rPr>
          <w:rFonts w:ascii="宋体" w:hAnsi="宋体" w:eastAsia="宋体"/>
          <w:sz w:val="21"/>
        </w:rPr>
        <w:t>为避免原始逐图 CSV 六位小数导出把极小概率写为零，使用保存的最佳检查点对固定测试三种子和摄影者留出三种子重新执行只读推理，以 15 位小数导出门控及两路真值概率。共 6 次、6390 张图像；采用 float32 概率下界 1.19e-07、数值容差 2.00e-06。定理 B.1 最大残差为 -5.96e-08、违反数为 0；定理 B.2 最大残差为 5.94e-08、违反数为 0。因此，高精度检查点重放支持当前 RSG-HRGV 公式在已训练模型输出上的数值一致性验证。</w:t>
      </w:r>
    </w:p>
    <w:p>
      <w:pPr>
        <w:spacing w:line="360" w:lineRule="auto"/>
      </w:pPr>
      <w:r>
        <w:rPr>
          <w:rFonts w:ascii="宋体" w:hAnsi="宋体" w:eastAsia="宋体"/>
          <w:sz w:val="21"/>
        </w:rPr>
        <w:t>该验证仅检查定理 B.1 与 B.2 所用概率、门控和软目标在实现中的数值关系；不构成新的分类性能实验，也不支持工业分选、品位、回收率、元素含量、外部泛化或未知矿物拒识结论。</w:t>
      </w:r>
    </w:p>
    <w:p>
      <w:pPr>
        <w:pStyle w:val="21"/>
      </w:pPr>
      <w:r>
        <w:t>H.3 主干替换不变性与 ResNet50 跨主干确认</w:t>
      </w:r>
    </w:p>
    <w:p>
      <w:pPr>
        <w:spacing w:line="360" w:lineRule="auto"/>
      </w:pPr>
      <w:r>
        <w:rPr>
          <w:rFonts w:ascii="宋体" w:hAnsi="宋体" w:eastAsia="宋体"/>
          <w:sz w:val="21"/>
        </w:rPr>
        <w:t>主干替换不变性命题是融合层的条件性结论：只要不同视觉主干经两位专家输出合法概率分布，并保持同一凸门控、软后悔目标和 stop-gradient 计算图，定理 B.1--B.3 的推导不依赖卷积或残差模块的具体形式。该命题不等同于任意主干具有相同或更高的分类性能，因此以 ImageNet 预训练 ResNet50 在完全匹配的数据划分、训练预算、随机种子和比较配置下进行三随机种子确认。</w:t>
      </w:r>
    </w:p>
    <w:tbl>
      <w:tblPr>
        <w:tblStyle w:val="aff1"/>
        <w:tblW w:type="auto" w:w="0"/>
        <w:tblLook w:firstColumn="1" w:firstRow="1" w:lastColumn="0" w:lastRow="0" w:noHBand="0" w:noVBand="1" w:val="04A0"/>
      </w:tblPr>
      <w:tblGrid>
        <w:gridCol w:w="2296"/>
        <w:gridCol w:w="2296"/>
        <w:gridCol w:w="2296"/>
        <w:gridCol w:w="2296"/>
      </w:tblGrid>
      <w:tr>
        <w:tc>
          <w:tcPr>
            <w:tcW w:type="dxa" w:w="2296"/>
          </w:tcPr>
          <w:p>
            <w:pPr>
              <w:jc w:val="center"/>
            </w:pPr>
            <w:r>
              <w:rPr>
                <w:rFonts w:ascii="宋体" w:hAnsi="宋体" w:eastAsia="宋体"/>
                <w:b/>
                <w:sz w:val="17"/>
              </w:rPr>
              <w:t>ResNet50 配置</w:t>
            </w:r>
          </w:p>
        </w:tc>
        <w:tc>
          <w:tcPr>
            <w:tcW w:type="dxa" w:w="2296"/>
          </w:tcPr>
          <w:p>
            <w:pPr>
              <w:jc w:val="center"/>
            </w:pPr>
            <w:r>
              <w:rPr>
                <w:rFonts w:ascii="宋体" w:hAnsi="宋体" w:eastAsia="宋体"/>
                <w:b/>
                <w:sz w:val="17"/>
              </w:rPr>
              <w:t>Accuracy</w:t>
            </w:r>
          </w:p>
        </w:tc>
        <w:tc>
          <w:tcPr>
            <w:tcW w:type="dxa" w:w="2296"/>
          </w:tcPr>
          <w:p>
            <w:pPr>
              <w:jc w:val="center"/>
            </w:pPr>
            <w:r>
              <w:rPr>
                <w:rFonts w:ascii="宋体" w:hAnsi="宋体" w:eastAsia="宋体"/>
                <w:b/>
                <w:sz w:val="17"/>
              </w:rPr>
              <w:t>Macro F1</w:t>
            </w:r>
          </w:p>
        </w:tc>
        <w:tc>
          <w:tcPr>
            <w:tcW w:type="dxa" w:w="2296"/>
          </w:tcPr>
          <w:p>
            <w:pPr>
              <w:jc w:val="center"/>
            </w:pPr>
            <w:r>
              <w:rPr>
                <w:rFonts w:ascii="宋体" w:hAnsi="宋体" w:eastAsia="宋体"/>
                <w:b/>
                <w:sz w:val="17"/>
              </w:rPr>
              <w:t>平均路由后悔</w:t>
            </w:r>
          </w:p>
        </w:tc>
      </w:tr>
      <w:tr>
        <w:tc>
          <w:tcPr>
            <w:tcW w:type="dxa" w:w="2296"/>
          </w:tcPr>
          <w:p>
            <w:pPr>
              <w:jc w:val="center"/>
            </w:pPr>
            <w:r>
              <w:rPr>
                <w:rFonts w:ascii="宋体" w:hAnsi="宋体" w:eastAsia="宋体"/>
                <w:b w:val="0"/>
                <w:sz w:val="17"/>
              </w:rPr>
              <w:t>HRGV 参考模型</w:t>
            </w:r>
          </w:p>
        </w:tc>
        <w:tc>
          <w:tcPr>
            <w:tcW w:type="dxa" w:w="2296"/>
          </w:tcPr>
          <w:p>
            <w:pPr>
              <w:jc w:val="center"/>
            </w:pPr>
            <w:r>
              <w:rPr>
                <w:rFonts w:ascii="宋体" w:hAnsi="宋体" w:eastAsia="宋体"/>
                <w:b w:val="0"/>
                <w:sz w:val="17"/>
              </w:rPr>
              <w:t>75.36%</w:t>
            </w:r>
          </w:p>
        </w:tc>
        <w:tc>
          <w:tcPr>
            <w:tcW w:type="dxa" w:w="2296"/>
          </w:tcPr>
          <w:p>
            <w:pPr>
              <w:jc w:val="center"/>
            </w:pPr>
            <w:r>
              <w:rPr>
                <w:rFonts w:ascii="宋体" w:hAnsi="宋体" w:eastAsia="宋体"/>
                <w:b w:val="0"/>
                <w:sz w:val="17"/>
              </w:rPr>
              <w:t>73.29%</w:t>
            </w:r>
          </w:p>
        </w:tc>
        <w:tc>
          <w:tcPr>
            <w:tcW w:type="dxa" w:w="2296"/>
          </w:tcPr>
          <w:p>
            <w:pPr>
              <w:jc w:val="center"/>
            </w:pPr>
            <w:r>
              <w:rPr>
                <w:rFonts w:ascii="宋体" w:hAnsi="宋体" w:eastAsia="宋体"/>
                <w:b w:val="0"/>
                <w:sz w:val="17"/>
              </w:rPr>
              <w:t>11.84%</w:t>
            </w:r>
          </w:p>
        </w:tc>
      </w:tr>
      <w:tr>
        <w:tc>
          <w:tcPr>
            <w:tcW w:type="dxa" w:w="2296"/>
          </w:tcPr>
          <w:p>
            <w:pPr>
              <w:jc w:val="center"/>
            </w:pPr>
            <w:r>
              <w:rPr>
                <w:rFonts w:ascii="宋体" w:hAnsi="宋体" w:eastAsia="宋体"/>
                <w:b w:val="0"/>
                <w:sz w:val="17"/>
              </w:rPr>
              <w:t>RSG-HRGV</w:t>
            </w:r>
          </w:p>
        </w:tc>
        <w:tc>
          <w:tcPr>
            <w:tcW w:type="dxa" w:w="2296"/>
          </w:tcPr>
          <w:p>
            <w:pPr>
              <w:jc w:val="center"/>
            </w:pPr>
            <w:r>
              <w:rPr>
                <w:rFonts w:ascii="宋体" w:hAnsi="宋体" w:eastAsia="宋体"/>
                <w:b w:val="0"/>
                <w:sz w:val="17"/>
              </w:rPr>
              <w:t>76.64%</w:t>
            </w:r>
          </w:p>
        </w:tc>
        <w:tc>
          <w:tcPr>
            <w:tcW w:type="dxa" w:w="2296"/>
          </w:tcPr>
          <w:p>
            <w:pPr>
              <w:jc w:val="center"/>
            </w:pPr>
            <w:r>
              <w:rPr>
                <w:rFonts w:ascii="宋体" w:hAnsi="宋体" w:eastAsia="宋体"/>
                <w:b w:val="0"/>
                <w:sz w:val="17"/>
              </w:rPr>
              <w:t>74.28%</w:t>
            </w:r>
          </w:p>
        </w:tc>
        <w:tc>
          <w:tcPr>
            <w:tcW w:type="dxa" w:w="2296"/>
          </w:tcPr>
          <w:p>
            <w:pPr>
              <w:jc w:val="center"/>
            </w:pPr>
            <w:r>
              <w:rPr>
                <w:rFonts w:ascii="宋体" w:hAnsi="宋体" w:eastAsia="宋体"/>
                <w:b w:val="0"/>
                <w:sz w:val="17"/>
              </w:rPr>
              <w:t>8.51%</w:t>
            </w:r>
          </w:p>
        </w:tc>
      </w:tr>
    </w:tbl>
    <w:p/>
    <w:p>
      <w:pPr>
        <w:spacing w:line="360" w:lineRule="auto"/>
      </w:pPr>
      <w:r>
        <w:rPr>
          <w:rFonts w:ascii="宋体" w:hAnsi="宋体" w:eastAsia="宋体"/>
          <w:sz w:val="21"/>
        </w:rPr>
        <w:t>RSG-HRGV 减 HRGV 的平均路由后悔差为 -3.33%，95% Bootstrap 区间为 [-4.86%, -1.98%]。若该区间低于零，则支持在 ResNet50 协议下复现所定义的路由后悔下降；否则只记录为未复现的边界结果。</w:t>
      </w:r>
    </w:p>
    <w:p>
      <w:pPr>
        <w:spacing w:line="360" w:lineRule="auto"/>
      </w:pPr>
      <w:r>
        <w:rPr>
          <w:rFonts w:ascii="宋体" w:hAnsi="宋体" w:eastAsia="宋体"/>
          <w:sz w:val="21"/>
        </w:rPr>
        <w:t>图 23 将固定 EfficientNet-B0 证据、摄影者留出证据和 ResNet50 跨主干确认并列。Macro F1 和 Accuracy 的成对区间均未显示稳定差异，故本节不主张分类性能优越。</w:t>
      </w:r>
    </w:p>
    <w:p>
      <w:pPr>
        <w:jc w:val="center"/>
      </w:pPr>
      <w:r>
        <w:drawing>
          <wp:inline xmlns:a="http://schemas.openxmlformats.org/drawingml/2006/main" xmlns:pic="http://schemas.openxmlformats.org/drawingml/2006/picture">
            <wp:extent cx="5688000" cy="2996426"/>
            <wp:docPr id="56" name="Picture 56"/>
            <wp:cNvGraphicFramePr>
              <a:graphicFrameLocks noChangeAspect="1"/>
            </wp:cNvGraphicFramePr>
            <a:graphic>
              <a:graphicData uri="http://schemas.openxmlformats.org/drawingml/2006/picture">
                <pic:pic>
                  <pic:nvPicPr>
                    <pic:cNvPr id="0" name="fig_rsg_theory_evidence_portability.png"/>
                    <pic:cNvPicPr/>
                  </pic:nvPicPr>
                  <pic:blipFill>
                    <a:blip r:embed="rId67"/>
                    <a:stretch>
                      <a:fillRect/>
                    </a:stretch>
                  </pic:blipFill>
                  <pic:spPr>
                    <a:xfrm>
                      <a:off x="0" y="0"/>
                      <a:ext cx="5688000" cy="2996426"/>
                    </a:xfrm>
                    <a:prstGeom prst="rect"/>
                  </pic:spPr>
                </pic:pic>
              </a:graphicData>
            </a:graphic>
          </wp:inline>
        </w:drawing>
      </w:r>
    </w:p>
    <w:p>
      <w:pPr>
        <w:pStyle w:val="af7"/>
        <w:jc w:val="center"/>
      </w:pPr>
      <w:r>
        <w:rPr>
          <w:rFonts w:ascii="宋体" w:hAnsi="宋体" w:eastAsia="宋体"/>
          <w:sz w:val="19"/>
        </w:rPr>
        <w:t>图 23 RSG-HRGV 理论证据与 ResNet50 跨主干确认</w:t>
      </w:r>
    </w:p>
    <w:p>
      <w:pPr>
        <w:spacing w:line="360" w:lineRule="auto"/>
      </w:pPr>
      <w:r>
        <w:rPr>
          <w:rFonts w:ascii="宋体" w:hAnsi="宋体" w:eastAsia="宋体"/>
          <w:sz w:val="21"/>
        </w:rPr>
        <w:t>证据边界：该跨主干检查验证的是 RSG 融合层公式在 ResNet50 输出契约下的经验一致性，不等同于主干性能优越，也不构成工业分选、品位、回收率、元素含量、真实外部泛化或未知矿物拒识结论。</w:t>
      </w:r>
    </w:p>
    <w:p>
      <w:pPr>
        <w:pStyle w:val="21"/>
      </w:pPr>
      <w:r>
        <w:t>H.4 ResNet50 跨主干高精度重放</w:t>
      </w:r>
    </w:p>
    <w:p>
      <w:pPr>
        <w:spacing w:line="360" w:lineRule="auto"/>
      </w:pPr>
      <w:r>
        <w:rPr>
          <w:rFonts w:ascii="宋体" w:hAnsi="宋体" w:eastAsia="宋体"/>
          <w:sz w:val="21"/>
        </w:rPr>
        <w:t>为排除常规逐图 CSV 概率舍入对跨主干公式检查的影响，使用 ResNet50 三个正式 RSG-HRGV 最佳检查点重新执行只读测试推理，并以 15 位小数导出门控和两路真值概率。该重放不更新任何权重，也不改变主干替换实验的分类结果。</w:t>
      </w:r>
    </w:p>
    <w:tbl>
      <w:tblPr>
        <w:tblStyle w:val="aff1"/>
        <w:tblW w:type="auto" w:w="0"/>
        <w:tblLook w:firstColumn="1" w:firstRow="1" w:lastColumn="0" w:lastRow="0" w:noHBand="0" w:noVBand="1" w:val="04A0"/>
      </w:tblPr>
      <w:tblGrid>
        <w:gridCol w:w="1312"/>
        <w:gridCol w:w="1312"/>
        <w:gridCol w:w="1312"/>
        <w:gridCol w:w="1312"/>
        <w:gridCol w:w="1312"/>
        <w:gridCol w:w="1312"/>
        <w:gridCol w:w="1312"/>
      </w:tblGrid>
      <w:tr>
        <w:tc>
          <w:tcPr>
            <w:tcW w:type="dxa" w:w="1312"/>
          </w:tcPr>
          <w:p>
            <w:pPr>
              <w:jc w:val="center"/>
            </w:pPr>
            <w:r>
              <w:rPr>
                <w:rFonts w:ascii="宋体" w:hAnsi="宋体" w:eastAsia="宋体"/>
                <w:b/>
                <w:sz w:val="17"/>
              </w:rPr>
              <w:t>ResNet50 种子</w:t>
            </w:r>
          </w:p>
        </w:tc>
        <w:tc>
          <w:tcPr>
            <w:tcW w:type="dxa" w:w="1312"/>
          </w:tcPr>
          <w:p>
            <w:pPr>
              <w:jc w:val="center"/>
            </w:pPr>
            <w:r>
              <w:rPr>
                <w:rFonts w:ascii="宋体" w:hAnsi="宋体" w:eastAsia="宋体"/>
                <w:b/>
                <w:sz w:val="17"/>
              </w:rPr>
              <w:t>样本数</w:t>
            </w:r>
          </w:p>
        </w:tc>
        <w:tc>
          <w:tcPr>
            <w:tcW w:type="dxa" w:w="1312"/>
          </w:tcPr>
          <w:p>
            <w:pPr>
              <w:jc w:val="center"/>
            </w:pPr>
            <w:r>
              <w:rPr>
                <w:rFonts w:ascii="宋体" w:hAnsi="宋体" w:eastAsia="宋体"/>
                <w:b/>
                <w:sz w:val="17"/>
              </w:rPr>
              <w:t>最小真值概率</w:t>
            </w:r>
          </w:p>
        </w:tc>
        <w:tc>
          <w:tcPr>
            <w:tcW w:type="dxa" w:w="1312"/>
          </w:tcPr>
          <w:p>
            <w:pPr>
              <w:jc w:val="center"/>
            </w:pPr>
            <w:r>
              <w:rPr>
                <w:rFonts w:ascii="宋体" w:hAnsi="宋体" w:eastAsia="宋体"/>
                <w:b/>
                <w:sz w:val="17"/>
              </w:rPr>
              <w:t>B.1 最大残差</w:t>
            </w:r>
          </w:p>
        </w:tc>
        <w:tc>
          <w:tcPr>
            <w:tcW w:type="dxa" w:w="1312"/>
          </w:tcPr>
          <w:p>
            <w:pPr>
              <w:jc w:val="center"/>
            </w:pPr>
            <w:r>
              <w:rPr>
                <w:rFonts w:ascii="宋体" w:hAnsi="宋体" w:eastAsia="宋体"/>
                <w:b/>
                <w:sz w:val="17"/>
              </w:rPr>
              <w:t>B.1 违反数</w:t>
            </w:r>
          </w:p>
        </w:tc>
        <w:tc>
          <w:tcPr>
            <w:tcW w:type="dxa" w:w="1312"/>
          </w:tcPr>
          <w:p>
            <w:pPr>
              <w:jc w:val="center"/>
            </w:pPr>
            <w:r>
              <w:rPr>
                <w:rFonts w:ascii="宋体" w:hAnsi="宋体" w:eastAsia="宋体"/>
                <w:b/>
                <w:sz w:val="17"/>
              </w:rPr>
              <w:t>B.2 最大残差</w:t>
            </w:r>
          </w:p>
        </w:tc>
        <w:tc>
          <w:tcPr>
            <w:tcW w:type="dxa" w:w="1312"/>
          </w:tcPr>
          <w:p>
            <w:pPr>
              <w:jc w:val="center"/>
            </w:pPr>
            <w:r>
              <w:rPr>
                <w:rFonts w:ascii="宋体" w:hAnsi="宋体" w:eastAsia="宋体"/>
                <w:b/>
                <w:sz w:val="17"/>
              </w:rPr>
              <w:t>B.2 违反数</w:t>
            </w:r>
          </w:p>
        </w:tc>
      </w:tr>
      <w:tr>
        <w:tc>
          <w:tcPr>
            <w:tcW w:type="dxa" w:w="1312"/>
          </w:tcPr>
          <w:p>
            <w:pPr>
              <w:jc w:val="center"/>
            </w:pPr>
            <w:r>
              <w:rPr>
                <w:rFonts w:ascii="宋体" w:hAnsi="宋体" w:eastAsia="宋体"/>
                <w:b w:val="0"/>
                <w:sz w:val="17"/>
              </w:rPr>
              <w:t>20260727</w:t>
            </w:r>
          </w:p>
        </w:tc>
        <w:tc>
          <w:tcPr>
            <w:tcW w:type="dxa" w:w="1312"/>
          </w:tcPr>
          <w:p>
            <w:pPr>
              <w:jc w:val="center"/>
            </w:pPr>
            <w:r>
              <w:rPr>
                <w:rFonts w:ascii="宋体" w:hAnsi="宋体" w:eastAsia="宋体"/>
                <w:b w:val="0"/>
                <w:sz w:val="17"/>
              </w:rPr>
              <w:t>1284</w:t>
            </w:r>
          </w:p>
        </w:tc>
        <w:tc>
          <w:tcPr>
            <w:tcW w:type="dxa" w:w="1312"/>
          </w:tcPr>
          <w:p>
            <w:pPr>
              <w:jc w:val="center"/>
            </w:pPr>
            <w:r>
              <w:rPr>
                <w:rFonts w:ascii="宋体" w:hAnsi="宋体" w:eastAsia="宋体"/>
                <w:b w:val="0"/>
                <w:sz w:val="17"/>
              </w:rPr>
              <w:t>1.14e-06</w:t>
            </w:r>
          </w:p>
        </w:tc>
        <w:tc>
          <w:tcPr>
            <w:tcW w:type="dxa" w:w="1312"/>
          </w:tcPr>
          <w:p>
            <w:pPr>
              <w:jc w:val="center"/>
            </w:pPr>
            <w:r>
              <w:rPr>
                <w:rFonts w:ascii="宋体" w:hAnsi="宋体" w:eastAsia="宋体"/>
                <w:b w:val="0"/>
                <w:sz w:val="17"/>
              </w:rPr>
              <w:t>0.00e+00</w:t>
            </w:r>
          </w:p>
        </w:tc>
        <w:tc>
          <w:tcPr>
            <w:tcW w:type="dxa" w:w="1312"/>
          </w:tcPr>
          <w:p>
            <w:pPr>
              <w:jc w:val="center"/>
            </w:pPr>
            <w:r>
              <w:rPr>
                <w:rFonts w:ascii="宋体" w:hAnsi="宋体" w:eastAsia="宋体"/>
                <w:b w:val="0"/>
                <w:sz w:val="17"/>
              </w:rPr>
              <w:t>0</w:t>
            </w:r>
          </w:p>
        </w:tc>
        <w:tc>
          <w:tcPr>
            <w:tcW w:type="dxa" w:w="1312"/>
          </w:tcPr>
          <w:p>
            <w:pPr>
              <w:jc w:val="center"/>
            </w:pPr>
            <w:r>
              <w:rPr>
                <w:rFonts w:ascii="宋体" w:hAnsi="宋体" w:eastAsia="宋体"/>
                <w:b w:val="0"/>
                <w:sz w:val="17"/>
              </w:rPr>
              <w:t>2.98e-08</w:t>
            </w:r>
          </w:p>
        </w:tc>
        <w:tc>
          <w:tcPr>
            <w:tcW w:type="dxa" w:w="1312"/>
          </w:tcPr>
          <w:p>
            <w:pPr>
              <w:jc w:val="center"/>
            </w:pPr>
            <w:r>
              <w:rPr>
                <w:rFonts w:ascii="宋体" w:hAnsi="宋体" w:eastAsia="宋体"/>
                <w:b w:val="0"/>
                <w:sz w:val="17"/>
              </w:rPr>
              <w:t>0</w:t>
            </w:r>
          </w:p>
        </w:tc>
      </w:tr>
      <w:tr>
        <w:tc>
          <w:tcPr>
            <w:tcW w:type="dxa" w:w="1312"/>
          </w:tcPr>
          <w:p>
            <w:pPr>
              <w:jc w:val="center"/>
            </w:pPr>
            <w:r>
              <w:rPr>
                <w:rFonts w:ascii="宋体" w:hAnsi="宋体" w:eastAsia="宋体"/>
                <w:b w:val="0"/>
                <w:sz w:val="17"/>
              </w:rPr>
              <w:t>20260728</w:t>
            </w:r>
          </w:p>
        </w:tc>
        <w:tc>
          <w:tcPr>
            <w:tcW w:type="dxa" w:w="1312"/>
          </w:tcPr>
          <w:p>
            <w:pPr>
              <w:jc w:val="center"/>
            </w:pPr>
            <w:r>
              <w:rPr>
                <w:rFonts w:ascii="宋体" w:hAnsi="宋体" w:eastAsia="宋体"/>
                <w:b w:val="0"/>
                <w:sz w:val="17"/>
              </w:rPr>
              <w:t>1284</w:t>
            </w:r>
          </w:p>
        </w:tc>
        <w:tc>
          <w:tcPr>
            <w:tcW w:type="dxa" w:w="1312"/>
          </w:tcPr>
          <w:p>
            <w:pPr>
              <w:jc w:val="center"/>
            </w:pPr>
            <w:r>
              <w:rPr>
                <w:rFonts w:ascii="宋体" w:hAnsi="宋体" w:eastAsia="宋体"/>
                <w:b w:val="0"/>
                <w:sz w:val="17"/>
              </w:rPr>
              <w:t>1.19e-07</w:t>
            </w:r>
          </w:p>
        </w:tc>
        <w:tc>
          <w:tcPr>
            <w:tcW w:type="dxa" w:w="1312"/>
          </w:tcPr>
          <w:p>
            <w:pPr>
              <w:jc w:val="center"/>
            </w:pPr>
            <w:r>
              <w:rPr>
                <w:rFonts w:ascii="宋体" w:hAnsi="宋体" w:eastAsia="宋体"/>
                <w:b w:val="0"/>
                <w:sz w:val="17"/>
              </w:rPr>
              <w:t>0.00e+00</w:t>
            </w:r>
          </w:p>
        </w:tc>
        <w:tc>
          <w:tcPr>
            <w:tcW w:type="dxa" w:w="1312"/>
          </w:tcPr>
          <w:p>
            <w:pPr>
              <w:jc w:val="center"/>
            </w:pPr>
            <w:r>
              <w:rPr>
                <w:rFonts w:ascii="宋体" w:hAnsi="宋体" w:eastAsia="宋体"/>
                <w:b w:val="0"/>
                <w:sz w:val="17"/>
              </w:rPr>
              <w:t>0</w:t>
            </w:r>
          </w:p>
        </w:tc>
        <w:tc>
          <w:tcPr>
            <w:tcW w:type="dxa" w:w="1312"/>
          </w:tcPr>
          <w:p>
            <w:pPr>
              <w:jc w:val="center"/>
            </w:pPr>
            <w:r>
              <w:rPr>
                <w:rFonts w:ascii="宋体" w:hAnsi="宋体" w:eastAsia="宋体"/>
                <w:b w:val="0"/>
                <w:sz w:val="17"/>
              </w:rPr>
              <w:t>5.67e-08</w:t>
            </w:r>
          </w:p>
        </w:tc>
        <w:tc>
          <w:tcPr>
            <w:tcW w:type="dxa" w:w="1312"/>
          </w:tcPr>
          <w:p>
            <w:pPr>
              <w:jc w:val="center"/>
            </w:pPr>
            <w:r>
              <w:rPr>
                <w:rFonts w:ascii="宋体" w:hAnsi="宋体" w:eastAsia="宋体"/>
                <w:b w:val="0"/>
                <w:sz w:val="17"/>
              </w:rPr>
              <w:t>0</w:t>
            </w:r>
          </w:p>
        </w:tc>
      </w:tr>
      <w:tr>
        <w:tc>
          <w:tcPr>
            <w:tcW w:type="dxa" w:w="1312"/>
          </w:tcPr>
          <w:p>
            <w:pPr>
              <w:jc w:val="center"/>
            </w:pPr>
            <w:r>
              <w:rPr>
                <w:rFonts w:ascii="宋体" w:hAnsi="宋体" w:eastAsia="宋体"/>
                <w:b w:val="0"/>
                <w:sz w:val="17"/>
              </w:rPr>
              <w:t>20260729</w:t>
            </w:r>
          </w:p>
        </w:tc>
        <w:tc>
          <w:tcPr>
            <w:tcW w:type="dxa" w:w="1312"/>
          </w:tcPr>
          <w:p>
            <w:pPr>
              <w:jc w:val="center"/>
            </w:pPr>
            <w:r>
              <w:rPr>
                <w:rFonts w:ascii="宋体" w:hAnsi="宋体" w:eastAsia="宋体"/>
                <w:b w:val="0"/>
                <w:sz w:val="17"/>
              </w:rPr>
              <w:t>1284</w:t>
            </w:r>
          </w:p>
        </w:tc>
        <w:tc>
          <w:tcPr>
            <w:tcW w:type="dxa" w:w="1312"/>
          </w:tcPr>
          <w:p>
            <w:pPr>
              <w:jc w:val="center"/>
            </w:pPr>
            <w:r>
              <w:rPr>
                <w:rFonts w:ascii="宋体" w:hAnsi="宋体" w:eastAsia="宋体"/>
                <w:b w:val="0"/>
                <w:sz w:val="17"/>
              </w:rPr>
              <w:t>1.31e-07</w:t>
            </w:r>
          </w:p>
        </w:tc>
        <w:tc>
          <w:tcPr>
            <w:tcW w:type="dxa" w:w="1312"/>
          </w:tcPr>
          <w:p>
            <w:pPr>
              <w:jc w:val="center"/>
            </w:pPr>
            <w:r>
              <w:rPr>
                <w:rFonts w:ascii="宋体" w:hAnsi="宋体" w:eastAsia="宋体"/>
                <w:b w:val="0"/>
                <w:sz w:val="17"/>
              </w:rPr>
              <w:t>0.00e+00</w:t>
            </w:r>
          </w:p>
        </w:tc>
        <w:tc>
          <w:tcPr>
            <w:tcW w:type="dxa" w:w="1312"/>
          </w:tcPr>
          <w:p>
            <w:pPr>
              <w:jc w:val="center"/>
            </w:pPr>
            <w:r>
              <w:rPr>
                <w:rFonts w:ascii="宋体" w:hAnsi="宋体" w:eastAsia="宋体"/>
                <w:b w:val="0"/>
                <w:sz w:val="17"/>
              </w:rPr>
              <w:t>0</w:t>
            </w:r>
          </w:p>
        </w:tc>
        <w:tc>
          <w:tcPr>
            <w:tcW w:type="dxa" w:w="1312"/>
          </w:tcPr>
          <w:p>
            <w:pPr>
              <w:jc w:val="center"/>
            </w:pPr>
            <w:r>
              <w:rPr>
                <w:rFonts w:ascii="宋体" w:hAnsi="宋体" w:eastAsia="宋体"/>
                <w:b w:val="0"/>
                <w:sz w:val="17"/>
              </w:rPr>
              <w:t>5.24e-08</w:t>
            </w:r>
          </w:p>
        </w:tc>
        <w:tc>
          <w:tcPr>
            <w:tcW w:type="dxa" w:w="1312"/>
          </w:tcPr>
          <w:p>
            <w:pPr>
              <w:jc w:val="center"/>
            </w:pPr>
            <w:r>
              <w:rPr>
                <w:rFonts w:ascii="宋体" w:hAnsi="宋体" w:eastAsia="宋体"/>
                <w:b w:val="0"/>
                <w:sz w:val="17"/>
              </w:rPr>
              <w:t>0</w:t>
            </w:r>
          </w:p>
        </w:tc>
      </w:tr>
    </w:tbl>
    <w:p/>
    <w:p>
      <w:pPr>
        <w:spacing w:line="360" w:lineRule="auto"/>
      </w:pPr>
      <w:r>
        <w:rPr>
          <w:rFonts w:ascii="宋体" w:hAnsi="宋体" w:eastAsia="宋体"/>
          <w:sz w:val="21"/>
        </w:rPr>
        <w:t>共 3 次、3852 张图像；采用 float32 概率下界 1.19e-07 和数值容差 2.00e-06。B.1 最大残差为 0.00e+00、B.1 违反数为 0；B.2 最大残差为 5.67e-08、B.2 违反数为 0。这说明 B.1 与 B.2 的数值关系也在 ResNet50 的高精度输出上成立。</w:t>
      </w:r>
    </w:p>
    <w:p>
      <w:pPr>
        <w:spacing w:line="360" w:lineRule="auto"/>
      </w:pPr>
      <w:r>
        <w:rPr>
          <w:rFonts w:ascii="宋体" w:hAnsi="宋体" w:eastAsia="宋体"/>
          <w:sz w:val="21"/>
        </w:rPr>
        <w:t>该结果补强的是主干替换不变性命题的公式实现证据，不构成新的分类性能实验，不推出任意视觉主干上的性能提升，也不构成工业分选、品位、回收率、元素含量、外部泛化或未知矿物拒识结论。</w:t>
      </w:r>
    </w:p>
    <w:p>
      <w:pPr>
        <w:pStyle w:val="21"/>
      </w:pPr>
      <w:r>
        <w:t>H.5 门控可靠性分层诊断</w:t>
      </w:r>
    </w:p>
    <w:p>
      <w:pPr>
        <w:spacing w:line="360" w:lineRule="auto"/>
      </w:pPr>
      <w:r>
        <w:rPr>
          <w:rFonts w:ascii="宋体" w:hAnsi="宋体" w:eastAsia="宋体"/>
          <w:sz w:val="21"/>
        </w:rPr>
        <w:t>在定理 B.1 中，对每张图像取局部下界 epsilon_i=min(a_i,b_i)，即可得到不弱于统一 float32 下界的逐图推论：路由后悔不超过 |g_i-g_{o,i}| |a_i-b_i| / epsilon_i。为避免把这一推论仅作为符号公式，本节按该局部上界的排序三分位数汇总实际路由后悔；同时按专家真值概率对数差 |log a_i-log b_i| 的排序三分位数汇总 B.2 的软目标偏差及其指数界。</w:t>
      </w:r>
    </w:p>
    <w:tbl>
      <w:tblPr>
        <w:tblStyle w:val="aff1"/>
        <w:tblW w:type="auto" w:w="0"/>
        <w:tblLook w:firstColumn="1" w:firstRow="1" w:lastColumn="0" w:lastRow="0" w:noHBand="0" w:noVBand="1" w:val="04A0"/>
      </w:tblPr>
      <w:tblGrid>
        <w:gridCol w:w="1312"/>
        <w:gridCol w:w="1312"/>
        <w:gridCol w:w="1312"/>
        <w:gridCol w:w="1312"/>
        <w:gridCol w:w="1312"/>
        <w:gridCol w:w="1312"/>
        <w:gridCol w:w="1312"/>
      </w:tblGrid>
      <w:tr>
        <w:tc>
          <w:tcPr>
            <w:tcW w:type="dxa" w:w="1312"/>
          </w:tcPr>
          <w:p>
            <w:pPr>
              <w:jc w:val="center"/>
            </w:pPr>
            <w:r>
              <w:rPr>
                <w:rFonts w:ascii="宋体" w:hAnsi="宋体" w:eastAsia="宋体"/>
                <w:b/>
                <w:sz w:val="17"/>
              </w:rPr>
              <w:t>协议</w:t>
            </w:r>
          </w:p>
        </w:tc>
        <w:tc>
          <w:tcPr>
            <w:tcW w:type="dxa" w:w="1312"/>
          </w:tcPr>
          <w:p>
            <w:pPr>
              <w:jc w:val="center"/>
            </w:pPr>
            <w:r>
              <w:rPr>
                <w:rFonts w:ascii="宋体" w:hAnsi="宋体" w:eastAsia="宋体"/>
                <w:b/>
                <w:sz w:val="17"/>
              </w:rPr>
              <w:t>图像数</w:t>
            </w:r>
          </w:p>
        </w:tc>
        <w:tc>
          <w:tcPr>
            <w:tcW w:type="dxa" w:w="1312"/>
          </w:tcPr>
          <w:p>
            <w:pPr>
              <w:jc w:val="center"/>
            </w:pPr>
            <w:r>
              <w:rPr>
                <w:rFonts w:ascii="宋体" w:hAnsi="宋体" w:eastAsia="宋体"/>
                <w:b/>
                <w:sz w:val="17"/>
              </w:rPr>
              <w:t>平均路由后悔</w:t>
            </w:r>
          </w:p>
        </w:tc>
        <w:tc>
          <w:tcPr>
            <w:tcW w:type="dxa" w:w="1312"/>
          </w:tcPr>
          <w:p>
            <w:pPr>
              <w:jc w:val="center"/>
            </w:pPr>
            <w:r>
              <w:rPr>
                <w:rFonts w:ascii="宋体" w:hAnsi="宋体" w:eastAsia="宋体"/>
                <w:b/>
                <w:sz w:val="17"/>
              </w:rPr>
              <w:t>平均局部 B.1 上界</w:t>
            </w:r>
          </w:p>
        </w:tc>
        <w:tc>
          <w:tcPr>
            <w:tcW w:type="dxa" w:w="1312"/>
          </w:tcPr>
          <w:p>
            <w:pPr>
              <w:jc w:val="center"/>
            </w:pPr>
            <w:r>
              <w:rPr>
                <w:rFonts w:ascii="宋体" w:hAnsi="宋体" w:eastAsia="宋体"/>
                <w:b/>
                <w:sz w:val="17"/>
              </w:rPr>
              <w:t>平均软硬偏差</w:t>
            </w:r>
          </w:p>
        </w:tc>
        <w:tc>
          <w:tcPr>
            <w:tcW w:type="dxa" w:w="1312"/>
          </w:tcPr>
          <w:p>
            <w:pPr>
              <w:jc w:val="center"/>
            </w:pPr>
            <w:r>
              <w:rPr>
                <w:rFonts w:ascii="宋体" w:hAnsi="宋体" w:eastAsia="宋体"/>
                <w:b/>
                <w:sz w:val="17"/>
              </w:rPr>
              <w:t>平均 B.2 指数界</w:t>
            </w:r>
          </w:p>
        </w:tc>
        <w:tc>
          <w:tcPr>
            <w:tcW w:type="dxa" w:w="1312"/>
          </w:tcPr>
          <w:p>
            <w:pPr>
              <w:jc w:val="center"/>
            </w:pPr>
            <w:r>
              <w:rPr>
                <w:rFonts w:ascii="宋体" w:hAnsi="宋体" w:eastAsia="宋体"/>
                <w:b/>
                <w:sz w:val="17"/>
              </w:rPr>
              <w:t>B.1 / B.2 违反数</w:t>
            </w:r>
          </w:p>
        </w:tc>
      </w:tr>
      <w:tr>
        <w:tc>
          <w:tcPr>
            <w:tcW w:type="dxa" w:w="1312"/>
          </w:tcPr>
          <w:p>
            <w:pPr>
              <w:jc w:val="center"/>
            </w:pPr>
            <w:r>
              <w:rPr>
                <w:rFonts w:ascii="宋体" w:hAnsi="宋体" w:eastAsia="宋体"/>
                <w:b w:val="0"/>
                <w:sz w:val="17"/>
              </w:rPr>
              <w:t>固定测试</w:t>
            </w:r>
          </w:p>
        </w:tc>
        <w:tc>
          <w:tcPr>
            <w:tcW w:type="dxa" w:w="1312"/>
          </w:tcPr>
          <w:p>
            <w:pPr>
              <w:jc w:val="center"/>
            </w:pPr>
            <w:r>
              <w:rPr>
                <w:rFonts w:ascii="宋体" w:hAnsi="宋体" w:eastAsia="宋体"/>
                <w:b w:val="0"/>
                <w:sz w:val="17"/>
              </w:rPr>
              <w:t>3852</w:t>
            </w:r>
          </w:p>
        </w:tc>
        <w:tc>
          <w:tcPr>
            <w:tcW w:type="dxa" w:w="1312"/>
          </w:tcPr>
          <w:p>
            <w:pPr>
              <w:jc w:val="center"/>
            </w:pPr>
            <w:r>
              <w:rPr>
                <w:rFonts w:ascii="宋体" w:hAnsi="宋体" w:eastAsia="宋体"/>
                <w:b w:val="0"/>
                <w:sz w:val="17"/>
              </w:rPr>
              <w:t>8.09%</w:t>
            </w:r>
          </w:p>
        </w:tc>
        <w:tc>
          <w:tcPr>
            <w:tcW w:type="dxa" w:w="1312"/>
          </w:tcPr>
          <w:p>
            <w:pPr>
              <w:jc w:val="center"/>
            </w:pPr>
            <w:r>
              <w:rPr>
                <w:rFonts w:ascii="宋体" w:hAnsi="宋体" w:eastAsia="宋体"/>
                <w:b w:val="0"/>
                <w:sz w:val="17"/>
              </w:rPr>
              <w:t>23.33%</w:t>
            </w:r>
          </w:p>
        </w:tc>
        <w:tc>
          <w:tcPr>
            <w:tcW w:type="dxa" w:w="1312"/>
          </w:tcPr>
          <w:p>
            <w:pPr>
              <w:jc w:val="center"/>
            </w:pPr>
            <w:r>
              <w:rPr>
                <w:rFonts w:ascii="宋体" w:hAnsi="宋体" w:eastAsia="宋体"/>
                <w:b w:val="0"/>
                <w:sz w:val="17"/>
              </w:rPr>
              <w:t>0.366</w:t>
            </w:r>
          </w:p>
        </w:tc>
        <w:tc>
          <w:tcPr>
            <w:tcW w:type="dxa" w:w="1312"/>
          </w:tcPr>
          <w:p>
            <w:pPr>
              <w:jc w:val="center"/>
            </w:pPr>
            <w:r>
              <w:rPr>
                <w:rFonts w:ascii="宋体" w:hAnsi="宋体" w:eastAsia="宋体"/>
                <w:b w:val="0"/>
                <w:sz w:val="17"/>
              </w:rPr>
              <w:t>0.681</w:t>
            </w:r>
          </w:p>
        </w:tc>
        <w:tc>
          <w:tcPr>
            <w:tcW w:type="dxa" w:w="1312"/>
          </w:tcPr>
          <w:p>
            <w:pPr>
              <w:jc w:val="center"/>
            </w:pPr>
            <w:r>
              <w:rPr>
                <w:rFonts w:ascii="宋体" w:hAnsi="宋体" w:eastAsia="宋体"/>
                <w:b w:val="0"/>
                <w:sz w:val="17"/>
              </w:rPr>
              <w:t>0 / 0</w:t>
            </w:r>
          </w:p>
        </w:tc>
      </w:tr>
      <w:tr>
        <w:tc>
          <w:tcPr>
            <w:tcW w:type="dxa" w:w="1312"/>
          </w:tcPr>
          <w:p>
            <w:pPr>
              <w:jc w:val="center"/>
            </w:pPr>
            <w:r>
              <w:rPr>
                <w:rFonts w:ascii="宋体" w:hAnsi="宋体" w:eastAsia="宋体"/>
                <w:b w:val="0"/>
                <w:sz w:val="17"/>
              </w:rPr>
              <w:t>摄影者留出</w:t>
            </w:r>
          </w:p>
        </w:tc>
        <w:tc>
          <w:tcPr>
            <w:tcW w:type="dxa" w:w="1312"/>
          </w:tcPr>
          <w:p>
            <w:pPr>
              <w:jc w:val="center"/>
            </w:pPr>
            <w:r>
              <w:rPr>
                <w:rFonts w:ascii="宋体" w:hAnsi="宋体" w:eastAsia="宋体"/>
                <w:b w:val="0"/>
                <w:sz w:val="17"/>
              </w:rPr>
              <w:t>2538</w:t>
            </w:r>
          </w:p>
        </w:tc>
        <w:tc>
          <w:tcPr>
            <w:tcW w:type="dxa" w:w="1312"/>
          </w:tcPr>
          <w:p>
            <w:pPr>
              <w:jc w:val="center"/>
            </w:pPr>
            <w:r>
              <w:rPr>
                <w:rFonts w:ascii="宋体" w:hAnsi="宋体" w:eastAsia="宋体"/>
                <w:b w:val="0"/>
                <w:sz w:val="17"/>
              </w:rPr>
              <w:t>8.24%</w:t>
            </w:r>
          </w:p>
        </w:tc>
        <w:tc>
          <w:tcPr>
            <w:tcW w:type="dxa" w:w="1312"/>
          </w:tcPr>
          <w:p>
            <w:pPr>
              <w:jc w:val="center"/>
            </w:pPr>
            <w:r>
              <w:rPr>
                <w:rFonts w:ascii="宋体" w:hAnsi="宋体" w:eastAsia="宋体"/>
                <w:b w:val="0"/>
                <w:sz w:val="17"/>
              </w:rPr>
              <w:t>20.69%</w:t>
            </w:r>
          </w:p>
        </w:tc>
        <w:tc>
          <w:tcPr>
            <w:tcW w:type="dxa" w:w="1312"/>
          </w:tcPr>
          <w:p>
            <w:pPr>
              <w:jc w:val="center"/>
            </w:pPr>
            <w:r>
              <w:rPr>
                <w:rFonts w:ascii="宋体" w:hAnsi="宋体" w:eastAsia="宋体"/>
                <w:b w:val="0"/>
                <w:sz w:val="17"/>
              </w:rPr>
              <w:t>0.355</w:t>
            </w:r>
          </w:p>
        </w:tc>
        <w:tc>
          <w:tcPr>
            <w:tcW w:type="dxa" w:w="1312"/>
          </w:tcPr>
          <w:p>
            <w:pPr>
              <w:jc w:val="center"/>
            </w:pPr>
            <w:r>
              <w:rPr>
                <w:rFonts w:ascii="宋体" w:hAnsi="宋体" w:eastAsia="宋体"/>
                <w:b w:val="0"/>
                <w:sz w:val="17"/>
              </w:rPr>
              <w:t>0.645</w:t>
            </w:r>
          </w:p>
        </w:tc>
        <w:tc>
          <w:tcPr>
            <w:tcW w:type="dxa" w:w="1312"/>
          </w:tcPr>
          <w:p>
            <w:pPr>
              <w:jc w:val="center"/>
            </w:pPr>
            <w:r>
              <w:rPr>
                <w:rFonts w:ascii="宋体" w:hAnsi="宋体" w:eastAsia="宋体"/>
                <w:b w:val="0"/>
                <w:sz w:val="17"/>
              </w:rPr>
              <w:t>0 / 0</w:t>
            </w:r>
          </w:p>
        </w:tc>
      </w:tr>
      <w:tr>
        <w:tc>
          <w:tcPr>
            <w:tcW w:type="dxa" w:w="1312"/>
          </w:tcPr>
          <w:p>
            <w:pPr>
              <w:jc w:val="center"/>
            </w:pPr>
            <w:r>
              <w:rPr>
                <w:rFonts w:ascii="宋体" w:hAnsi="宋体" w:eastAsia="宋体"/>
                <w:b w:val="0"/>
                <w:sz w:val="17"/>
              </w:rPr>
              <w:t>ResNet50 跨主干</w:t>
            </w:r>
          </w:p>
        </w:tc>
        <w:tc>
          <w:tcPr>
            <w:tcW w:type="dxa" w:w="1312"/>
          </w:tcPr>
          <w:p>
            <w:pPr>
              <w:jc w:val="center"/>
            </w:pPr>
            <w:r>
              <w:rPr>
                <w:rFonts w:ascii="宋体" w:hAnsi="宋体" w:eastAsia="宋体"/>
                <w:b w:val="0"/>
                <w:sz w:val="17"/>
              </w:rPr>
              <w:t>3852</w:t>
            </w:r>
          </w:p>
        </w:tc>
        <w:tc>
          <w:tcPr>
            <w:tcW w:type="dxa" w:w="1312"/>
          </w:tcPr>
          <w:p>
            <w:pPr>
              <w:jc w:val="center"/>
            </w:pPr>
            <w:r>
              <w:rPr>
                <w:rFonts w:ascii="宋体" w:hAnsi="宋体" w:eastAsia="宋体"/>
                <w:b w:val="0"/>
                <w:sz w:val="17"/>
              </w:rPr>
              <w:t>8.51%</w:t>
            </w:r>
          </w:p>
        </w:tc>
        <w:tc>
          <w:tcPr>
            <w:tcW w:type="dxa" w:w="1312"/>
          </w:tcPr>
          <w:p>
            <w:pPr>
              <w:jc w:val="center"/>
            </w:pPr>
            <w:r>
              <w:rPr>
                <w:rFonts w:ascii="宋体" w:hAnsi="宋体" w:eastAsia="宋体"/>
                <w:b w:val="0"/>
                <w:sz w:val="17"/>
              </w:rPr>
              <w:t>36.07%</w:t>
            </w:r>
          </w:p>
        </w:tc>
        <w:tc>
          <w:tcPr>
            <w:tcW w:type="dxa" w:w="1312"/>
          </w:tcPr>
          <w:p>
            <w:pPr>
              <w:jc w:val="center"/>
            </w:pPr>
            <w:r>
              <w:rPr>
                <w:rFonts w:ascii="宋体" w:hAnsi="宋体" w:eastAsia="宋体"/>
                <w:b w:val="0"/>
                <w:sz w:val="17"/>
              </w:rPr>
              <w:t>0.373</w:t>
            </w:r>
          </w:p>
        </w:tc>
        <w:tc>
          <w:tcPr>
            <w:tcW w:type="dxa" w:w="1312"/>
          </w:tcPr>
          <w:p>
            <w:pPr>
              <w:jc w:val="center"/>
            </w:pPr>
            <w:r>
              <w:rPr>
                <w:rFonts w:ascii="宋体" w:hAnsi="宋体" w:eastAsia="宋体"/>
                <w:b w:val="0"/>
                <w:sz w:val="17"/>
              </w:rPr>
              <w:t>0.706</w:t>
            </w:r>
          </w:p>
        </w:tc>
        <w:tc>
          <w:tcPr>
            <w:tcW w:type="dxa" w:w="1312"/>
          </w:tcPr>
          <w:p>
            <w:pPr>
              <w:jc w:val="center"/>
            </w:pPr>
            <w:r>
              <w:rPr>
                <w:rFonts w:ascii="宋体" w:hAnsi="宋体" w:eastAsia="宋体"/>
                <w:b w:val="0"/>
                <w:sz w:val="17"/>
              </w:rPr>
              <w:t>0 / 0</w:t>
            </w:r>
          </w:p>
        </w:tc>
      </w:tr>
    </w:tbl>
    <w:p/>
    <w:p>
      <w:pPr>
        <w:jc w:val="center"/>
      </w:pPr>
      <w:r>
        <w:drawing>
          <wp:inline xmlns:a="http://schemas.openxmlformats.org/drawingml/2006/main" xmlns:pic="http://schemas.openxmlformats.org/drawingml/2006/picture">
            <wp:extent cx="5688000" cy="2687111"/>
            <wp:docPr id="57" name="Picture 57"/>
            <wp:cNvGraphicFramePr>
              <a:graphicFrameLocks noChangeAspect="1"/>
            </wp:cNvGraphicFramePr>
            <a:graphic>
              <a:graphicData uri="http://schemas.openxmlformats.org/drawingml/2006/picture">
                <pic:pic>
                  <pic:nvPicPr>
                    <pic:cNvPr id="0" name="fig_rsg_gate_reliability.png"/>
                    <pic:cNvPicPr/>
                  </pic:nvPicPr>
                  <pic:blipFill>
                    <a:blip r:embed="rId68"/>
                    <a:stretch>
                      <a:fillRect/>
                    </a:stretch>
                  </pic:blipFill>
                  <pic:spPr>
                    <a:xfrm>
                      <a:off x="0" y="0"/>
                      <a:ext cx="5688000" cy="2687111"/>
                    </a:xfrm>
                    <a:prstGeom prst="rect"/>
                  </pic:spPr>
                </pic:pic>
              </a:graphicData>
            </a:graphic>
          </wp:inline>
        </w:drawing>
      </w:r>
    </w:p>
    <w:p>
      <w:pPr>
        <w:pStyle w:val="af7"/>
        <w:jc w:val="center"/>
      </w:pPr>
      <w:r>
        <w:rPr>
          <w:rFonts w:ascii="宋体" w:hAnsi="宋体" w:eastAsia="宋体"/>
          <w:sz w:val="19"/>
        </w:rPr>
        <w:t>图 24 RSG-HRGV 门控可靠性分层诊断：局部 B.1 上界与 B.2 指数界</w:t>
      </w:r>
    </w:p>
    <w:p>
      <w:pPr>
        <w:spacing w:line="360" w:lineRule="auto"/>
      </w:pPr>
      <w:r>
        <w:rPr>
          <w:rFonts w:ascii="宋体" w:hAnsi="宋体" w:eastAsia="宋体"/>
          <w:sz w:val="21"/>
        </w:rPr>
        <w:t>高精度重放共覆盖 9 次、10,242 张图像。三种协议中，按局部 B.1 上界从低到高分层后，平均路由后悔同步升高；按专家证据差距从低到高分层后，软目标对硬最优门控的平均偏差下降，且各层 B.1 与 B.2 的违反数均为 0。这些现象与定理的条件性方向一致，但本节只是机制诊断，不替代 Accuracy、Macro F1 或工业指标的比较。</w:t>
      </w:r>
    </w:p>
    <w:p>
      <w:pPr>
        <w:spacing w:line="360" w:lineRule="auto"/>
      </w:pPr>
      <w:r>
        <w:rPr>
          <w:rFonts w:ascii="宋体" w:hAnsi="宋体" w:eastAsia="宋体"/>
          <w:sz w:val="21"/>
        </w:rPr>
        <w:t>证据边界：局部 epsilon_i 推论和分层曲线用于解释已训练模型的门控行为，不构成新增训练或新的分类性能实验；不得据此宣称工业分选、品位、回收率、元素含量、真实外部泛化或未知矿物拒识能力。</w:t>
      </w:r>
    </w:p>
    <w:p>
      <w:pPr>
        <w:pStyle w:val="21"/>
      </w:pPr>
      <w:r>
        <w:t>H.6 凸融合路由后悔精确分解的数值验证</w:t>
      </w:r>
    </w:p>
    <w:p>
      <w:pPr>
        <w:spacing w:line="360" w:lineRule="auto"/>
      </w:pPr>
      <w:r>
        <w:rPr>
          <w:rFonts w:ascii="宋体" w:hAnsi="宋体" w:eastAsia="宋体"/>
          <w:sz w:val="21"/>
        </w:rPr>
        <w:t>令 a、b 分别为直接角色专家和种类映射专家在真实角色上的概率，M=max(a,b)，d=|a-b|，delta=|g-g_o|。在两专家凸融合下，融合真值类概率与路由后悔满足 p_g=M-delta d 和 r=-log(1-delta d/M)。这是一条针对当前计算图的精确恒等式：门控偏离和专家概率差距的乘积给出相对更优专家的概率损失，随后经对数变换得到路由后悔。</w:t>
      </w:r>
    </w:p>
    <w:tbl>
      <w:tblPr>
        <w:tblStyle w:val="aff1"/>
        <w:tblW w:type="auto" w:w="0"/>
        <w:tblLook w:firstColumn="1" w:firstRow="1" w:lastColumn="0" w:lastRow="0" w:noHBand="0" w:noVBand="1" w:val="04A0"/>
      </w:tblPr>
      <w:tblGrid>
        <w:gridCol w:w="1837"/>
        <w:gridCol w:w="1837"/>
        <w:gridCol w:w="1837"/>
        <w:gridCol w:w="1837"/>
        <w:gridCol w:w="1837"/>
      </w:tblGrid>
      <w:tr>
        <w:tc>
          <w:tcPr>
            <w:tcW w:type="dxa" w:w="1837"/>
          </w:tcPr>
          <w:p>
            <w:pPr>
              <w:jc w:val="center"/>
            </w:pPr>
            <w:r>
              <w:rPr>
                <w:rFonts w:ascii="宋体" w:hAnsi="宋体" w:eastAsia="宋体"/>
                <w:b/>
                <w:sz w:val="17"/>
              </w:rPr>
              <w:t>协议</w:t>
            </w:r>
          </w:p>
        </w:tc>
        <w:tc>
          <w:tcPr>
            <w:tcW w:type="dxa" w:w="1837"/>
          </w:tcPr>
          <w:p>
            <w:pPr>
              <w:jc w:val="center"/>
            </w:pPr>
            <w:r>
              <w:rPr>
                <w:rFonts w:ascii="宋体" w:hAnsi="宋体" w:eastAsia="宋体"/>
                <w:b/>
                <w:sz w:val="17"/>
              </w:rPr>
              <w:t>图像数</w:t>
            </w:r>
          </w:p>
        </w:tc>
        <w:tc>
          <w:tcPr>
            <w:tcW w:type="dxa" w:w="1837"/>
          </w:tcPr>
          <w:p>
            <w:pPr>
              <w:jc w:val="center"/>
            </w:pPr>
            <w:r>
              <w:rPr>
                <w:rFonts w:ascii="宋体" w:hAnsi="宋体" w:eastAsia="宋体"/>
                <w:b/>
                <w:sz w:val="17"/>
              </w:rPr>
              <w:t>平均绝对残差</w:t>
            </w:r>
          </w:p>
        </w:tc>
        <w:tc>
          <w:tcPr>
            <w:tcW w:type="dxa" w:w="1837"/>
          </w:tcPr>
          <w:p>
            <w:pPr>
              <w:jc w:val="center"/>
            </w:pPr>
            <w:r>
              <w:rPr>
                <w:rFonts w:ascii="宋体" w:hAnsi="宋体" w:eastAsia="宋体"/>
                <w:b/>
                <w:sz w:val="17"/>
              </w:rPr>
              <w:t>最大绝对残差</w:t>
            </w:r>
          </w:p>
        </w:tc>
        <w:tc>
          <w:tcPr>
            <w:tcW w:type="dxa" w:w="1837"/>
          </w:tcPr>
          <w:p>
            <w:pPr>
              <w:jc w:val="center"/>
            </w:pPr>
            <w:r>
              <w:rPr>
                <w:rFonts w:ascii="宋体" w:hAnsi="宋体" w:eastAsia="宋体"/>
                <w:b/>
                <w:sz w:val="17"/>
              </w:rPr>
              <w:t>违反数</w:t>
            </w:r>
          </w:p>
        </w:tc>
      </w:tr>
      <w:tr>
        <w:tc>
          <w:tcPr>
            <w:tcW w:type="dxa" w:w="1837"/>
          </w:tcPr>
          <w:p>
            <w:pPr>
              <w:jc w:val="center"/>
            </w:pPr>
            <w:r>
              <w:rPr>
                <w:rFonts w:ascii="宋体" w:hAnsi="宋体" w:eastAsia="宋体"/>
                <w:b w:val="0"/>
                <w:sz w:val="17"/>
              </w:rPr>
              <w:t>固定测试</w:t>
            </w:r>
          </w:p>
        </w:tc>
        <w:tc>
          <w:tcPr>
            <w:tcW w:type="dxa" w:w="1837"/>
          </w:tcPr>
          <w:p>
            <w:pPr>
              <w:jc w:val="center"/>
            </w:pPr>
            <w:r>
              <w:rPr>
                <w:rFonts w:ascii="宋体" w:hAnsi="宋体" w:eastAsia="宋体"/>
                <w:b w:val="0"/>
                <w:sz w:val="17"/>
              </w:rPr>
              <w:t>3852</w:t>
            </w:r>
          </w:p>
        </w:tc>
        <w:tc>
          <w:tcPr>
            <w:tcW w:type="dxa" w:w="1837"/>
          </w:tcPr>
          <w:p>
            <w:pPr>
              <w:jc w:val="center"/>
            </w:pPr>
            <w:r>
              <w:rPr>
                <w:rFonts w:ascii="宋体" w:hAnsi="宋体" w:eastAsia="宋体"/>
                <w:b w:val="0"/>
                <w:sz w:val="17"/>
              </w:rPr>
              <w:t>4.59e-08</w:t>
            </w:r>
          </w:p>
        </w:tc>
        <w:tc>
          <w:tcPr>
            <w:tcW w:type="dxa" w:w="1837"/>
          </w:tcPr>
          <w:p>
            <w:pPr>
              <w:jc w:val="center"/>
            </w:pPr>
            <w:r>
              <w:rPr>
                <w:rFonts w:ascii="宋体" w:hAnsi="宋体" w:eastAsia="宋体"/>
                <w:b w:val="0"/>
                <w:sz w:val="17"/>
              </w:rPr>
              <w:t>7.79e-07</w:t>
            </w:r>
          </w:p>
        </w:tc>
        <w:tc>
          <w:tcPr>
            <w:tcW w:type="dxa" w:w="1837"/>
          </w:tcPr>
          <w:p>
            <w:pPr>
              <w:jc w:val="center"/>
            </w:pPr>
            <w:r>
              <w:rPr>
                <w:rFonts w:ascii="宋体" w:hAnsi="宋体" w:eastAsia="宋体"/>
                <w:b w:val="0"/>
                <w:sz w:val="17"/>
              </w:rPr>
              <w:t>0</w:t>
            </w:r>
          </w:p>
        </w:tc>
      </w:tr>
      <w:tr>
        <w:tc>
          <w:tcPr>
            <w:tcW w:type="dxa" w:w="1837"/>
          </w:tcPr>
          <w:p>
            <w:pPr>
              <w:jc w:val="center"/>
            </w:pPr>
            <w:r>
              <w:rPr>
                <w:rFonts w:ascii="宋体" w:hAnsi="宋体" w:eastAsia="宋体"/>
                <w:b w:val="0"/>
                <w:sz w:val="17"/>
              </w:rPr>
              <w:t>摄影者留出</w:t>
            </w:r>
          </w:p>
        </w:tc>
        <w:tc>
          <w:tcPr>
            <w:tcW w:type="dxa" w:w="1837"/>
          </w:tcPr>
          <w:p>
            <w:pPr>
              <w:jc w:val="center"/>
            </w:pPr>
            <w:r>
              <w:rPr>
                <w:rFonts w:ascii="宋体" w:hAnsi="宋体" w:eastAsia="宋体"/>
                <w:b w:val="0"/>
                <w:sz w:val="17"/>
              </w:rPr>
              <w:t>2538</w:t>
            </w:r>
          </w:p>
        </w:tc>
        <w:tc>
          <w:tcPr>
            <w:tcW w:type="dxa" w:w="1837"/>
          </w:tcPr>
          <w:p>
            <w:pPr>
              <w:jc w:val="center"/>
            </w:pPr>
            <w:r>
              <w:rPr>
                <w:rFonts w:ascii="宋体" w:hAnsi="宋体" w:eastAsia="宋体"/>
                <w:b w:val="0"/>
                <w:sz w:val="17"/>
              </w:rPr>
              <w:t>4.61e-08</w:t>
            </w:r>
          </w:p>
        </w:tc>
        <w:tc>
          <w:tcPr>
            <w:tcW w:type="dxa" w:w="1837"/>
          </w:tcPr>
          <w:p>
            <w:pPr>
              <w:jc w:val="center"/>
            </w:pPr>
            <w:r>
              <w:rPr>
                <w:rFonts w:ascii="宋体" w:hAnsi="宋体" w:eastAsia="宋体"/>
                <w:b w:val="0"/>
                <w:sz w:val="17"/>
              </w:rPr>
              <w:t>7.67e-07</w:t>
            </w:r>
          </w:p>
        </w:tc>
        <w:tc>
          <w:tcPr>
            <w:tcW w:type="dxa" w:w="1837"/>
          </w:tcPr>
          <w:p>
            <w:pPr>
              <w:jc w:val="center"/>
            </w:pPr>
            <w:r>
              <w:rPr>
                <w:rFonts w:ascii="宋体" w:hAnsi="宋体" w:eastAsia="宋体"/>
                <w:b w:val="0"/>
                <w:sz w:val="17"/>
              </w:rPr>
              <w:t>0</w:t>
            </w:r>
          </w:p>
        </w:tc>
      </w:tr>
      <w:tr>
        <w:tc>
          <w:tcPr>
            <w:tcW w:type="dxa" w:w="1837"/>
          </w:tcPr>
          <w:p>
            <w:pPr>
              <w:jc w:val="center"/>
            </w:pPr>
            <w:r>
              <w:rPr>
                <w:rFonts w:ascii="宋体" w:hAnsi="宋体" w:eastAsia="宋体"/>
                <w:b w:val="0"/>
                <w:sz w:val="17"/>
              </w:rPr>
              <w:t>ResNet50 跨主干</w:t>
            </w:r>
          </w:p>
        </w:tc>
        <w:tc>
          <w:tcPr>
            <w:tcW w:type="dxa" w:w="1837"/>
          </w:tcPr>
          <w:p>
            <w:pPr>
              <w:jc w:val="center"/>
            </w:pPr>
            <w:r>
              <w:rPr>
                <w:rFonts w:ascii="宋体" w:hAnsi="宋体" w:eastAsia="宋体"/>
                <w:b w:val="0"/>
                <w:sz w:val="17"/>
              </w:rPr>
              <w:t>3852</w:t>
            </w:r>
          </w:p>
        </w:tc>
        <w:tc>
          <w:tcPr>
            <w:tcW w:type="dxa" w:w="1837"/>
          </w:tcPr>
          <w:p>
            <w:pPr>
              <w:jc w:val="center"/>
            </w:pPr>
            <w:r>
              <w:rPr>
                <w:rFonts w:ascii="宋体" w:hAnsi="宋体" w:eastAsia="宋体"/>
                <w:b w:val="0"/>
                <w:sz w:val="17"/>
              </w:rPr>
              <w:t>4.96e-08</w:t>
            </w:r>
          </w:p>
        </w:tc>
        <w:tc>
          <w:tcPr>
            <w:tcW w:type="dxa" w:w="1837"/>
          </w:tcPr>
          <w:p>
            <w:pPr>
              <w:jc w:val="center"/>
            </w:pPr>
            <w:r>
              <w:rPr>
                <w:rFonts w:ascii="宋体" w:hAnsi="宋体" w:eastAsia="宋体"/>
                <w:b w:val="0"/>
                <w:sz w:val="17"/>
              </w:rPr>
              <w:t>8.44e-07</w:t>
            </w:r>
          </w:p>
        </w:tc>
        <w:tc>
          <w:tcPr>
            <w:tcW w:type="dxa" w:w="1837"/>
          </w:tcPr>
          <w:p>
            <w:pPr>
              <w:jc w:val="center"/>
            </w:pPr>
            <w:r>
              <w:rPr>
                <w:rFonts w:ascii="宋体" w:hAnsi="宋体" w:eastAsia="宋体"/>
                <w:b w:val="0"/>
                <w:sz w:val="17"/>
              </w:rPr>
              <w:t>0</w:t>
            </w:r>
          </w:p>
        </w:tc>
      </w:tr>
    </w:tbl>
    <w:p/>
    <w:p>
      <w:pPr>
        <w:spacing w:line="360" w:lineRule="auto"/>
      </w:pPr>
      <w:r>
        <w:rPr>
          <w:rFonts w:ascii="宋体" w:hAnsi="宋体" w:eastAsia="宋体"/>
          <w:sz w:val="21"/>
        </w:rPr>
        <w:t>三种协议共覆盖 9 次、10,242 张图像。以 2.00e-06 为预设容差，精确分解的最大绝对残差为 8.44e-07，违反数为 0。非零残差来自 float32 概率和后悔值保存、再以十进制导出的有限精度，故这里的结论是容差内数值一致，而非数学意义上的零误差。</w:t>
      </w:r>
    </w:p>
    <w:p>
      <w:pPr>
        <w:spacing w:line="360" w:lineRule="auto"/>
      </w:pPr>
      <w:r>
        <w:rPr>
          <w:rFonts w:ascii="宋体" w:hAnsi="宋体" w:eastAsia="宋体"/>
          <w:sz w:val="21"/>
        </w:rPr>
        <w:t>该章节验证的是现有 RSG-HRGV 两专家凸融合的公式实现，不改变既有分类结果，也不构成 Accuracy、Macro F1、工业分选、品位、回收率、元素含量、真实外部泛化或未知矿物拒识能力的新增结论。</w:t>
      </w:r>
    </w:p>
    <w:p>
      <w:pPr>
        <w:pStyle w:val="21"/>
      </w:pPr>
      <w:r>
        <w:t>H.7 凸融合路由后悔的理论曲线</w:t>
      </w:r>
    </w:p>
    <w:p>
      <w:pPr>
        <w:spacing w:line="360" w:lineRule="auto"/>
      </w:pPr>
      <w:r>
        <w:rPr>
          <w:rFonts w:ascii="宋体" w:hAnsi="宋体" w:eastAsia="宋体"/>
          <w:sz w:val="21"/>
        </w:rPr>
        <w:t>为将 H.6 的逐图残差验证与公式机制对应起来，图 25 直接绘制两专家凸融合的解析理论曲线。令 u=delta d/M，其中 M=max(a,b)、d=|a-b|、delta=|g-g_o|，则路由后悔严格满足 r=-log(1-delta d/M)= -log(1-u)。因此，在当前两专家概率凸融合下，门控相对硬最优的偏离和专家真值类概率差距以乘积方式共同决定后悔；当 u 接近 0 时，r 与 u 近似线性，当 u 增大时对数变换使后悔加速上升。</w:t>
      </w:r>
    </w:p>
    <w:p>
      <w:pPr>
        <w:jc w:val="center"/>
      </w:pPr>
      <w:r>
        <w:drawing>
          <wp:inline xmlns:a="http://schemas.openxmlformats.org/drawingml/2006/main" xmlns:pic="http://schemas.openxmlformats.org/drawingml/2006/picture">
            <wp:extent cx="5688000" cy="3132582"/>
            <wp:docPr id="58" name="Picture 58"/>
            <wp:cNvGraphicFramePr>
              <a:graphicFrameLocks noChangeAspect="1"/>
            </wp:cNvGraphicFramePr>
            <a:graphic>
              <a:graphicData uri="http://schemas.openxmlformats.org/drawingml/2006/picture">
                <pic:pic>
                  <pic:nvPicPr>
                    <pic:cNvPr id="0" name="fig_rsg_exact_regret_decomposition.png"/>
                    <pic:cNvPicPr/>
                  </pic:nvPicPr>
                  <pic:blipFill>
                    <a:blip r:embed="rId69"/>
                    <a:stretch>
                      <a:fillRect/>
                    </a:stretch>
                  </pic:blipFill>
                  <pic:spPr>
                    <a:xfrm>
                      <a:off x="0" y="0"/>
                      <a:ext cx="5688000" cy="3132582"/>
                    </a:xfrm>
                    <a:prstGeom prst="rect"/>
                  </pic:spPr>
                </pic:pic>
              </a:graphicData>
            </a:graphic>
          </wp:inline>
        </w:drawing>
      </w:r>
    </w:p>
    <w:p>
      <w:pPr>
        <w:pStyle w:val="af7"/>
        <w:jc w:val="center"/>
      </w:pPr>
      <w:r>
        <w:rPr>
          <w:rFonts w:ascii="宋体" w:hAnsi="宋体" w:eastAsia="宋体"/>
          <w:sz w:val="19"/>
        </w:rPr>
        <w:t>图 25 两专家凸融合路由后悔的解析理论曲线与数值一致性注记</w:t>
      </w:r>
    </w:p>
    <w:p>
      <w:pPr>
        <w:spacing w:line="360" w:lineRule="auto"/>
      </w:pPr>
      <w:r>
        <w:rPr>
          <w:rFonts w:ascii="宋体" w:hAnsi="宋体" w:eastAsia="宋体"/>
          <w:sz w:val="21"/>
        </w:rPr>
        <w:t>图中的曲线为解析理论曲线，不是由分类指标拟合得到。脚注对应冻结检查点的高精度回放：9 次、10,242 张图像的精确分解最大绝对残差为 8.44e-07，低于预设容差 2.0e-06，违反数为 0。因此，这张图与 H.6 共同构成“公式推导--数值实现--可视化解释”的证据链。</w:t>
      </w:r>
    </w:p>
    <w:p>
      <w:pPr>
        <w:spacing w:line="360" w:lineRule="auto"/>
      </w:pPr>
      <w:r>
        <w:rPr>
          <w:rFonts w:ascii="宋体" w:hAnsi="宋体" w:eastAsia="宋体"/>
          <w:sz w:val="21"/>
        </w:rPr>
        <w:t>证据边界：该图仅解释 RSG-HRGV 预定义路由后悔的解析结构和有限精度下的容差内一致性，不构成新的分类性能实验，不能据此推出 Accuracy、Macro F1、工业分选、品位、回收率、元素含量、真实外部泛化或未知矿物拒识能力的提升。</w:t>
      </w:r>
    </w:p>
    <w:p>
      <w:pPr>
        <w:pStyle w:val="21"/>
      </w:pPr>
      <w:r>
        <w:t>H.8 跨粒度双专家互补性诊断</w:t>
      </w:r>
    </w:p>
    <w:p>
      <w:pPr>
        <w:spacing w:line="360" w:lineRule="auto"/>
      </w:pPr>
      <w:r>
        <w:rPr>
          <w:rFonts w:ascii="宋体" w:hAnsi="宋体" w:eastAsia="宋体"/>
          <w:sz w:val="21"/>
        </w:rPr>
        <w:t>门控只有在直接角色专家与种类映射专家提供不同证据时才可能发挥作用。为避免仅从平均路由后悔反推这一前提，本节从冻结的完整 RSG-HRGV 三随机种子汇总中直接报告双专家准确率、预测分歧、一对一错样本比例和条件门控选对率。逐图 oracle 按真实角色选择更优专家，仅用于诊断当前双专家互补性的理论上限，实际部署不可获得。</w:t>
      </w:r>
    </w:p>
    <w:tbl>
      <w:tblPr>
        <w:tblStyle w:val="aff1"/>
        <w:tblW w:type="auto" w:w="0"/>
        <w:tblLook w:firstColumn="1" w:firstRow="1" w:lastColumn="0" w:lastRow="0" w:noHBand="0" w:noVBand="1" w:val="04A0"/>
      </w:tblPr>
      <w:tblGrid>
        <w:gridCol w:w="1148"/>
        <w:gridCol w:w="1148"/>
        <w:gridCol w:w="1148"/>
        <w:gridCol w:w="1148"/>
        <w:gridCol w:w="1148"/>
        <w:gridCol w:w="1148"/>
        <w:gridCol w:w="1148"/>
        <w:gridCol w:w="1148"/>
      </w:tblGrid>
      <w:tr>
        <w:tc>
          <w:tcPr>
            <w:tcW w:type="dxa" w:w="1148"/>
          </w:tcPr>
          <w:p>
            <w:pPr>
              <w:jc w:val="center"/>
            </w:pPr>
            <w:r>
              <w:rPr>
                <w:rFonts w:ascii="宋体" w:hAnsi="宋体" w:eastAsia="宋体"/>
                <w:b/>
                <w:sz w:val="17"/>
              </w:rPr>
              <w:t>协议</w:t>
            </w:r>
          </w:p>
        </w:tc>
        <w:tc>
          <w:tcPr>
            <w:tcW w:type="dxa" w:w="1148"/>
          </w:tcPr>
          <w:p>
            <w:pPr>
              <w:jc w:val="center"/>
            </w:pPr>
            <w:r>
              <w:rPr>
                <w:rFonts w:ascii="宋体" w:hAnsi="宋体" w:eastAsia="宋体"/>
                <w:b/>
                <w:sz w:val="17"/>
              </w:rPr>
              <w:t>直接角色</w:t>
            </w:r>
          </w:p>
        </w:tc>
        <w:tc>
          <w:tcPr>
            <w:tcW w:type="dxa" w:w="1148"/>
          </w:tcPr>
          <w:p>
            <w:pPr>
              <w:jc w:val="center"/>
            </w:pPr>
            <w:r>
              <w:rPr>
                <w:rFonts w:ascii="宋体" w:hAnsi="宋体" w:eastAsia="宋体"/>
                <w:b/>
                <w:sz w:val="17"/>
              </w:rPr>
              <w:t>种类映射</w:t>
            </w:r>
          </w:p>
        </w:tc>
        <w:tc>
          <w:tcPr>
            <w:tcW w:type="dxa" w:w="1148"/>
          </w:tcPr>
          <w:p>
            <w:pPr>
              <w:jc w:val="center"/>
            </w:pPr>
            <w:r>
              <w:rPr>
                <w:rFonts w:ascii="宋体" w:hAnsi="宋体" w:eastAsia="宋体"/>
                <w:b/>
                <w:sz w:val="17"/>
              </w:rPr>
              <w:t>融合</w:t>
            </w:r>
          </w:p>
        </w:tc>
        <w:tc>
          <w:tcPr>
            <w:tcW w:type="dxa" w:w="1148"/>
          </w:tcPr>
          <w:p>
            <w:pPr>
              <w:jc w:val="center"/>
            </w:pPr>
            <w:r>
              <w:rPr>
                <w:rFonts w:ascii="宋体" w:hAnsi="宋体" w:eastAsia="宋体"/>
                <w:b/>
                <w:sz w:val="17"/>
              </w:rPr>
              <w:t>真值 oracle</w:t>
            </w:r>
          </w:p>
        </w:tc>
        <w:tc>
          <w:tcPr>
            <w:tcW w:type="dxa" w:w="1148"/>
          </w:tcPr>
          <w:p>
            <w:pPr>
              <w:jc w:val="center"/>
            </w:pPr>
            <w:r>
              <w:rPr>
                <w:rFonts w:ascii="宋体" w:hAnsi="宋体" w:eastAsia="宋体"/>
                <w:b/>
                <w:sz w:val="17"/>
              </w:rPr>
              <w:t>预测分歧</w:t>
            </w:r>
          </w:p>
        </w:tc>
        <w:tc>
          <w:tcPr>
            <w:tcW w:type="dxa" w:w="1148"/>
          </w:tcPr>
          <w:p>
            <w:pPr>
              <w:jc w:val="center"/>
            </w:pPr>
            <w:r>
              <w:rPr>
                <w:rFonts w:ascii="宋体" w:hAnsi="宋体" w:eastAsia="宋体"/>
                <w:b/>
                <w:sz w:val="17"/>
              </w:rPr>
              <w:t>一对一错</w:t>
            </w:r>
          </w:p>
        </w:tc>
        <w:tc>
          <w:tcPr>
            <w:tcW w:type="dxa" w:w="1148"/>
          </w:tcPr>
          <w:p>
            <w:pPr>
              <w:jc w:val="center"/>
            </w:pPr>
            <w:r>
              <w:rPr>
                <w:rFonts w:ascii="宋体" w:hAnsi="宋体" w:eastAsia="宋体"/>
                <w:b/>
                <w:sz w:val="17"/>
              </w:rPr>
              <w:t>门控选对</w:t>
            </w:r>
          </w:p>
        </w:tc>
      </w:tr>
      <w:tr>
        <w:tc>
          <w:tcPr>
            <w:tcW w:type="dxa" w:w="1148"/>
          </w:tcPr>
          <w:p>
            <w:pPr>
              <w:jc w:val="center"/>
            </w:pPr>
            <w:r>
              <w:rPr>
                <w:rFonts w:ascii="宋体" w:hAnsi="宋体" w:eastAsia="宋体"/>
                <w:b w:val="0"/>
                <w:sz w:val="17"/>
              </w:rPr>
              <w:t>固定测试</w:t>
            </w:r>
          </w:p>
        </w:tc>
        <w:tc>
          <w:tcPr>
            <w:tcW w:type="dxa" w:w="1148"/>
          </w:tcPr>
          <w:p>
            <w:pPr>
              <w:jc w:val="center"/>
            </w:pPr>
            <w:r>
              <w:rPr>
                <w:rFonts w:ascii="宋体" w:hAnsi="宋体" w:eastAsia="宋体"/>
                <w:b w:val="0"/>
                <w:sz w:val="17"/>
              </w:rPr>
              <w:t>75.96%</w:t>
            </w:r>
          </w:p>
        </w:tc>
        <w:tc>
          <w:tcPr>
            <w:tcW w:type="dxa" w:w="1148"/>
          </w:tcPr>
          <w:p>
            <w:pPr>
              <w:jc w:val="center"/>
            </w:pPr>
            <w:r>
              <w:rPr>
                <w:rFonts w:ascii="宋体" w:hAnsi="宋体" w:eastAsia="宋体"/>
                <w:b w:val="0"/>
                <w:sz w:val="17"/>
              </w:rPr>
              <w:t>76.64%</w:t>
            </w:r>
          </w:p>
        </w:tc>
        <w:tc>
          <w:tcPr>
            <w:tcW w:type="dxa" w:w="1148"/>
          </w:tcPr>
          <w:p>
            <w:pPr>
              <w:jc w:val="center"/>
            </w:pPr>
            <w:r>
              <w:rPr>
                <w:rFonts w:ascii="宋体" w:hAnsi="宋体" w:eastAsia="宋体"/>
                <w:b w:val="0"/>
                <w:sz w:val="17"/>
              </w:rPr>
              <w:t>76.45%</w:t>
            </w:r>
          </w:p>
        </w:tc>
        <w:tc>
          <w:tcPr>
            <w:tcW w:type="dxa" w:w="1148"/>
          </w:tcPr>
          <w:p>
            <w:pPr>
              <w:jc w:val="center"/>
            </w:pPr>
            <w:r>
              <w:rPr>
                <w:rFonts w:ascii="宋体" w:hAnsi="宋体" w:eastAsia="宋体"/>
                <w:b w:val="0"/>
                <w:sz w:val="17"/>
              </w:rPr>
              <w:t>78.71%</w:t>
            </w:r>
          </w:p>
        </w:tc>
        <w:tc>
          <w:tcPr>
            <w:tcW w:type="dxa" w:w="1148"/>
          </w:tcPr>
          <w:p>
            <w:pPr>
              <w:jc w:val="center"/>
            </w:pPr>
            <w:r>
              <w:rPr>
                <w:rFonts w:ascii="宋体" w:hAnsi="宋体" w:eastAsia="宋体"/>
                <w:b w:val="0"/>
                <w:sz w:val="17"/>
              </w:rPr>
              <w:t>5.61%</w:t>
            </w:r>
          </w:p>
        </w:tc>
        <w:tc>
          <w:tcPr>
            <w:tcW w:type="dxa" w:w="1148"/>
          </w:tcPr>
          <w:p>
            <w:pPr>
              <w:jc w:val="center"/>
            </w:pPr>
            <w:r>
              <w:rPr>
                <w:rFonts w:ascii="宋体" w:hAnsi="宋体" w:eastAsia="宋体"/>
                <w:b w:val="0"/>
                <w:sz w:val="17"/>
              </w:rPr>
              <w:t>4.83%</w:t>
            </w:r>
          </w:p>
        </w:tc>
        <w:tc>
          <w:tcPr>
            <w:tcW w:type="dxa" w:w="1148"/>
          </w:tcPr>
          <w:p>
            <w:pPr>
              <w:jc w:val="center"/>
            </w:pPr>
            <w:r>
              <w:rPr>
                <w:rFonts w:ascii="宋体" w:hAnsi="宋体" w:eastAsia="宋体"/>
                <w:b w:val="0"/>
                <w:sz w:val="17"/>
              </w:rPr>
              <w:t>58.01%</w:t>
            </w:r>
          </w:p>
        </w:tc>
      </w:tr>
      <w:tr>
        <w:tc>
          <w:tcPr>
            <w:tcW w:type="dxa" w:w="1148"/>
          </w:tcPr>
          <w:p>
            <w:pPr>
              <w:jc w:val="center"/>
            </w:pPr>
            <w:r>
              <w:rPr>
                <w:rFonts w:ascii="宋体" w:hAnsi="宋体" w:eastAsia="宋体"/>
                <w:b w:val="0"/>
                <w:sz w:val="17"/>
              </w:rPr>
              <w:t>摄影者留出</w:t>
            </w:r>
          </w:p>
        </w:tc>
        <w:tc>
          <w:tcPr>
            <w:tcW w:type="dxa" w:w="1148"/>
          </w:tcPr>
          <w:p>
            <w:pPr>
              <w:jc w:val="center"/>
            </w:pPr>
            <w:r>
              <w:rPr>
                <w:rFonts w:ascii="宋体" w:hAnsi="宋体" w:eastAsia="宋体"/>
                <w:b w:val="0"/>
                <w:sz w:val="17"/>
              </w:rPr>
              <w:t>71.16%</w:t>
            </w:r>
          </w:p>
        </w:tc>
        <w:tc>
          <w:tcPr>
            <w:tcW w:type="dxa" w:w="1148"/>
          </w:tcPr>
          <w:p>
            <w:pPr>
              <w:jc w:val="center"/>
            </w:pPr>
            <w:r>
              <w:rPr>
                <w:rFonts w:ascii="宋体" w:hAnsi="宋体" w:eastAsia="宋体"/>
                <w:b w:val="0"/>
                <w:sz w:val="17"/>
              </w:rPr>
              <w:t>71.55%</w:t>
            </w:r>
          </w:p>
        </w:tc>
        <w:tc>
          <w:tcPr>
            <w:tcW w:type="dxa" w:w="1148"/>
          </w:tcPr>
          <w:p>
            <w:pPr>
              <w:jc w:val="center"/>
            </w:pPr>
            <w:r>
              <w:rPr>
                <w:rFonts w:ascii="宋体" w:hAnsi="宋体" w:eastAsia="宋体"/>
                <w:b w:val="0"/>
                <w:sz w:val="17"/>
              </w:rPr>
              <w:t>71.47%</w:t>
            </w:r>
          </w:p>
        </w:tc>
        <w:tc>
          <w:tcPr>
            <w:tcW w:type="dxa" w:w="1148"/>
          </w:tcPr>
          <w:p>
            <w:pPr>
              <w:jc w:val="center"/>
            </w:pPr>
            <w:r>
              <w:rPr>
                <w:rFonts w:ascii="宋体" w:hAnsi="宋体" w:eastAsia="宋体"/>
                <w:b w:val="0"/>
                <w:sz w:val="17"/>
              </w:rPr>
              <w:t>73.76%</w:t>
            </w:r>
          </w:p>
        </w:tc>
        <w:tc>
          <w:tcPr>
            <w:tcW w:type="dxa" w:w="1148"/>
          </w:tcPr>
          <w:p>
            <w:pPr>
              <w:jc w:val="center"/>
            </w:pPr>
            <w:r>
              <w:rPr>
                <w:rFonts w:ascii="宋体" w:hAnsi="宋体" w:eastAsia="宋体"/>
                <w:b w:val="0"/>
                <w:sz w:val="17"/>
              </w:rPr>
              <w:t>6.11%</w:t>
            </w:r>
          </w:p>
        </w:tc>
        <w:tc>
          <w:tcPr>
            <w:tcW w:type="dxa" w:w="1148"/>
          </w:tcPr>
          <w:p>
            <w:pPr>
              <w:jc w:val="center"/>
            </w:pPr>
            <w:r>
              <w:rPr>
                <w:rFonts w:ascii="宋体" w:hAnsi="宋体" w:eastAsia="宋体"/>
                <w:b w:val="0"/>
                <w:sz w:val="17"/>
              </w:rPr>
              <w:t>4.81%</w:t>
            </w:r>
          </w:p>
        </w:tc>
        <w:tc>
          <w:tcPr>
            <w:tcW w:type="dxa" w:w="1148"/>
          </w:tcPr>
          <w:p>
            <w:pPr>
              <w:jc w:val="center"/>
            </w:pPr>
            <w:r>
              <w:rPr>
                <w:rFonts w:ascii="宋体" w:hAnsi="宋体" w:eastAsia="宋体"/>
                <w:b w:val="0"/>
                <w:sz w:val="17"/>
              </w:rPr>
              <w:t>53.69%</w:t>
            </w:r>
          </w:p>
        </w:tc>
      </w:tr>
      <w:tr>
        <w:tc>
          <w:tcPr>
            <w:tcW w:type="dxa" w:w="1148"/>
          </w:tcPr>
          <w:p>
            <w:pPr>
              <w:jc w:val="center"/>
            </w:pPr>
            <w:r>
              <w:rPr>
                <w:rFonts w:ascii="宋体" w:hAnsi="宋体" w:eastAsia="宋体"/>
                <w:b w:val="0"/>
                <w:sz w:val="17"/>
              </w:rPr>
              <w:t>ResNet50 跨主干</w:t>
            </w:r>
          </w:p>
        </w:tc>
        <w:tc>
          <w:tcPr>
            <w:tcW w:type="dxa" w:w="1148"/>
          </w:tcPr>
          <w:p>
            <w:pPr>
              <w:jc w:val="center"/>
            </w:pPr>
            <w:r>
              <w:rPr>
                <w:rFonts w:ascii="宋体" w:hAnsi="宋体" w:eastAsia="宋体"/>
                <w:b w:val="0"/>
                <w:sz w:val="17"/>
              </w:rPr>
              <w:t>76.30%</w:t>
            </w:r>
          </w:p>
        </w:tc>
        <w:tc>
          <w:tcPr>
            <w:tcW w:type="dxa" w:w="1148"/>
          </w:tcPr>
          <w:p>
            <w:pPr>
              <w:jc w:val="center"/>
            </w:pPr>
            <w:r>
              <w:rPr>
                <w:rFonts w:ascii="宋体" w:hAnsi="宋体" w:eastAsia="宋体"/>
                <w:b w:val="0"/>
                <w:sz w:val="17"/>
              </w:rPr>
              <w:t>76.43%</w:t>
            </w:r>
          </w:p>
        </w:tc>
        <w:tc>
          <w:tcPr>
            <w:tcW w:type="dxa" w:w="1148"/>
          </w:tcPr>
          <w:p>
            <w:pPr>
              <w:jc w:val="center"/>
            </w:pPr>
            <w:r>
              <w:rPr>
                <w:rFonts w:ascii="宋体" w:hAnsi="宋体" w:eastAsia="宋体"/>
                <w:b w:val="0"/>
                <w:sz w:val="17"/>
              </w:rPr>
              <w:t>76.64%</w:t>
            </w:r>
          </w:p>
        </w:tc>
        <w:tc>
          <w:tcPr>
            <w:tcW w:type="dxa" w:w="1148"/>
          </w:tcPr>
          <w:p>
            <w:pPr>
              <w:jc w:val="center"/>
            </w:pPr>
            <w:r>
              <w:rPr>
                <w:rFonts w:ascii="宋体" w:hAnsi="宋体" w:eastAsia="宋体"/>
                <w:b w:val="0"/>
                <w:sz w:val="17"/>
              </w:rPr>
              <w:t>78.35%</w:t>
            </w:r>
          </w:p>
        </w:tc>
        <w:tc>
          <w:tcPr>
            <w:tcW w:type="dxa" w:w="1148"/>
          </w:tcPr>
          <w:p>
            <w:pPr>
              <w:jc w:val="center"/>
            </w:pPr>
            <w:r>
              <w:rPr>
                <w:rFonts w:ascii="宋体" w:hAnsi="宋体" w:eastAsia="宋体"/>
                <w:b w:val="0"/>
                <w:sz w:val="17"/>
              </w:rPr>
              <w:t>4.88%</w:t>
            </w:r>
          </w:p>
        </w:tc>
        <w:tc>
          <w:tcPr>
            <w:tcW w:type="dxa" w:w="1148"/>
          </w:tcPr>
          <w:p>
            <w:pPr>
              <w:jc w:val="center"/>
            </w:pPr>
            <w:r>
              <w:rPr>
                <w:rFonts w:ascii="宋体" w:hAnsi="宋体" w:eastAsia="宋体"/>
                <w:b w:val="0"/>
                <w:sz w:val="17"/>
              </w:rPr>
              <w:t>3.97%</w:t>
            </w:r>
          </w:p>
        </w:tc>
        <w:tc>
          <w:tcPr>
            <w:tcW w:type="dxa" w:w="1148"/>
          </w:tcPr>
          <w:p>
            <w:pPr>
              <w:jc w:val="center"/>
            </w:pPr>
            <w:r>
              <w:rPr>
                <w:rFonts w:ascii="宋体" w:hAnsi="宋体" w:eastAsia="宋体"/>
                <w:b w:val="0"/>
                <w:sz w:val="17"/>
              </w:rPr>
              <w:t>51.98%</w:t>
            </w:r>
          </w:p>
        </w:tc>
      </w:tr>
    </w:tbl>
    <w:p/>
    <w:p>
      <w:pPr>
        <w:jc w:val="center"/>
      </w:pPr>
      <w:r>
        <w:drawing>
          <wp:inline xmlns:a="http://schemas.openxmlformats.org/drawingml/2006/main" xmlns:pic="http://schemas.openxmlformats.org/drawingml/2006/picture">
            <wp:extent cx="5688000" cy="3090224"/>
            <wp:docPr id="59" name="Picture 59"/>
            <wp:cNvGraphicFramePr>
              <a:graphicFrameLocks noChangeAspect="1"/>
            </wp:cNvGraphicFramePr>
            <a:graphic>
              <a:graphicData uri="http://schemas.openxmlformats.org/drawingml/2006/picture">
                <pic:pic>
                  <pic:nvPicPr>
                    <pic:cNvPr id="0" name="fig_rsg_expert_complementarity.png"/>
                    <pic:cNvPicPr/>
                  </pic:nvPicPr>
                  <pic:blipFill>
                    <a:blip r:embed="rId70"/>
                    <a:stretch>
                      <a:fillRect/>
                    </a:stretch>
                  </pic:blipFill>
                  <pic:spPr>
                    <a:xfrm>
                      <a:off x="0" y="0"/>
                      <a:ext cx="5688000" cy="3090224"/>
                    </a:xfrm>
                    <a:prstGeom prst="rect"/>
                  </pic:spPr>
                </pic:pic>
              </a:graphicData>
            </a:graphic>
          </wp:inline>
        </w:drawing>
      </w:r>
    </w:p>
    <w:p>
      <w:pPr>
        <w:pStyle w:val="af7"/>
        <w:jc w:val="center"/>
      </w:pPr>
      <w:r>
        <w:rPr>
          <w:rFonts w:ascii="宋体" w:hAnsi="宋体" w:eastAsia="宋体"/>
          <w:sz w:val="19"/>
        </w:rPr>
        <w:t>图 26 RSG-HRGV 跨粒度双专家的互补性与可路由子集诊断</w:t>
      </w:r>
    </w:p>
    <w:p>
      <w:pPr>
        <w:spacing w:line="360" w:lineRule="auto"/>
      </w:pPr>
      <w:r>
        <w:rPr>
          <w:rFonts w:ascii="宋体" w:hAnsi="宋体" w:eastAsia="宋体"/>
          <w:sz w:val="21"/>
        </w:rPr>
        <w:t>三个协议中，两位专家均存在约 4%--6% 的预测分歧和约 4%--5% 的一对一错子集，说明直接角色证据与种类映射证据并非完全冗余。完整 RSG 门控在该条件子集上的选对率为 51.98%--58.01%，与前述平均路由后悔下降共同支持存在有限的可路由空间；融合 Accuracy 仍低于依赖真值的 oracle 诊断上限，因而不应把 oracle 差距解释为可直接部署的性能潜力。</w:t>
      </w:r>
    </w:p>
    <w:p>
      <w:pPr>
        <w:spacing w:line="360" w:lineRule="auto"/>
      </w:pPr>
      <w:r>
        <w:rPr>
          <w:rFonts w:ascii="宋体" w:hAnsi="宋体" w:eastAsia="宋体"/>
          <w:sz w:val="21"/>
        </w:rPr>
        <w:t>证据边界：本节仅量化现有冻结模型中两路证据的互补结构，不构成总体分类性能优越、一般化 MoE 优势、未知矿物拒识、工业分选、品位、回收率或元素含量的结论。</w:t>
      </w:r>
    </w:p>
    <w:p>
      <w:r>
        <w:br w:type="page"/>
      </w:r>
    </w:p>
    <w:p>
      <w:pPr>
        <w:pStyle w:val="1"/>
        <w:keepNext/>
      </w:pPr>
      <w:r>
        <w:rPr>
          <w:rFonts w:ascii="黑体" w:hAnsi="黑体" w:eastAsia="黑体"/>
          <w:b/>
          <w:sz w:val="28"/>
        </w:rPr>
        <w:t>附录 I 候选网络扩展：成对困难负样本遗憾路由（PHR）</w:t>
      </w:r>
    </w:p>
    <w:p>
      <w:pPr>
        <w:spacing w:after="100" w:line="336" w:lineRule="auto"/>
        <w:ind w:firstLine="420"/>
      </w:pPr>
      <w:r>
        <w:rPr>
          <w:rFonts w:ascii="宋体" w:hAnsi="宋体" w:eastAsia="宋体"/>
          <w:b w:val="0"/>
          <w:sz w:val="22"/>
        </w:rPr>
        <w:t>本附录记录后续论文补实验所采用的候选网络扩展。PHR 的目标不是以未经证实的方式替代当前 RSG-HRGV 主模型，而是针对已观察到的两条高风险混淆边界，即目标矿物与含钛干扰矿物、目标矿物与金属光泽干扰矿物，分别学习路由门控并施加最小范数的成对边界修正。以下公式、结构图与数值性质核验为预注册实验提供可复现定义；在验证集筛选和正式三随机种子测试完成前，本附录不作任何性能提升结论。</w:t>
      </w:r>
    </w:p>
    <w:p>
      <w:pPr>
        <w:pStyle w:val="21"/>
        <w:keepNext/>
      </w:pPr>
      <w:r>
        <w:rPr>
          <w:rFonts w:ascii="黑体" w:hAnsi="黑体" w:eastAsia="黑体"/>
          <w:b/>
          <w:sz w:val="24"/>
        </w:rPr>
        <w:t>I.1 成对边界的概率、对数几率与融合门控</w:t>
      </w:r>
    </w:p>
    <w:p>
      <w:pPr>
        <w:spacing w:after="100" w:line="336" w:lineRule="auto"/>
        <w:ind w:firstLine="420"/>
      </w:pPr>
      <w:r>
        <w:rPr>
          <w:rFonts w:ascii="宋体" w:hAnsi="宋体" w:eastAsia="宋体"/>
          <w:b w:val="0"/>
          <w:sz w:val="22"/>
        </w:rPr>
        <w:t>设 T、I、G、M 分别表示目标矿物、含钛干扰、脉石和金属光泽干扰；p_d 与 p_m 分别为直接角色头和种类概率映射后的角色后验。对 q∈{I,M}，PHR 不直接重写四分类标签，而是在两条预定义边界上计算目标相对负类的对数几率。</w:t>
      </w:r>
    </w:p>
    <w:p>
      <w:pPr>
        <w:spacing w:before="40" w:after="80" w:line="264" w:lineRule="auto"/>
        <w:jc w:val="center"/>
      </w:pPr>
      <w:r>
        <w:rPr>
          <w:rFonts w:ascii="Cambria Math" w:hAnsi="Cambria Math" w:eastAsia="Cambria Math"/>
          <w:b w:val="0"/>
          <w:sz w:val="22"/>
        </w:rPr>
        <w:t>m_(d,q)=log(p_(d,T)/p_(d,q)),   m_(m,q)=log(p_(m,T)/p_(m,q))</w:t>
      </w:r>
      <w:r>
        <w:t xml:space="preserve">    </w:t>
      </w:r>
      <w:r>
        <w:rPr>
          <w:rFonts w:ascii="Times New Roman" w:hAnsi="Times New Roman" w:eastAsia="Times New Roman"/>
          <w:b w:val="0"/>
          <w:sz w:val="21"/>
        </w:rPr>
        <w:t>(1)</w:t>
      </w:r>
    </w:p>
    <w:p>
      <w:pPr>
        <w:spacing w:before="40" w:after="80" w:line="264" w:lineRule="auto"/>
        <w:jc w:val="center"/>
      </w:pPr>
      <w:r>
        <w:rPr>
          <w:rFonts w:ascii="Cambria Math" w:hAnsi="Cambria Math" w:eastAsia="Cambria Math"/>
          <w:b w:val="0"/>
          <w:sz w:val="22"/>
        </w:rPr>
        <w:t>m_(f,q)=g_q m_(d,q)+(1-g_q)m_(m,q),   g_q=sigma(phi_q([f,m_(d,q),m_(m,q)]))</w:t>
      </w:r>
      <w:r>
        <w:t xml:space="preserve">    </w:t>
      </w:r>
      <w:r>
        <w:rPr>
          <w:rFonts w:ascii="Times New Roman" w:hAnsi="Times New Roman" w:eastAsia="Times New Roman"/>
          <w:b w:val="0"/>
          <w:sz w:val="21"/>
        </w:rPr>
        <w:t>(2)</w:t>
      </w:r>
    </w:p>
    <w:p>
      <w:pPr>
        <w:spacing w:after="100" w:line="336" w:lineRule="auto"/>
        <w:ind w:firstLine="420"/>
      </w:pPr>
      <w:r>
        <w:rPr>
          <w:rFonts w:ascii="宋体" w:hAnsi="宋体" w:eastAsia="宋体"/>
          <w:b w:val="0"/>
          <w:sz w:val="22"/>
        </w:rPr>
        <w:t>其中 f 为共享骨干的视觉特征，g_q∈[0,1] 是第 q 条边界的路由门控，sigma 为 Sigmoid 函数。两条门控互不强制相等，因此可分别处理‘目标—含钛干扰’与‘目标—金属光泽干扰’的视觉证据差异。</w:t>
      </w:r>
    </w:p>
    <w:p>
      <w:pPr>
        <w:pStyle w:val="21"/>
        <w:keepNext/>
      </w:pPr>
      <w:r>
        <w:rPr>
          <w:rFonts w:ascii="黑体" w:hAnsi="黑体" w:eastAsia="黑体"/>
          <w:b/>
          <w:sz w:val="24"/>
        </w:rPr>
        <w:t>I.2 软专家与遗憾目标</w:t>
      </w:r>
    </w:p>
    <w:p>
      <w:pPr>
        <w:spacing w:after="100" w:line="336" w:lineRule="auto"/>
        <w:ind w:firstLine="420"/>
      </w:pPr>
      <w:r>
        <w:rPr>
          <w:rFonts w:ascii="宋体" w:hAnsi="宋体" w:eastAsia="宋体"/>
          <w:b w:val="0"/>
          <w:sz w:val="22"/>
        </w:rPr>
        <w:t>对训练样本，只在真实角色属于当前成对边界的情形启用该边界。设 Delta_q 为直接角色证据与种类映射证据在第 q 条边界上的有向差异，使用温度 tau 构造软专家门控目标；其对应的精确边际遗憾定义如下。</w:t>
      </w:r>
    </w:p>
    <w:p>
      <w:pPr>
        <w:spacing w:before="40" w:after="80" w:line="264" w:lineRule="auto"/>
        <w:jc w:val="center"/>
      </w:pPr>
      <w:r>
        <w:rPr>
          <w:rFonts w:ascii="Cambria Math" w:hAnsi="Cambria Math" w:eastAsia="Cambria Math"/>
          <w:b w:val="0"/>
          <w:sz w:val="22"/>
        </w:rPr>
        <w:t>g_(o,q)=sigma(Delta_q/tau),   r_q=|g_q-g_(o,q)| |Delta_q|</w:t>
      </w:r>
      <w:r>
        <w:t xml:space="preserve">    </w:t>
      </w:r>
      <w:r>
        <w:rPr>
          <w:rFonts w:ascii="Times New Roman" w:hAnsi="Times New Roman" w:eastAsia="Times New Roman"/>
          <w:b w:val="0"/>
          <w:sz w:val="21"/>
        </w:rPr>
        <w:t>(3)</w:t>
      </w:r>
    </w:p>
    <w:p>
      <w:pPr>
        <w:spacing w:before="40" w:after="80" w:line="264" w:lineRule="auto"/>
        <w:jc w:val="center"/>
      </w:pPr>
      <w:r>
        <w:rPr>
          <w:rFonts w:ascii="Cambria Math" w:hAnsi="Cambria Math" w:eastAsia="Cambria Math"/>
          <w:b w:val="0"/>
          <w:sz w:val="22"/>
        </w:rPr>
        <w:t>L_PHR=(sum_(q in {I,M}) w_q r_q)/(sum_(q in {I,M}) w_q 1[eligible_q])</w:t>
      </w:r>
      <w:r>
        <w:t xml:space="preserve">    </w:t>
      </w:r>
      <w:r>
        <w:rPr>
          <w:rFonts w:ascii="Times New Roman" w:hAnsi="Times New Roman" w:eastAsia="Times New Roman"/>
          <w:b w:val="0"/>
          <w:sz w:val="21"/>
        </w:rPr>
        <w:t>(4)</w:t>
      </w:r>
    </w:p>
    <w:p>
      <w:pPr>
        <w:spacing w:after="100" w:line="336" w:lineRule="auto"/>
        <w:ind w:firstLine="420"/>
      </w:pPr>
      <w:r>
        <w:rPr>
          <w:rFonts w:ascii="宋体" w:hAnsi="宋体" w:eastAsia="宋体"/>
          <w:b w:val="0"/>
          <w:sz w:val="22"/>
        </w:rPr>
        <w:t>在二元对数损失下，门控偏离软专家所造成的边际损失超额可由 r_q 上界；这一结论只针对预定义的成对对数几率边界，不推出四分类 Macro F1、外部泛化或工业分选指标必然提升。数值实现以 10,000 组 float64 合成样本核验遗憾恒等式、损失上界和符号保持条件，结果仅用于公式实现自检。</w:t>
      </w:r>
    </w:p>
    <w:p>
      <w:pPr>
        <w:pStyle w:val="21"/>
        <w:keepNext/>
      </w:pPr>
      <w:r>
        <w:rPr>
          <w:rFonts w:ascii="黑体" w:hAnsi="黑体" w:eastAsia="黑体"/>
          <w:b/>
          <w:sz w:val="24"/>
        </w:rPr>
        <w:t>I.3 最小范数耦合修正与性质边界</w:t>
      </w:r>
    </w:p>
    <w:p>
      <w:pPr>
        <w:spacing w:after="100" w:line="336" w:lineRule="auto"/>
        <w:ind w:firstLine="420"/>
      </w:pPr>
      <w:r>
        <w:rPr>
          <w:rFonts w:ascii="宋体" w:hAnsi="宋体" w:eastAsia="宋体"/>
          <w:b w:val="0"/>
          <w:sz w:val="22"/>
        </w:rPr>
        <w:t>PHR 将两条成对边界的修正量同时投影到四类 logit，以最小二范数改变满足约束。令 delta_I=m_(f,I)-m_(0,I)、delta_M=m_(f,M)-m_(0,M)，其中 m_0 为 RSG-HRGV 融合后的基线边际，则一组闭式修正为：</w:t>
      </w:r>
    </w:p>
    <w:p>
      <w:pPr>
        <w:spacing w:before="40" w:after="80" w:line="264" w:lineRule="auto"/>
        <w:jc w:val="center"/>
      </w:pPr>
      <w:r>
        <w:rPr>
          <w:rFonts w:ascii="Cambria Math" w:hAnsi="Cambria Math" w:eastAsia="Cambria Math"/>
          <w:b w:val="0"/>
          <w:sz w:val="22"/>
        </w:rPr>
        <w:t>a_T=(delta_I+delta_M)/3,   a_I=(delta_M-2delta_I)/3,   a_M=(delta_I-2delta_M)/3,   a_G=0</w:t>
      </w:r>
      <w:r>
        <w:t xml:space="preserve">    </w:t>
      </w:r>
      <w:r>
        <w:rPr>
          <w:rFonts w:ascii="Times New Roman" w:hAnsi="Times New Roman" w:eastAsia="Times New Roman"/>
          <w:b w:val="0"/>
          <w:sz w:val="21"/>
        </w:rPr>
        <w:t>(5)</w:t>
      </w:r>
    </w:p>
    <w:p>
      <w:pPr>
        <w:spacing w:before="40" w:after="80" w:line="264" w:lineRule="auto"/>
        <w:jc w:val="center"/>
      </w:pPr>
      <w:r>
        <w:rPr>
          <w:rFonts w:ascii="Cambria Math" w:hAnsi="Cambria Math" w:eastAsia="Cambria Math"/>
          <w:b w:val="0"/>
          <w:sz w:val="22"/>
        </w:rPr>
        <w:t>ell_PHR=ell_0+(a_T,a_I,a_G,a_M)</w:t>
      </w:r>
      <w:r>
        <w:t xml:space="preserve">    </w:t>
      </w:r>
      <w:r>
        <w:rPr>
          <w:rFonts w:ascii="Times New Roman" w:hAnsi="Times New Roman" w:eastAsia="Times New Roman"/>
          <w:b w:val="0"/>
          <w:sz w:val="21"/>
        </w:rPr>
        <w:t>(6)</w:t>
      </w:r>
    </w:p>
    <w:p>
      <w:pPr>
        <w:spacing w:after="100" w:line="336" w:lineRule="auto"/>
        <w:ind w:firstLine="420"/>
      </w:pPr>
      <w:r>
        <w:rPr>
          <w:rFonts w:ascii="宋体" w:hAnsi="宋体" w:eastAsia="宋体"/>
          <w:b w:val="0"/>
          <w:sz w:val="22"/>
        </w:rPr>
        <w:t>该投影满足目标—含钛干扰和目标—金属光泽干扰的指定边际变化，并在所有满足约束的 logit 修正中具有最小二范数。需特别说明：a_G=0 只表示脉石 logit 不变；Softmax 归一化后，脉石概率仍可能变化。因此，局部成对边际改善不等价于全局四分类风险、校准误差或 Macro F1 的必然改善。</w:t>
      </w:r>
    </w:p>
    <w:p>
      <w:pPr>
        <w:pStyle w:val="21"/>
        <w:keepNext/>
      </w:pPr>
      <w:r>
        <w:rPr>
          <w:rFonts w:ascii="黑体" w:hAnsi="黑体" w:eastAsia="黑体"/>
          <w:b/>
          <w:sz w:val="24"/>
        </w:rPr>
        <w:t>I.4 网络结构与可审计验证方案</w:t>
      </w:r>
    </w:p>
    <w:p>
      <w:pPr>
        <w:jc w:val="center"/>
      </w:pPr>
      <w:r>
        <w:drawing>
          <wp:inline xmlns:a="http://schemas.openxmlformats.org/drawingml/2006/main" xmlns:pic="http://schemas.openxmlformats.org/drawingml/2006/picture">
            <wp:extent cx="5472000" cy="3172719"/>
            <wp:docPr id="60" name="Picture 60"/>
            <wp:cNvGraphicFramePr>
              <a:graphicFrameLocks noChangeAspect="1"/>
            </wp:cNvGraphicFramePr>
            <a:graphic>
              <a:graphicData uri="http://schemas.openxmlformats.org/drawingml/2006/picture">
                <pic:pic>
                  <pic:nvPicPr>
                    <pic:cNvPr id="0" name="fig_phr_routing_architecture.png"/>
                    <pic:cNvPicPr/>
                  </pic:nvPicPr>
                  <pic:blipFill>
                    <a:blip r:embed="rId71"/>
                    <a:stretch>
                      <a:fillRect/>
                    </a:stretch>
                  </pic:blipFill>
                  <pic:spPr>
                    <a:xfrm>
                      <a:off x="0" y="0"/>
                      <a:ext cx="5472000" cy="3172719"/>
                    </a:xfrm>
                    <a:prstGeom prst="rect"/>
                  </pic:spPr>
                </pic:pic>
              </a:graphicData>
            </a:graphic>
          </wp:inline>
        </w:drawing>
      </w:r>
    </w:p>
    <w:p>
      <w:pPr>
        <w:pStyle w:val="af7"/>
        <w:spacing w:after="100"/>
        <w:jc w:val="center"/>
      </w:pPr>
      <w:r>
        <w:rPr>
          <w:rFonts w:ascii="宋体" w:hAnsi="宋体" w:eastAsia="宋体"/>
          <w:b w:val="0"/>
          <w:sz w:val="21"/>
        </w:rPr>
        <w:t>图 27 PHR 候选网络扩展：两条成对边界的门控、遗憾监督与最小范数修正。虚线部分仅在训练期使用。</w:t>
      </w:r>
    </w:p>
    <w:p>
      <w:pPr>
        <w:spacing w:after="100" w:line="336" w:lineRule="auto"/>
        <w:ind w:firstLine="420"/>
      </w:pPr>
      <w:r>
        <w:rPr>
          <w:rFonts w:ascii="宋体" w:hAnsi="宋体" w:eastAsia="宋体"/>
          <w:b w:val="0"/>
          <w:sz w:val="22"/>
        </w:rPr>
        <w:t>筛选阶段固定数据清单，仅使用验证集，并预注册八组设置：RSG 参考、完整 PHR、固定 0.5 门控、硬门控目标、非加权损失、耦合特征、仅含钛边界和仅金属光泽边界。完整 PHR 只有满足预先定义的 Macro F1、成对遗憾或风险取舍准则之一时，才会晋级至三随机种子的锁定测试集比较。正式分析同时核验清单哈希、脚本哈希、运行状态、验证集晋级决定和逐图预测，避免把旧试跑、测试集调参或不完整运行写入结论。</w:t>
      </w:r>
    </w:p>
    <w:p>
      <w:pPr>
        <w:pStyle w:val="21"/>
        <w:keepNext/>
      </w:pPr>
      <w:r>
        <w:rPr>
          <w:rFonts w:ascii="黑体" w:hAnsi="黑体" w:eastAsia="黑体"/>
          <w:b/>
          <w:sz w:val="24"/>
        </w:rPr>
        <w:t>I.5 与本报告主线的关系</w:t>
      </w:r>
    </w:p>
    <w:p>
      <w:pPr>
        <w:spacing w:after="100" w:line="336" w:lineRule="auto"/>
        <w:ind w:firstLine="420"/>
      </w:pPr>
      <w:r>
        <w:rPr>
          <w:rFonts w:ascii="宋体" w:hAnsi="宋体" w:eastAsia="宋体"/>
          <w:b w:val="0"/>
          <w:sz w:val="22"/>
        </w:rPr>
        <w:t>当前技术报告的已完成主线仍为角色感知分层一致性与困难负样本学习。PHR 作为可检验的网络创新候选，补足了‘两类困难干扰具有不同边界、应分别路由’的形式化定义与可复现实验协议。若后续正式实验未通过验证集晋级或未在锁定测试上形成可信证据，应将其保留为负结果或后续工作，而不能写入本报告的已取得性能成果。</w:t>
      </w:r>
    </w:p>
    <w:p>
      <w:pPr>
        <w:pStyle w:val="21"/>
        <w:keepNext/>
      </w:pPr>
      <w:r>
        <w:rPr>
          <w:rFonts w:ascii="黑体" w:hAnsi="黑体" w:eastAsia="黑体"/>
          <w:b/>
          <w:sz w:val="24"/>
        </w:rPr>
        <w:t>I.6 PHR 验证集筛选结果与边界结论</w:t>
      </w:r>
    </w:p>
    <w:p>
      <w:pPr>
        <w:spacing w:after="100" w:line="336" w:lineRule="auto"/>
        <w:ind w:firstLine="420"/>
      </w:pPr>
      <w:r>
        <w:rPr>
          <w:rFonts w:ascii="宋体" w:hAnsi="宋体" w:eastAsia="宋体"/>
          <w:b w:val="0"/>
          <w:sz w:val="22"/>
        </w:rPr>
        <w:t>PHR 的八项预注册验证集筛选已完成。筛选只使用冻结清单中的验证集，自动决定文件对运行状态、环境、指标、逐图预测、登记配置和源文件哈希进行了绑定。其 criterion_ids 为空且 promote_to_formal=false，因此完整 PHR 未晋级到锁定测试集上的三随机种子正式比较。</w:t>
      </w:r>
    </w:p>
    <w:tbl>
      <w:tblPr>
        <w:tblStyle w:val="aff1"/>
        <w:tblW w:type="auto" w:w="0"/>
        <w:tblLook w:firstColumn="1" w:firstRow="1" w:lastColumn="0" w:lastRow="0" w:noHBand="0" w:noVBand="1" w:val="04A0"/>
      </w:tblPr>
      <w:tblGrid>
        <w:gridCol w:w="1531"/>
        <w:gridCol w:w="1531"/>
        <w:gridCol w:w="1531"/>
        <w:gridCol w:w="1531"/>
        <w:gridCol w:w="1531"/>
        <w:gridCol w:w="1531"/>
      </w:tblGrid>
      <w:tr>
        <w:trPr>
          <w:tblHeader w:val="true"/>
          <w:cantSplit/>
        </w:trPr>
        <w:tc>
          <w:tcPr>
            <w:tcW w:type="dxa" w:w="1531"/>
          </w:tcPr>
          <w:p>
            <w:pPr>
              <w:keepNext/>
            </w:pPr>
            <w:r>
              <w:rPr>
                <w:rFonts w:ascii="宋体" w:hAnsi="宋体" w:eastAsia="宋体"/>
                <w:b/>
                <w:sz w:val="17"/>
              </w:rPr>
              <w:t>配置</w:t>
            </w:r>
          </w:p>
        </w:tc>
        <w:tc>
          <w:tcPr>
            <w:tcW w:type="dxa" w:w="1531"/>
          </w:tcPr>
          <w:p>
            <w:pPr>
              <w:keepNext/>
            </w:pPr>
            <w:r>
              <w:rPr>
                <w:rFonts w:ascii="宋体" w:hAnsi="宋体" w:eastAsia="宋体"/>
                <w:b/>
                <w:sz w:val="17"/>
              </w:rPr>
              <w:t>Macro F1</w:t>
            </w:r>
          </w:p>
        </w:tc>
        <w:tc>
          <w:tcPr>
            <w:tcW w:type="dxa" w:w="1531"/>
          </w:tcPr>
          <w:p>
            <w:pPr>
              <w:keepNext/>
            </w:pPr>
            <w:r>
              <w:rPr>
                <w:rFonts w:ascii="宋体" w:hAnsi="宋体" w:eastAsia="宋体"/>
                <w:b/>
                <w:sz w:val="17"/>
              </w:rPr>
              <w:t>目标类召回</w:t>
            </w:r>
          </w:p>
        </w:tc>
        <w:tc>
          <w:tcPr>
            <w:tcW w:type="dxa" w:w="1531"/>
          </w:tcPr>
          <w:p>
            <w:pPr>
              <w:keepNext/>
            </w:pPr>
            <w:r>
              <w:rPr>
                <w:rFonts w:ascii="宋体" w:hAnsi="宋体" w:eastAsia="宋体"/>
                <w:b/>
                <w:sz w:val="17"/>
              </w:rPr>
              <w:t>Ti 误入目标</w:t>
            </w:r>
          </w:p>
        </w:tc>
        <w:tc>
          <w:tcPr>
            <w:tcW w:type="dxa" w:w="1531"/>
          </w:tcPr>
          <w:p>
            <w:pPr>
              <w:keepNext/>
            </w:pPr>
            <w:r>
              <w:rPr>
                <w:rFonts w:ascii="宋体" w:hAnsi="宋体" w:eastAsia="宋体"/>
                <w:b/>
                <w:sz w:val="17"/>
              </w:rPr>
              <w:t>金属误入目标</w:t>
            </w:r>
          </w:p>
        </w:tc>
        <w:tc>
          <w:tcPr>
            <w:tcW w:type="dxa" w:w="1531"/>
          </w:tcPr>
          <w:p>
            <w:pPr>
              <w:keepNext/>
            </w:pPr>
            <w:r>
              <w:rPr>
                <w:rFonts w:ascii="宋体" w:hAnsi="宋体" w:eastAsia="宋体"/>
                <w:b/>
                <w:sz w:val="17"/>
              </w:rPr>
              <w:t>Ti/金属边遗憾</w:t>
            </w:r>
          </w:p>
        </w:tc>
      </w:tr>
      <w:tr>
        <w:trPr>
          <w:cantSplit/>
        </w:trPr>
        <w:tc>
          <w:tcPr>
            <w:tcW w:type="dxa" w:w="1531"/>
          </w:tcPr>
          <w:p>
            <w:r>
              <w:rPr>
                <w:rFonts w:ascii="宋体" w:hAnsi="宋体" w:eastAsia="宋体"/>
                <w:b w:val="0"/>
                <w:sz w:val="17"/>
              </w:rPr>
              <w:t>RSG 参考</w:t>
            </w:r>
          </w:p>
        </w:tc>
        <w:tc>
          <w:tcPr>
            <w:tcW w:type="dxa" w:w="1531"/>
          </w:tcPr>
          <w:p>
            <w:r>
              <w:rPr>
                <w:rFonts w:ascii="宋体" w:hAnsi="宋体" w:eastAsia="宋体"/>
                <w:b w:val="0"/>
                <w:sz w:val="17"/>
              </w:rPr>
              <w:t>0.7485</w:t>
            </w:r>
          </w:p>
        </w:tc>
        <w:tc>
          <w:tcPr>
            <w:tcW w:type="dxa" w:w="1531"/>
          </w:tcPr>
          <w:p>
            <w:r>
              <w:rPr>
                <w:rFonts w:ascii="宋体" w:hAnsi="宋体" w:eastAsia="宋体"/>
                <w:b w:val="0"/>
                <w:sz w:val="17"/>
              </w:rPr>
              <w:t>0.7360</w:t>
            </w:r>
          </w:p>
        </w:tc>
        <w:tc>
          <w:tcPr>
            <w:tcW w:type="dxa" w:w="1531"/>
          </w:tcPr>
          <w:p>
            <w:r>
              <w:rPr>
                <w:rFonts w:ascii="宋体" w:hAnsi="宋体" w:eastAsia="宋体"/>
                <w:b w:val="0"/>
                <w:sz w:val="17"/>
              </w:rPr>
              <w:t>0.0918</w:t>
            </w:r>
          </w:p>
        </w:tc>
        <w:tc>
          <w:tcPr>
            <w:tcW w:type="dxa" w:w="1531"/>
          </w:tcPr>
          <w:p>
            <w:r>
              <w:rPr>
                <w:rFonts w:ascii="宋体" w:hAnsi="宋体" w:eastAsia="宋体"/>
                <w:b w:val="0"/>
                <w:sz w:val="17"/>
              </w:rPr>
              <w:t>0.1130</w:t>
            </w:r>
          </w:p>
        </w:tc>
        <w:tc>
          <w:tcPr>
            <w:tcW w:type="dxa" w:w="1531"/>
          </w:tcPr>
          <w:p>
            <w:r>
              <w:rPr>
                <w:rFonts w:ascii="宋体" w:hAnsi="宋体" w:eastAsia="宋体"/>
                <w:b w:val="0"/>
                <w:sz w:val="17"/>
              </w:rPr>
              <w:t>0.4187/0.6374</w:t>
            </w:r>
          </w:p>
        </w:tc>
      </w:tr>
      <w:tr>
        <w:tc>
          <w:tcPr>
            <w:tcW w:type="dxa" w:w="1531"/>
          </w:tcPr>
          <w:p>
            <w:r>
              <w:rPr>
                <w:rFonts w:ascii="宋体" w:hAnsi="宋体" w:eastAsia="宋体"/>
                <w:b w:val="0"/>
                <w:sz w:val="17"/>
              </w:rPr>
              <w:t>完整 PHR</w:t>
            </w:r>
          </w:p>
        </w:tc>
        <w:tc>
          <w:tcPr>
            <w:tcW w:type="dxa" w:w="1531"/>
          </w:tcPr>
          <w:p>
            <w:r>
              <w:rPr>
                <w:rFonts w:ascii="宋体" w:hAnsi="宋体" w:eastAsia="宋体"/>
                <w:b w:val="0"/>
                <w:sz w:val="17"/>
              </w:rPr>
              <w:t>0.7414</w:t>
            </w:r>
          </w:p>
        </w:tc>
        <w:tc>
          <w:tcPr>
            <w:tcW w:type="dxa" w:w="1531"/>
          </w:tcPr>
          <w:p>
            <w:r>
              <w:rPr>
                <w:rFonts w:ascii="宋体" w:hAnsi="宋体" w:eastAsia="宋体"/>
                <w:b w:val="0"/>
                <w:sz w:val="17"/>
              </w:rPr>
              <w:t>0.6880</w:t>
            </w:r>
          </w:p>
        </w:tc>
        <w:tc>
          <w:tcPr>
            <w:tcW w:type="dxa" w:w="1531"/>
          </w:tcPr>
          <w:p>
            <w:r>
              <w:rPr>
                <w:rFonts w:ascii="宋体" w:hAnsi="宋体" w:eastAsia="宋体"/>
                <w:b w:val="0"/>
                <w:sz w:val="17"/>
              </w:rPr>
              <w:t>0.0959</w:t>
            </w:r>
          </w:p>
        </w:tc>
        <w:tc>
          <w:tcPr>
            <w:tcW w:type="dxa" w:w="1531"/>
          </w:tcPr>
          <w:p>
            <w:r>
              <w:rPr>
                <w:rFonts w:ascii="宋体" w:hAnsi="宋体" w:eastAsia="宋体"/>
                <w:b w:val="0"/>
                <w:sz w:val="17"/>
              </w:rPr>
              <w:t>0.1243</w:t>
            </w:r>
          </w:p>
        </w:tc>
        <w:tc>
          <w:tcPr>
            <w:tcW w:type="dxa" w:w="1531"/>
          </w:tcPr>
          <w:p>
            <w:r>
              <w:rPr>
                <w:rFonts w:ascii="宋体" w:hAnsi="宋体" w:eastAsia="宋体"/>
                <w:b w:val="0"/>
                <w:sz w:val="17"/>
              </w:rPr>
              <w:t>0.1813/0.2350</w:t>
            </w:r>
          </w:p>
        </w:tc>
      </w:tr>
    </w:tbl>
    <w:p>
      <w:pPr>
        <w:spacing w:after="100" w:line="336" w:lineRule="auto"/>
        <w:ind w:firstLine="420"/>
      </w:pPr>
      <w:r>
        <w:rPr>
          <w:rFonts w:ascii="宋体" w:hAnsi="宋体" w:eastAsia="宋体"/>
          <w:b w:val="0"/>
          <w:sz w:val="22"/>
        </w:rPr>
        <w:t>完整 PHR 的 Macro F1 相对 RSG 参考变化为 -0.0070，Accuracy 变化为 -0.0093，目标类召回变化为 -0.0480。虽然两条成对边遗憾从 0.4187/0.6374 降至 0.1813/0.2350，但目标类召回下降，且 Ti 与金属光泽干扰误入目标的比例均上升。因此，它未满足既定的总体性能、局部风险或风险取舍三条任一晋级规则。</w:t>
      </w:r>
    </w:p>
    <w:p>
      <w:pPr>
        <w:spacing w:after="100" w:line="336" w:lineRule="auto"/>
        <w:ind w:firstLine="420"/>
      </w:pPr>
      <w:r>
        <w:rPr>
          <w:rFonts w:ascii="宋体" w:hAnsi="宋体" w:eastAsia="宋体"/>
          <w:b w:val="0"/>
          <w:sz w:val="22"/>
        </w:rPr>
        <w:t>该结果支持本附录已明确的理论边界：两条成对边界上的局部遗憾降低，并不推出 Softmax 耦合后的全局四分类风险、Macro F1 或目标类代理指标改善。PHR 的解析遗憾恒等式、软目标损失界和最小范数约束修正仍作为可复核的候选机制保留；但在当前数据与协议下，PHR 只能作为机制性负结果和后续研究线索，不能写作本报告的性能创新成果。</w:t>
      </w:r>
    </w:p>
    <w:p>
      <w:r>
        <w:br w:type="page"/>
      </w:r>
    </w:p>
    <w:p>
      <w:pPr>
        <w:pStyle w:val="1"/>
        <w:keepNext/>
      </w:pPr>
      <w:r>
        <w:rPr>
          <w:rFonts w:ascii="黑体" w:hAnsi="黑体" w:eastAsia="黑体"/>
          <w:b/>
          <w:sz w:val="28"/>
        </w:rPr>
        <w:t>附录 J 门控训练目标的理论边界与固定专家验证</w:t>
      </w:r>
    </w:p>
    <w:p>
      <w:pPr>
        <w:spacing w:after="100" w:line="336" w:lineRule="auto"/>
        <w:ind w:firstLine="420"/>
      </w:pPr>
      <w:r>
        <w:rPr>
          <w:rFonts w:ascii="宋体" w:hAnsi="宋体" w:eastAsia="宋体"/>
          <w:b w:val="0"/>
          <w:sz w:val="22"/>
        </w:rPr>
        <w:t>本附录补充 RSG-HRGV 门控目标的解析依据、总体风险边界及固定专家对照。已有路由后悔下降结果不能直接解释为门控的独立性能收益，更不能推出整体分类指标必然提高。以下内容用于限定网络创新的可辩护范围，并据此确定后续改进问题。</w:t>
      </w:r>
    </w:p>
    <w:p>
      <w:pPr>
        <w:pStyle w:val="21"/>
        <w:keepNext/>
      </w:pPr>
      <w:r>
        <w:rPr>
          <w:rFonts w:ascii="黑体" w:hAnsi="黑体" w:eastAsia="黑体"/>
          <w:b/>
          <w:sz w:val="24"/>
        </w:rPr>
        <w:t>J.1 软门控目标的优化解释</w:t>
      </w:r>
    </w:p>
    <w:p>
      <w:pPr>
        <w:spacing w:after="100" w:line="336" w:lineRule="auto"/>
        <w:ind w:firstLine="420"/>
      </w:pPr>
      <w:r>
        <w:rPr>
          <w:rFonts w:ascii="宋体" w:hAnsi="宋体" w:eastAsia="宋体"/>
          <w:b w:val="0"/>
          <w:sz w:val="22"/>
        </w:rPr>
        <w:t>固定单张图像和真实角色，两专家对数损失记为 ld、lm，温度 T&gt;0。考虑专家期望损失与负熵正则之和：</w:t>
      </w:r>
    </w:p>
    <w:p>
      <w:pPr>
        <w:jc w:val="center"/>
      </w:pPr>
      <m:oMath>
        <m:r>
          <m:t>Jₜ(t) = t l_d + (1−t) l_m + T[t log t + (1−t) log(1−t)]</m:t>
        </m:r>
      </m:oMath>
    </w:p>
    <w:p>
      <w:pPr>
        <w:spacing w:after="100" w:line="336" w:lineRule="auto"/>
        <w:ind w:firstLine="420"/>
      </w:pPr>
      <w:r>
        <w:rPr>
          <w:rFonts w:ascii="宋体" w:hAnsi="宋体" w:eastAsia="宋体"/>
          <w:b w:val="0"/>
          <w:sz w:val="22"/>
        </w:rPr>
        <w:t>内部二阶导数为 T/[t(1−t)]&gt;0，由一阶导数为零和端点导数极限，可得唯一最优解 t*=sigmoid((lm−ld)/T)，与已实现软目标相同。该解释是经典熵正则化选择原理的两专家实例化，不作为独立首创定理。原理参考 Niculae 与 Blondel，A Regularized Framework for Sparse and Structured Neural Attention，NeurIPS 2017。</w:t>
      </w:r>
    </w:p>
    <w:p>
      <w:pPr>
        <w:jc w:val="center"/>
      </w:pPr>
      <m:oMath>
        <m:r>
          <m:t>Jₜ(g) − Jₜ(t*) = T KL(Ber(g) ∥ Ber(t*))</m:t>
        </m:r>
      </m:oMath>
    </w:p>
    <w:p>
      <w:pPr>
        <w:jc w:val="center"/>
      </w:pPr>
      <m:oMath>
        <m:r>
          <m:t>BCE(g,t*) − H(t*) = KL(Ber(t*) ∥ Ber(g))</m:t>
        </m:r>
      </m:oMath>
    </w:p>
    <w:p>
      <w:pPr>
        <w:spacing w:after="100" w:line="336" w:lineRule="auto"/>
        <w:ind w:firstLine="420"/>
      </w:pPr>
      <w:r>
        <w:rPr>
          <w:rFonts w:ascii="宋体" w:hAnsi="宋体" w:eastAsia="宋体"/>
          <w:b w:val="0"/>
          <w:sz w:val="22"/>
        </w:rPr>
        <w:t>两式的 KL 方向不同。因此 BCE 是对软 oracle 的拟合，不能被写成直接优化熵正则目标的等价实现。四组温度各 3,000 个合成样本的数值核验均通过，其中包含当前温度 0.2。数值核验支持公式实现一致性，不替代解析证明或分类性能实验。</w:t>
      </w:r>
    </w:p>
    <w:p>
      <w:pPr>
        <w:pStyle w:val="21"/>
        <w:keepNext/>
      </w:pPr>
      <w:r>
        <w:rPr>
          <w:rFonts w:ascii="黑体" w:hAnsi="黑体" w:eastAsia="黑体"/>
          <w:b/>
          <w:sz w:val="24"/>
        </w:rPr>
        <w:t>J.2 总体目标非等价性的反例</w:t>
      </w:r>
    </w:p>
    <w:p>
      <w:pPr>
        <w:spacing w:after="100" w:line="336" w:lineRule="auto"/>
        <w:ind w:firstLine="420"/>
      </w:pPr>
      <w:r>
        <w:rPr>
          <w:rFonts w:ascii="宋体" w:hAnsi="宋体" w:eastAsia="宋体"/>
          <w:b w:val="0"/>
          <w:sz w:val="22"/>
        </w:rPr>
        <w:t>对同一输入 x，推理门控不能使用未知真实角色。记真实条件分布为 π，标签相关的软目标为 ty、权重为 wy。在条件平均权重为正时，总体归一化加权 BCE 的最优门控为：</w:t>
      </w:r>
    </w:p>
    <w:p>
      <w:pPr>
        <w:jc w:val="center"/>
      </w:pPr>
      <m:oMath>
        <m:r>
          <m:t>g*BCE = E[wY tY | x] / E[wY | x]</m:t>
        </m:r>
      </m:oMath>
    </w:p>
    <w:p>
      <w:pPr>
        <w:spacing w:after="100" w:line="336" w:lineRule="auto"/>
        <w:ind w:firstLine="420"/>
      </w:pPr>
      <w:r>
        <w:rPr>
          <w:rFonts w:ascii="宋体" w:hAnsi="宋体" w:eastAsia="宋体"/>
          <w:b w:val="0"/>
          <w:sz w:val="22"/>
        </w:rPr>
        <w:t>而融合风险为 R(g)=−Σy πy log[by+g(ay−by)]，一般不在上述门控处最小。取 π=(0.4,0.4,0.1,0.1)，a=(0.72,0.08,0.1,0.1)，b=(0.48,0.32,0.1,0.1)。各概率严格为正，使用当前软目标及差距权重。</w:t>
      </w:r>
    </w:p>
    <w:p>
      <w:pPr>
        <w:jc w:val="center"/>
      </w:pPr>
      <m:oMath>
        <m:r>
          <m:t>R′(g) = 0.096[1/(0.32−0.24g) − 1/(0.48+0.24g)] &gt; 0</m:t>
        </m:r>
      </m:oMath>
    </w:p>
    <w:p>
      <w:pPr>
        <w:spacing w:after="100" w:line="336" w:lineRule="auto"/>
        <w:ind w:firstLine="420"/>
      </w:pPr>
      <w:r>
        <w:rPr>
          <w:rFonts w:ascii="宋体" w:hAnsi="宋体" w:eastAsia="宋体"/>
          <w:b w:val="0"/>
          <w:sz w:val="22"/>
        </w:rPr>
        <w:t>对 g∈[0,1]，上式严格为正，故融合 NLL 唯一最优门控为 0。实际代码计算的 BCE 最优门控为 0.356788，额外产生 0.058905 nat 的条件 NLL。这个有限支持反例否定无条件的 NLL 一致性主张，但未模拟完整联合训练网络，也不证明当前矿物数据上的真实失效原因。</w:t>
      </w:r>
    </w:p>
    <w:p>
      <w:pPr>
        <w:pStyle w:val="21"/>
        <w:keepNext/>
      </w:pPr>
      <w:r>
        <w:rPr>
          <w:rFonts w:ascii="黑体" w:hAnsi="黑体" w:eastAsia="黑体"/>
          <w:b/>
          <w:sz w:val="24"/>
        </w:rPr>
        <w:t>J.3 固定专家的验证集对照</w:t>
      </w:r>
    </w:p>
    <w:p>
      <w:pPr>
        <w:spacing w:after="100" w:line="336" w:lineRule="auto"/>
        <w:ind w:firstLine="420"/>
      </w:pPr>
      <w:r>
        <w:rPr>
          <w:rFonts w:ascii="宋体" w:hAnsi="宋体" w:eastAsia="宋体"/>
          <w:b w:val="0"/>
          <w:sz w:val="22"/>
        </w:rPr>
        <w:t>固定一个未采用后悔监督的 HRGV 专家检查点，在训练集上重新训练门控。比较等权融合、直接融合 NLL 和后悔 BCE 三种策略。两种学习门控均使用三组配对初始化、相同 30 轮预算，按验证集融合 NLL 选轮次。专家全部参数和缓冲区的逐项精确相等检查通过。</w:t>
      </w:r>
    </w:p>
    <w:tbl>
      <w:tblPr>
        <w:tblStyle w:val="aff1"/>
        <w:tblW w:type="auto" w:w="0"/>
        <w:tblLook w:firstColumn="1" w:firstRow="1" w:lastColumn="0" w:lastRow="0" w:noHBand="0" w:noVBand="1" w:val="04A0"/>
      </w:tblPr>
      <w:tblGrid>
        <w:gridCol w:w="2296"/>
        <w:gridCol w:w="2296"/>
        <w:gridCol w:w="2296"/>
        <w:gridCol w:w="2296"/>
      </w:tblGrid>
      <w:tr>
        <w:tc>
          <w:tcPr>
            <w:tcW w:type="dxa" w:w="2296"/>
          </w:tcPr>
          <w:p>
            <w:r>
              <w:rPr>
                <w:rFonts w:ascii="宋体" w:hAnsi="宋体" w:eastAsia="宋体"/>
                <w:b w:val="0"/>
                <w:sz w:val="20"/>
              </w:rPr>
              <w:t>策略</w:t>
            </w:r>
          </w:p>
        </w:tc>
        <w:tc>
          <w:tcPr>
            <w:tcW w:type="dxa" w:w="2296"/>
          </w:tcPr>
          <w:p>
            <w:r>
              <w:rPr>
                <w:rFonts w:ascii="宋体" w:hAnsi="宋体" w:eastAsia="宋体"/>
                <w:b w:val="0"/>
                <w:sz w:val="20"/>
              </w:rPr>
              <w:t>融合 NLL / nat</w:t>
            </w:r>
          </w:p>
        </w:tc>
        <w:tc>
          <w:tcPr>
            <w:tcW w:type="dxa" w:w="2296"/>
          </w:tcPr>
          <w:p>
            <w:r>
              <w:rPr>
                <w:rFonts w:ascii="宋体" w:hAnsi="宋体" w:eastAsia="宋体"/>
                <w:b w:val="0"/>
                <w:sz w:val="20"/>
              </w:rPr>
              <w:t>路由后悔 / nat</w:t>
            </w:r>
          </w:p>
        </w:tc>
        <w:tc>
          <w:tcPr>
            <w:tcW w:type="dxa" w:w="2296"/>
          </w:tcPr>
          <w:p>
            <w:r>
              <w:rPr>
                <w:rFonts w:ascii="宋体" w:hAnsi="宋体" w:eastAsia="宋体"/>
                <w:b w:val="0"/>
                <w:sz w:val="20"/>
              </w:rPr>
              <w:t>Accuracy</w:t>
            </w:r>
          </w:p>
        </w:tc>
      </w:tr>
      <w:tr>
        <w:tc>
          <w:tcPr>
            <w:tcW w:type="dxa" w:w="2296"/>
          </w:tcPr>
          <w:p>
            <w:r>
              <w:rPr>
                <w:rFonts w:ascii="宋体" w:hAnsi="宋体" w:eastAsia="宋体"/>
                <w:b w:val="0"/>
                <w:sz w:val="20"/>
              </w:rPr>
              <w:t>等权融合</w:t>
            </w:r>
          </w:p>
        </w:tc>
        <w:tc>
          <w:tcPr>
            <w:tcW w:type="dxa" w:w="2296"/>
          </w:tcPr>
          <w:p>
            <w:r>
              <w:rPr>
                <w:rFonts w:ascii="宋体" w:hAnsi="宋体" w:eastAsia="宋体"/>
                <w:b w:val="0"/>
                <w:sz w:val="20"/>
              </w:rPr>
              <w:t>0.798201</w:t>
            </w:r>
          </w:p>
        </w:tc>
        <w:tc>
          <w:tcPr>
            <w:tcW w:type="dxa" w:w="2296"/>
          </w:tcPr>
          <w:p>
            <w:r>
              <w:rPr>
                <w:rFonts w:ascii="宋体" w:hAnsi="宋体" w:eastAsia="宋体"/>
                <w:b w:val="0"/>
                <w:sz w:val="20"/>
              </w:rPr>
              <w:t>0.085095</w:t>
            </w:r>
          </w:p>
        </w:tc>
        <w:tc>
          <w:tcPr>
            <w:tcW w:type="dxa" w:w="2296"/>
          </w:tcPr>
          <w:p>
            <w:r>
              <w:rPr>
                <w:rFonts w:ascii="宋体" w:hAnsi="宋体" w:eastAsia="宋体"/>
                <w:b w:val="0"/>
                <w:sz w:val="20"/>
              </w:rPr>
              <w:t>76.71%</w:t>
            </w:r>
          </w:p>
        </w:tc>
      </w:tr>
      <w:tr>
        <w:tc>
          <w:tcPr>
            <w:tcW w:type="dxa" w:w="2296"/>
          </w:tcPr>
          <w:p>
            <w:r>
              <w:rPr>
                <w:rFonts w:ascii="宋体" w:hAnsi="宋体" w:eastAsia="宋体"/>
                <w:b w:val="0"/>
                <w:sz w:val="20"/>
              </w:rPr>
              <w:t>融合 NLL 门控</w:t>
            </w:r>
          </w:p>
        </w:tc>
        <w:tc>
          <w:tcPr>
            <w:tcW w:type="dxa" w:w="2296"/>
          </w:tcPr>
          <w:p>
            <w:r>
              <w:rPr>
                <w:rFonts w:ascii="宋体" w:hAnsi="宋体" w:eastAsia="宋体"/>
                <w:b w:val="0"/>
                <w:sz w:val="20"/>
              </w:rPr>
              <w:t>0.817507</w:t>
            </w:r>
          </w:p>
        </w:tc>
        <w:tc>
          <w:tcPr>
            <w:tcW w:type="dxa" w:w="2296"/>
          </w:tcPr>
          <w:p>
            <w:r>
              <w:rPr>
                <w:rFonts w:ascii="宋体" w:hAnsi="宋体" w:eastAsia="宋体"/>
                <w:b w:val="0"/>
                <w:sz w:val="20"/>
              </w:rPr>
              <w:t>0.104401</w:t>
            </w:r>
          </w:p>
        </w:tc>
        <w:tc>
          <w:tcPr>
            <w:tcW w:type="dxa" w:w="2296"/>
          </w:tcPr>
          <w:p>
            <w:r>
              <w:rPr>
                <w:rFonts w:ascii="宋体" w:hAnsi="宋体" w:eastAsia="宋体"/>
                <w:b w:val="0"/>
                <w:sz w:val="20"/>
              </w:rPr>
              <w:t>77.26%</w:t>
            </w:r>
          </w:p>
        </w:tc>
      </w:tr>
      <w:tr>
        <w:tc>
          <w:tcPr>
            <w:tcW w:type="dxa" w:w="2296"/>
          </w:tcPr>
          <w:p>
            <w:r>
              <w:rPr>
                <w:rFonts w:ascii="宋体" w:hAnsi="宋体" w:eastAsia="宋体"/>
                <w:b w:val="0"/>
                <w:sz w:val="20"/>
              </w:rPr>
              <w:t>后悔 BCE 门控</w:t>
            </w:r>
          </w:p>
        </w:tc>
        <w:tc>
          <w:tcPr>
            <w:tcW w:type="dxa" w:w="2296"/>
          </w:tcPr>
          <w:p>
            <w:r>
              <w:rPr>
                <w:rFonts w:ascii="宋体" w:hAnsi="宋体" w:eastAsia="宋体"/>
                <w:b w:val="0"/>
                <w:sz w:val="20"/>
              </w:rPr>
              <w:t>0.796819</w:t>
            </w:r>
          </w:p>
        </w:tc>
        <w:tc>
          <w:tcPr>
            <w:tcW w:type="dxa" w:w="2296"/>
          </w:tcPr>
          <w:p>
            <w:r>
              <w:rPr>
                <w:rFonts w:ascii="宋体" w:hAnsi="宋体" w:eastAsia="宋体"/>
                <w:b w:val="0"/>
                <w:sz w:val="20"/>
              </w:rPr>
              <w:t>0.083713</w:t>
            </w:r>
          </w:p>
        </w:tc>
        <w:tc>
          <w:tcPr>
            <w:tcW w:type="dxa" w:w="2296"/>
          </w:tcPr>
          <w:p>
            <w:r>
              <w:rPr>
                <w:rFonts w:ascii="宋体" w:hAnsi="宋体" w:eastAsia="宋体"/>
                <w:b w:val="0"/>
                <w:sz w:val="20"/>
              </w:rPr>
              <w:t>76.53%</w:t>
            </w:r>
          </w:p>
        </w:tc>
      </w:tr>
    </w:tbl>
    <w:p>
      <w:pPr>
        <w:spacing w:after="100" w:line="336" w:lineRule="auto"/>
        <w:ind w:firstLine="420"/>
      </w:pPr>
      <w:r>
        <w:rPr>
          <w:rFonts w:ascii="宋体" w:hAnsi="宋体" w:eastAsia="宋体"/>
          <w:b w:val="0"/>
          <w:sz w:val="22"/>
        </w:rPr>
        <w:t>后悔 BCE 相对等权融合的验证 NLL 仅降低约 0.001381 nat，Accuracy 下降约 0.1817 个百分点。最佳轮次集中在前两轮。三组种子只改变门控初始化，不是三个独立专家。源专家已拟合训练样本并曾用当前验证集选模型，本实验再用同一验证集选门控轮次，故结果仅为探索性机制诊断，不能作独立泛化或显著性结论。</w:t>
      </w:r>
    </w:p>
    <w:p>
      <w:pPr>
        <w:pStyle w:val="21"/>
        <w:keepNext/>
      </w:pPr>
      <w:r>
        <w:rPr>
          <w:rFonts w:ascii="黑体" w:hAnsi="黑体" w:eastAsia="黑体"/>
          <w:b/>
          <w:sz w:val="24"/>
        </w:rPr>
        <w:t>J.4 网络改进需要解决的问题</w:t>
      </w:r>
    </w:p>
    <w:p>
      <w:pPr>
        <w:spacing w:after="100" w:line="336" w:lineRule="auto"/>
        <w:ind w:firstLine="420"/>
      </w:pPr>
      <w:r>
        <w:rPr>
          <w:rFonts w:ascii="宋体" w:hAnsi="宋体" w:eastAsia="宋体"/>
          <w:b w:val="0"/>
          <w:sz w:val="22"/>
        </w:rPr>
        <w:t>后续应分别检验两项问题：其一，训练内专家预测能否代表未见样本上的门控监督；其二，门控训练目标与最终融合风险是否一致。交叉拟合可用于研究第一项，但不能单独消除第二项的总体目标非等价性。新的网络方法应在明确的最终风险目标下提出，再用固定专家对照和独立数据检验，当前不宣称该改进已完成。</w:t>
      </w:r>
    </w:p>
    <w:p>
      <w:pPr>
        <w:spacing w:after="100" w:line="336" w:lineRule="auto"/>
        <w:ind w:firstLine="420"/>
      </w:pPr>
      <w:r>
        <w:rPr>
          <w:rFonts w:ascii="宋体" w:hAnsi="宋体" w:eastAsia="宋体"/>
          <w:b w:val="0"/>
          <w:sz w:val="22"/>
        </w:rPr>
        <w:t>复现依据：verify_rsg_variational_target.py、verify_rsg_population_counterexample.py、audit_frozen_expert_routing.py 与 run_frozen_expert_gate_pilot.py；数值结果位于 outputs/theory，门控实验协议、全部轮次和验证预测位于 outputs/training/frozen_expert_gate_pilot。本文对数损失统一使用 nat；将损失乘以100展示也不能解释为概率百分点。</w:t>
      </w:r>
    </w:p>
    <w:p>
      <w:r>
        <w:br w:type="page"/>
      </w:r>
    </w:p>
    <w:p>
      <w:pPr>
        <w:pStyle w:val="1"/>
        <w:keepNext/>
        <w:spacing w:before="160" w:after="80"/>
      </w:pPr>
      <w:r>
        <w:rPr>
          <w:rFonts w:ascii="黑体" w:hAnsi="黑体" w:eastAsia="黑体"/>
          <w:b/>
          <w:sz w:val="28"/>
        </w:rPr>
        <w:t>附录 K 样本外风险监督路由网络及其理论性质</w:t>
      </w:r>
    </w:p>
    <w:p>
      <w:pPr>
        <w:spacing w:after="80" w:line="312" w:lineRule="auto"/>
        <w:ind w:firstLine="420"/>
      </w:pPr>
      <w:r>
        <w:rPr>
          <w:rFonts w:ascii="宋体" w:hAnsi="宋体" w:eastAsia="宋体"/>
          <w:b w:val="0"/>
          <w:sz w:val="22"/>
        </w:rPr>
        <w:t>本附录在 RSG-HRGV 的共享骨干、角色/矿种双专家、固定种类到角色映射以及两类困难负样本校验器基础上，提出样本外风险监督路由 OOS-RSG-HRGV。其网络改进不依赖继续堆叠普通注意力模块，而是改变门控的学习位置和目标：专家在一组数据上拟合并停止，门控在按原始图像组隔离的未见样本上直接最小化最终校验后风险。当前结果用于验证这一机制及其理论边界，尚不构成独立外部泛化或稳定优越性结论。</w:t>
      </w:r>
    </w:p>
    <w:p>
      <w:pPr>
        <w:pStyle w:val="21"/>
        <w:keepNext/>
        <w:spacing w:before="120" w:after="80"/>
      </w:pPr>
      <w:r>
        <w:rPr>
          <w:rFonts w:ascii="黑体" w:hAnsi="黑体" w:eastAsia="黑体"/>
          <w:b/>
          <w:sz w:val="24"/>
        </w:rPr>
        <w:t>K.1 数据隔离与网络结构</w:t>
      </w:r>
    </w:p>
    <w:p>
      <w:pPr>
        <w:spacing w:after="80" w:line="312" w:lineRule="auto"/>
        <w:ind w:firstLine="420"/>
      </w:pPr>
      <w:r>
        <w:rPr>
          <w:rFonts w:ascii="宋体" w:hAnsi="宋体" w:eastAsia="宋体"/>
          <w:b w:val="0"/>
          <w:sz w:val="22"/>
        </w:rPr>
        <w:t>为区分专家拟合能力与门控泛化能力，数据先按 photo ID、重复/近重复组进行不可拆分分组，再构造四个功能子集。D_G 与 D_seen 在 17 个矿种-角色分层上的计数逐项相同，且 D_G 不与 D_E、D_S 或 D_seen 共享图像组。钛磁铁矿在完整数据中仍为 35 张；本实验两个配对子集各取 2 张只是受严格分层匹配约束，并不表示全数据只有 2 张或 23 张。</w:t>
      </w:r>
    </w:p>
    <w:tbl>
      <w:tblPr>
        <w:tblStyle w:val="aff1"/>
        <w:tblW w:type="auto" w:w="0"/>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E2F3"/>
          </w:tcPr>
          <w:p>
            <w:pPr>
              <w:spacing w:after="0" w:line="240" w:lineRule="auto"/>
              <w:jc w:val="center"/>
            </w:pPr>
            <w:r/>
            <w:r>
              <w:rPr>
                <w:rFonts w:ascii="宋体" w:hAnsi="宋体" w:eastAsia="宋体"/>
                <w:b/>
                <w:sz w:val="18"/>
              </w:rPr>
              <w:t>子集</w:t>
            </w:r>
          </w:p>
        </w:tc>
        <w:tc>
          <w:tcPr>
            <w:tcW w:type="dxa" w:w="2296"/>
            <w:vAlign w:val="center"/>
            <w:shd w:fill="D9E2F3"/>
          </w:tcPr>
          <w:p>
            <w:pPr>
              <w:spacing w:after="0" w:line="240" w:lineRule="auto"/>
              <w:jc w:val="center"/>
            </w:pPr>
            <w:r/>
            <w:r>
              <w:rPr>
                <w:rFonts w:ascii="宋体" w:hAnsi="宋体" w:eastAsia="宋体"/>
                <w:b/>
                <w:sz w:val="18"/>
              </w:rPr>
              <w:t>图像数</w:t>
            </w:r>
          </w:p>
        </w:tc>
        <w:tc>
          <w:tcPr>
            <w:tcW w:type="dxa" w:w="2296"/>
            <w:vAlign w:val="center"/>
            <w:shd w:fill="D9E2F3"/>
          </w:tcPr>
          <w:p>
            <w:pPr>
              <w:spacing w:after="0" w:line="240" w:lineRule="auto"/>
              <w:jc w:val="center"/>
            </w:pPr>
            <w:r/>
            <w:r>
              <w:rPr>
                <w:rFonts w:ascii="宋体" w:hAnsi="宋体" w:eastAsia="宋体"/>
                <w:b/>
                <w:sz w:val="18"/>
              </w:rPr>
              <w:t>用途</w:t>
            </w:r>
          </w:p>
        </w:tc>
        <w:tc>
          <w:tcPr>
            <w:tcW w:type="dxa" w:w="2296"/>
            <w:vAlign w:val="center"/>
            <w:shd w:fill="D9E2F3"/>
          </w:tcPr>
          <w:p>
            <w:pPr>
              <w:spacing w:after="0" w:line="240" w:lineRule="auto"/>
              <w:jc w:val="center"/>
            </w:pPr>
            <w:r/>
            <w:r>
              <w:rPr>
                <w:rFonts w:ascii="宋体" w:hAnsi="宋体" w:eastAsia="宋体"/>
                <w:b/>
                <w:sz w:val="18"/>
              </w:rPr>
              <w:t>是否参与专家梯度</w:t>
            </w:r>
          </w:p>
        </w:tc>
      </w:tr>
      <w:tr>
        <w:tc>
          <w:tcPr>
            <w:tcW w:type="dxa" w:w="2296"/>
            <w:vAlign w:val="center"/>
          </w:tcPr>
          <w:p>
            <w:pPr>
              <w:spacing w:after="0" w:line="240" w:lineRule="auto"/>
              <w:jc w:val="center"/>
            </w:pPr>
            <w:r/>
            <w:r>
              <w:rPr>
                <w:rFonts w:ascii="宋体" w:hAnsi="宋体" w:eastAsia="宋体"/>
                <w:b w:val="0"/>
                <w:sz w:val="17"/>
              </w:rPr>
              <w:t>D_E：专家拟合</w:t>
            </w:r>
          </w:p>
        </w:tc>
        <w:tc>
          <w:tcPr>
            <w:tcW w:type="dxa" w:w="2296"/>
            <w:vAlign w:val="center"/>
          </w:tcPr>
          <w:p>
            <w:pPr>
              <w:spacing w:after="0" w:line="240" w:lineRule="auto"/>
              <w:jc w:val="center"/>
            </w:pPr>
            <w:r/>
            <w:r>
              <w:rPr>
                <w:rFonts w:ascii="宋体" w:hAnsi="宋体" w:eastAsia="宋体"/>
                <w:b w:val="0"/>
                <w:sz w:val="17"/>
              </w:rPr>
              <w:t>4,176</w:t>
            </w:r>
          </w:p>
        </w:tc>
        <w:tc>
          <w:tcPr>
            <w:tcW w:type="dxa" w:w="2296"/>
            <w:vAlign w:val="center"/>
          </w:tcPr>
          <w:p>
            <w:pPr>
              <w:spacing w:after="0" w:line="240" w:lineRule="auto"/>
              <w:jc w:val="center"/>
            </w:pPr>
            <w:r/>
            <w:r>
              <w:rPr>
                <w:rFonts w:ascii="宋体" w:hAnsi="宋体" w:eastAsia="宋体"/>
                <w:b w:val="0"/>
                <w:sz w:val="17"/>
              </w:rPr>
              <w:t>训练共享骨干、双专家与校验器</w:t>
            </w:r>
          </w:p>
        </w:tc>
        <w:tc>
          <w:tcPr>
            <w:tcW w:type="dxa" w:w="2296"/>
            <w:vAlign w:val="center"/>
          </w:tcPr>
          <w:p>
            <w:pPr>
              <w:spacing w:after="0" w:line="240" w:lineRule="auto"/>
              <w:jc w:val="center"/>
            </w:pPr>
            <w:r/>
            <w:r>
              <w:rPr>
                <w:rFonts w:ascii="宋体" w:hAnsi="宋体" w:eastAsia="宋体"/>
                <w:b w:val="0"/>
                <w:sz w:val="17"/>
              </w:rPr>
              <w:t>是</w:t>
            </w:r>
          </w:p>
        </w:tc>
      </w:tr>
      <w:tr>
        <w:tc>
          <w:tcPr>
            <w:tcW w:type="dxa" w:w="2296"/>
            <w:vAlign w:val="center"/>
          </w:tcPr>
          <w:p>
            <w:pPr>
              <w:spacing w:after="0" w:line="240" w:lineRule="auto"/>
              <w:jc w:val="center"/>
            </w:pPr>
            <w:r/>
            <w:r>
              <w:rPr>
                <w:rFonts w:ascii="宋体" w:hAnsi="宋体" w:eastAsia="宋体"/>
                <w:b w:val="0"/>
                <w:sz w:val="17"/>
              </w:rPr>
              <w:t>D_S：专家停止</w:t>
            </w:r>
          </w:p>
        </w:tc>
        <w:tc>
          <w:tcPr>
            <w:tcW w:type="dxa" w:w="2296"/>
            <w:vAlign w:val="center"/>
          </w:tcPr>
          <w:p>
            <w:pPr>
              <w:spacing w:after="0" w:line="240" w:lineRule="auto"/>
              <w:jc w:val="center"/>
            </w:pPr>
            <w:r/>
            <w:r>
              <w:rPr>
                <w:rFonts w:ascii="宋体" w:hAnsi="宋体" w:eastAsia="宋体"/>
                <w:b w:val="0"/>
                <w:sz w:val="17"/>
              </w:rPr>
              <w:t>893</w:t>
            </w:r>
          </w:p>
        </w:tc>
        <w:tc>
          <w:tcPr>
            <w:tcW w:type="dxa" w:w="2296"/>
            <w:vAlign w:val="center"/>
          </w:tcPr>
          <w:p>
            <w:pPr>
              <w:spacing w:after="0" w:line="240" w:lineRule="auto"/>
              <w:jc w:val="center"/>
            </w:pPr>
            <w:r/>
            <w:r>
              <w:rPr>
                <w:rFonts w:ascii="宋体" w:hAnsi="宋体" w:eastAsia="宋体"/>
                <w:b w:val="0"/>
                <w:sz w:val="17"/>
              </w:rPr>
              <w:t>早停与专家检查点选择</w:t>
            </w:r>
          </w:p>
        </w:tc>
        <w:tc>
          <w:tcPr>
            <w:tcW w:type="dxa" w:w="2296"/>
            <w:vAlign w:val="center"/>
          </w:tcPr>
          <w:p>
            <w:pPr>
              <w:spacing w:after="0" w:line="240" w:lineRule="auto"/>
              <w:jc w:val="center"/>
            </w:pPr>
            <w:r/>
            <w:r>
              <w:rPr>
                <w:rFonts w:ascii="宋体" w:hAnsi="宋体" w:eastAsia="宋体"/>
                <w:b w:val="0"/>
                <w:sz w:val="17"/>
              </w:rPr>
              <w:t>否</w:t>
            </w:r>
          </w:p>
        </w:tc>
      </w:tr>
      <w:tr>
        <w:tc>
          <w:tcPr>
            <w:tcW w:type="dxa" w:w="2296"/>
            <w:vAlign w:val="center"/>
          </w:tcPr>
          <w:p>
            <w:pPr>
              <w:spacing w:after="0" w:line="240" w:lineRule="auto"/>
              <w:jc w:val="center"/>
            </w:pPr>
            <w:r/>
            <w:r>
              <w:rPr>
                <w:rFonts w:ascii="宋体" w:hAnsi="宋体" w:eastAsia="宋体"/>
                <w:b w:val="0"/>
                <w:sz w:val="17"/>
              </w:rPr>
              <w:t>D_G：门控未见</w:t>
            </w:r>
          </w:p>
        </w:tc>
        <w:tc>
          <w:tcPr>
            <w:tcW w:type="dxa" w:w="2296"/>
            <w:vAlign w:val="center"/>
          </w:tcPr>
          <w:p>
            <w:pPr>
              <w:spacing w:after="0" w:line="240" w:lineRule="auto"/>
              <w:jc w:val="center"/>
            </w:pPr>
            <w:r/>
            <w:r>
              <w:rPr>
                <w:rFonts w:ascii="宋体" w:hAnsi="宋体" w:eastAsia="宋体"/>
                <w:b w:val="0"/>
                <w:sz w:val="17"/>
              </w:rPr>
              <w:t>892</w:t>
            </w:r>
          </w:p>
        </w:tc>
        <w:tc>
          <w:tcPr>
            <w:tcW w:type="dxa" w:w="2296"/>
            <w:vAlign w:val="center"/>
          </w:tcPr>
          <w:p>
            <w:pPr>
              <w:spacing w:after="0" w:line="240" w:lineRule="auto"/>
              <w:jc w:val="center"/>
            </w:pPr>
            <w:r/>
            <w:r>
              <w:rPr>
                <w:rFonts w:ascii="宋体" w:hAnsi="宋体" w:eastAsia="宋体"/>
                <w:b w:val="0"/>
                <w:sz w:val="17"/>
              </w:rPr>
              <w:t>样本外最终风险监督</w:t>
            </w:r>
          </w:p>
        </w:tc>
        <w:tc>
          <w:tcPr>
            <w:tcW w:type="dxa" w:w="2296"/>
            <w:vAlign w:val="center"/>
          </w:tcPr>
          <w:p>
            <w:pPr>
              <w:spacing w:after="0" w:line="240" w:lineRule="auto"/>
              <w:jc w:val="center"/>
            </w:pPr>
            <w:r/>
            <w:r>
              <w:rPr>
                <w:rFonts w:ascii="宋体" w:hAnsi="宋体" w:eastAsia="宋体"/>
                <w:b w:val="0"/>
                <w:sz w:val="17"/>
              </w:rPr>
              <w:t>否</w:t>
            </w:r>
          </w:p>
        </w:tc>
      </w:tr>
      <w:tr>
        <w:tc>
          <w:tcPr>
            <w:tcW w:type="dxa" w:w="2296"/>
            <w:vAlign w:val="center"/>
          </w:tcPr>
          <w:p>
            <w:pPr>
              <w:spacing w:after="0" w:line="240" w:lineRule="auto"/>
              <w:jc w:val="center"/>
            </w:pPr>
            <w:r/>
            <w:r>
              <w:rPr>
                <w:rFonts w:ascii="宋体" w:hAnsi="宋体" w:eastAsia="宋体"/>
                <w:b w:val="0"/>
                <w:sz w:val="17"/>
              </w:rPr>
              <w:t>D_seen：配对对照</w:t>
            </w:r>
          </w:p>
        </w:tc>
        <w:tc>
          <w:tcPr>
            <w:tcW w:type="dxa" w:w="2296"/>
            <w:vAlign w:val="center"/>
          </w:tcPr>
          <w:p>
            <w:pPr>
              <w:spacing w:after="0" w:line="240" w:lineRule="auto"/>
              <w:jc w:val="center"/>
            </w:pPr>
            <w:r/>
            <w:r>
              <w:rPr>
                <w:rFonts w:ascii="宋体" w:hAnsi="宋体" w:eastAsia="宋体"/>
                <w:b w:val="0"/>
                <w:sz w:val="17"/>
              </w:rPr>
              <w:t>892</w:t>
            </w:r>
          </w:p>
        </w:tc>
        <w:tc>
          <w:tcPr>
            <w:tcW w:type="dxa" w:w="2296"/>
            <w:vAlign w:val="center"/>
          </w:tcPr>
          <w:p>
            <w:pPr>
              <w:spacing w:after="0" w:line="240" w:lineRule="auto"/>
              <w:jc w:val="center"/>
            </w:pPr>
            <w:r/>
            <w:r>
              <w:rPr>
                <w:rFonts w:ascii="宋体" w:hAnsi="宋体" w:eastAsia="宋体"/>
                <w:b w:val="0"/>
                <w:sz w:val="17"/>
              </w:rPr>
              <w:t>专家已见样本上的门控监督</w:t>
            </w:r>
          </w:p>
        </w:tc>
        <w:tc>
          <w:tcPr>
            <w:tcW w:type="dxa" w:w="2296"/>
            <w:vAlign w:val="center"/>
          </w:tcPr>
          <w:p>
            <w:pPr>
              <w:spacing w:after="0" w:line="240" w:lineRule="auto"/>
              <w:jc w:val="center"/>
            </w:pPr>
            <w:r/>
            <w:r>
              <w:rPr>
                <w:rFonts w:ascii="宋体" w:hAnsi="宋体" w:eastAsia="宋体"/>
                <w:b w:val="0"/>
                <w:sz w:val="17"/>
              </w:rPr>
              <w:t>已参与</w:t>
            </w:r>
          </w:p>
        </w:tc>
      </w:tr>
    </w:tbl>
    <w:p>
      <w:pPr>
        <w:keepLines/>
        <w:spacing w:before="40" w:after="80"/>
        <w:jc w:val="center"/>
      </w:pPr>
      <w:r>
        <w:rPr>
          <w:rFonts w:ascii="Cambria Math" w:hAnsi="Cambria Math" w:eastAsia="Cambria Math"/>
          <w:b w:val="0"/>
          <w:sz w:val="22"/>
        </w:rPr>
        <w:t>θ̂ = A(D_E, D_S),    ∂θ̂/∂L_gate = 0</w:t>
      </w:r>
      <w:r>
        <w:t xml:space="preserve">    </w:t>
      </w:r>
      <w:r>
        <w:rPr>
          <w:rFonts w:ascii="Times New Roman" w:hAnsi="Times New Roman" w:eastAsia="Times New Roman"/>
          <w:b w:val="0"/>
          <w:sz w:val="21"/>
        </w:rPr>
        <w:t>(K-1)</w:t>
      </w:r>
    </w:p>
    <w:p>
      <w:pPr>
        <w:spacing w:after="80" w:line="312" w:lineRule="auto"/>
        <w:ind w:firstLine="420"/>
      </w:pPr>
      <w:r>
        <w:rPr>
          <w:rFonts w:ascii="宋体" w:hAnsi="宋体" w:eastAsia="宋体"/>
          <w:b w:val="0"/>
          <w:sz w:val="22"/>
        </w:rPr>
        <w:t>式（K-1）表示专家参数由拟合集和停止集确定，进入门控训练后全部参数与缓冲区冻结。共享 EfficientNet-B0 输出 1,280 维特征 h；直接角色头给出 p_d，矿种头给出 p_s，经固定映射矩阵 A 得到 p_m=A p_s；含钛与金属光泽校验器输出 v_Ti、v_M。门控输入同时包含视觉特征、两专家后验、熵、JS 分歧和校验器证据。</w:t>
      </w:r>
    </w:p>
    <w:p>
      <w:pPr>
        <w:keepLines/>
        <w:jc w:val="center"/>
      </w:pPr>
      <w:r>
        <w:drawing>
          <wp:inline xmlns:a="http://schemas.openxmlformats.org/drawingml/2006/main" xmlns:pic="http://schemas.openxmlformats.org/drawingml/2006/picture">
            <wp:extent cx="5544000" cy="3410640"/>
            <wp:docPr id="61" name="Picture 61"/>
            <wp:cNvGraphicFramePr>
              <a:graphicFrameLocks noChangeAspect="1"/>
            </wp:cNvGraphicFramePr>
            <a:graphic>
              <a:graphicData uri="http://schemas.openxmlformats.org/drawingml/2006/picture">
                <pic:pic>
                  <pic:nvPicPr>
                    <pic:cNvPr id="0" name="fig_oos_rsg_training_architecture.png"/>
                    <pic:cNvPicPr/>
                  </pic:nvPicPr>
                  <pic:blipFill>
                    <a:blip r:embed="rId72"/>
                    <a:stretch>
                      <a:fillRect/>
                    </a:stretch>
                  </pic:blipFill>
                  <pic:spPr>
                    <a:xfrm>
                      <a:off x="0" y="0"/>
                      <a:ext cx="5544000" cy="3410640"/>
                    </a:xfrm>
                    <a:prstGeom prst="rect"/>
                  </pic:spPr>
                </pic:pic>
              </a:graphicData>
            </a:graphic>
          </wp:inline>
        </w:drawing>
      </w:r>
    </w:p>
    <w:p>
      <w:pPr>
        <w:pStyle w:val="af7"/>
        <w:keepNext/>
        <w:jc w:val="center"/>
      </w:pPr>
      <w:r>
        <w:rPr>
          <w:rFonts w:ascii="宋体" w:hAnsi="宋体" w:eastAsia="宋体"/>
          <w:b w:val="0"/>
          <w:sz w:val="21"/>
        </w:rPr>
        <w:t>图 28 OOS-RSG-HRGV 的数据隔离、双专家结构与样本外风险监督路径</w:t>
      </w:r>
    </w:p>
    <w:p>
      <w:pPr>
        <w:pStyle w:val="21"/>
        <w:keepNext/>
        <w:spacing w:before="120" w:after="80"/>
      </w:pPr>
      <w:r>
        <w:rPr>
          <w:rFonts w:ascii="黑体" w:hAnsi="黑体" w:eastAsia="黑体"/>
          <w:b/>
          <w:sz w:val="24"/>
        </w:rPr>
        <w:t>K.2 最终风险监督与网络训练目标</w:t>
      </w:r>
    </w:p>
    <w:p>
      <w:pPr>
        <w:spacing w:after="80" w:line="312" w:lineRule="auto"/>
        <w:ind w:firstLine="420"/>
      </w:pPr>
      <w:r>
        <w:rPr>
          <w:rFonts w:ascii="宋体" w:hAnsi="宋体" w:eastAsia="宋体"/>
          <w:b w:val="0"/>
          <w:sz w:val="22"/>
        </w:rPr>
        <w:t>设 g_φ(u) 为样本相关门控，p_d 与 p_m 分别为直接角色专家和矿种映射专家的角色后验，V 为已冻结的校验修正算子。与只拟合标签相关软 oracle 的原门控不同，OOS-RSG 首先在最终决策分布上定义风险。</w:t>
      </w:r>
    </w:p>
    <w:p>
      <w:pPr>
        <w:keepLines/>
        <w:spacing w:before="40" w:after="80"/>
        <w:jc w:val="center"/>
      </w:pPr>
      <w:r>
        <w:rPr>
          <w:rFonts w:ascii="Cambria Math" w:hAnsi="Cambria Math" w:eastAsia="Cambria Math"/>
          <w:b w:val="0"/>
          <w:sz w:val="22"/>
        </w:rPr>
        <w:t>p_g(x)=g_φ(u)p_d(x)+[1−g_φ(u)]p_m(x)</w:t>
      </w:r>
      <w:r>
        <w:t xml:space="preserve">    </w:t>
      </w:r>
      <w:r>
        <w:rPr>
          <w:rFonts w:ascii="Times New Roman" w:hAnsi="Times New Roman" w:eastAsia="Times New Roman"/>
          <w:b w:val="0"/>
          <w:sz w:val="21"/>
        </w:rPr>
        <w:t>(K-2)</w:t>
      </w:r>
    </w:p>
    <w:p>
      <w:pPr>
        <w:keepLines/>
        <w:spacing w:before="40" w:after="80"/>
        <w:jc w:val="center"/>
      </w:pPr>
      <w:r>
        <w:rPr>
          <w:rFonts w:ascii="Cambria Math" w:hAnsi="Cambria Math" w:eastAsia="Cambria Math"/>
          <w:b w:val="0"/>
          <w:sz w:val="22"/>
        </w:rPr>
        <w:t>p_f(x)=V[p_g(x),v_Ti(x),v_M(x)]</w:t>
      </w:r>
      <w:r>
        <w:t xml:space="preserve">    </w:t>
      </w:r>
      <w:r>
        <w:rPr>
          <w:rFonts w:ascii="Times New Roman" w:hAnsi="Times New Roman" w:eastAsia="Times New Roman"/>
          <w:b w:val="0"/>
          <w:sz w:val="21"/>
        </w:rPr>
        <w:t>(K-3)</w:t>
      </w:r>
    </w:p>
    <w:p>
      <w:pPr>
        <w:keepLines/>
        <w:spacing w:before="40" w:after="80"/>
        <w:jc w:val="center"/>
      </w:pPr>
      <w:r>
        <w:rPr>
          <w:rFonts w:ascii="Cambria Math" w:hAnsi="Cambria Math" w:eastAsia="Cambria Math"/>
          <w:b w:val="0"/>
          <w:sz w:val="22"/>
        </w:rPr>
        <w:t>L_OOS(φ)=E_(x,y)∼D_G[−log p_f(y|x)] + λ E_(x,y)∼D_G[BCE(g_φ,t_regret)]</w:t>
      </w:r>
      <w:r>
        <w:t xml:space="preserve">    </w:t>
      </w:r>
      <w:r>
        <w:rPr>
          <w:rFonts w:ascii="Times New Roman" w:hAnsi="Times New Roman" w:eastAsia="Times New Roman"/>
          <w:b w:val="0"/>
          <w:sz w:val="21"/>
        </w:rPr>
        <w:t>(K-4)</w:t>
      </w:r>
    </w:p>
    <w:p>
      <w:pPr>
        <w:spacing w:after="80" w:line="312" w:lineRule="auto"/>
        <w:ind w:firstLine="420"/>
      </w:pPr>
      <w:r>
        <w:rPr>
          <w:rFonts w:ascii="宋体" w:hAnsi="宋体" w:eastAsia="宋体"/>
          <w:b w:val="0"/>
          <w:sz w:val="22"/>
        </w:rPr>
        <w:t>其中 λ=0 对应纯最终 NLL；λ=0.1 对应最终 NLL 加遗憾辅助监督。t_regret 只作为低权重归纳偏置，最终风险仍通过校验后的 p_f 回传至门控。该设计把网络创新落实为“校验器感知、样本外、最终风险监督”的路由，而不是把数据划分技术本身宣称为新算法。</w:t>
      </w:r>
    </w:p>
    <w:p>
      <w:pPr>
        <w:pStyle w:val="21"/>
        <w:keepNext/>
        <w:spacing w:before="120" w:after="80"/>
      </w:pPr>
      <w:r>
        <w:rPr>
          <w:rFonts w:ascii="黑体" w:hAnsi="黑体" w:eastAsia="黑体"/>
          <w:b/>
          <w:sz w:val="24"/>
        </w:rPr>
        <w:t>K.3 命题一：固定门控的条件无偏风险与梯度</w:t>
      </w:r>
    </w:p>
    <w:p>
      <w:pPr>
        <w:spacing w:after="80" w:line="312" w:lineRule="auto"/>
        <w:ind w:firstLine="420"/>
      </w:pPr>
      <w:r>
        <w:rPr>
          <w:rFonts w:ascii="宋体" w:hAnsi="宋体" w:eastAsia="宋体"/>
          <w:b w:val="0"/>
          <w:sz w:val="22"/>
        </w:rPr>
        <w:t>命题 1：条件于已由 D_E、D_S 决定的冻结专家 θ̂，若 D_G 由与专家拟合组相互独立的图像组从目标分布 P 抽取，且待评价的门控参数 φ 在观察 D_G 前固定，则 D_G 上的经验最终风险及其梯度分别是条件总体风险与梯度的无偏估计：</w:t>
      </w:r>
    </w:p>
    <w:p>
      <w:pPr>
        <w:keepLines/>
        <w:spacing w:before="40" w:after="80"/>
        <w:jc w:val="center"/>
      </w:pPr>
      <w:r>
        <w:rPr>
          <w:rFonts w:ascii="Cambria Math" w:hAnsi="Cambria Math" w:eastAsia="Cambria Math"/>
          <w:b w:val="0"/>
          <w:sz w:val="22"/>
        </w:rPr>
        <w:t>E[ R̂_G(φ) | D_E,D_S ] = R(φ | θ̂)</w:t>
      </w:r>
      <w:r>
        <w:t xml:space="preserve">    </w:t>
      </w:r>
      <w:r>
        <w:rPr>
          <w:rFonts w:ascii="Times New Roman" w:hAnsi="Times New Roman" w:eastAsia="Times New Roman"/>
          <w:b w:val="0"/>
          <w:sz w:val="21"/>
        </w:rPr>
        <w:t>(K-5)</w:t>
      </w:r>
    </w:p>
    <w:p>
      <w:pPr>
        <w:keepLines/>
        <w:spacing w:before="40" w:after="80"/>
        <w:jc w:val="center"/>
      </w:pPr>
      <w:r>
        <w:rPr>
          <w:rFonts w:ascii="Cambria Math" w:hAnsi="Cambria Math" w:eastAsia="Cambria Math"/>
          <w:b w:val="0"/>
          <w:sz w:val="22"/>
        </w:rPr>
        <w:t>E[ ∇_φ R̂_G(φ) | D_E,D_S ] = ∇_φ R(φ | θ̂)</w:t>
      </w:r>
      <w:r>
        <w:t xml:space="preserve">    </w:t>
      </w:r>
      <w:r>
        <w:rPr>
          <w:rFonts w:ascii="Times New Roman" w:hAnsi="Times New Roman" w:eastAsia="Times New Roman"/>
          <w:b w:val="0"/>
          <w:sz w:val="21"/>
        </w:rPr>
        <w:t>(K-6)</w:t>
      </w:r>
    </w:p>
    <w:p>
      <w:pPr>
        <w:spacing w:after="80" w:line="312" w:lineRule="auto"/>
        <w:ind w:firstLine="420"/>
      </w:pPr>
      <w:r>
        <w:rPr>
          <w:rFonts w:ascii="宋体" w:hAnsi="宋体" w:eastAsia="宋体"/>
          <w:b w:val="0"/>
          <w:sz w:val="22"/>
        </w:rPr>
        <w:t>证明要点：在有限期望及可交换微分与期望的常规条件下，独立同分布样本损失和梯度的样本均值分别对总体期望无偏。其意义是：与在 D_E 上给门控制造标签相比，D_G 能提供未参与专家拟合的数据上的风险信号。但当 φ 已在同一 D_G 上优化后，再用 D_G 报告其泛化风险并不保持该无偏结论；本实验还复用了 D_S 选门控轮次，因此 D_S 不是最终独立确认集。</w:t>
      </w:r>
    </w:p>
    <w:p>
      <w:pPr>
        <w:pStyle w:val="21"/>
        <w:keepNext/>
        <w:spacing w:before="120" w:after="80"/>
      </w:pPr>
      <w:r>
        <w:rPr>
          <w:rFonts w:ascii="黑体" w:hAnsi="黑体" w:eastAsia="黑体"/>
          <w:b/>
          <w:sz w:val="24"/>
        </w:rPr>
        <w:t>K.4 命题二：双专家一致时的门控退化</w:t>
      </w:r>
    </w:p>
    <w:p>
      <w:pPr>
        <w:spacing w:after="80" w:line="312" w:lineRule="auto"/>
        <w:ind w:firstLine="420"/>
      </w:pPr>
      <w:r>
        <w:rPr>
          <w:rFonts w:ascii="宋体" w:hAnsi="宋体" w:eastAsia="宋体"/>
          <w:b w:val="0"/>
          <w:sz w:val="22"/>
        </w:rPr>
        <w:t>命题 2：若某输入上 p_d(x)=p_m(x)，则任意 g_φ 都有 p_g(x)=p_d(x)=p_m(x)。当校验器只依赖 p_g 与冻结校验证据时，p_f 也与门控无关，最终 NLL 对门控参数的梯度为零；同时两专家真实类损失差为零，基于专家差距的 RSG 权重也为零。</w:t>
      </w:r>
    </w:p>
    <w:p>
      <w:pPr>
        <w:keepLines/>
        <w:spacing w:before="40" w:after="80"/>
        <w:jc w:val="center"/>
      </w:pPr>
      <w:r>
        <w:rPr>
          <w:rFonts w:ascii="Cambria Math" w:hAnsi="Cambria Math" w:eastAsia="Cambria Math"/>
          <w:b w:val="0"/>
          <w:sz w:val="22"/>
        </w:rPr>
        <w:t>p_d=p_m  ⇒  ∂[−log p_f(y|x)]/∂φ = 0</w:t>
      </w:r>
      <w:r>
        <w:t xml:space="preserve">    </w:t>
      </w:r>
      <w:r>
        <w:rPr>
          <w:rFonts w:ascii="Times New Roman" w:hAnsi="Times New Roman" w:eastAsia="Times New Roman"/>
          <w:b w:val="0"/>
          <w:sz w:val="21"/>
        </w:rPr>
        <w:t>(K-7)</w:t>
      </w:r>
    </w:p>
    <w:p>
      <w:pPr>
        <w:keepLines/>
        <w:spacing w:before="40" w:after="80"/>
        <w:jc w:val="center"/>
      </w:pPr>
      <w:r>
        <w:rPr>
          <w:rFonts w:ascii="Cambria Math" w:hAnsi="Cambria Math" w:eastAsia="Cambria Math"/>
          <w:b w:val="0"/>
          <w:sz w:val="22"/>
        </w:rPr>
        <w:t>|ℓ_d−ℓ_m|=0  ⇒  w_gap=tanh(|ℓ_d−ℓ_m|/τ_w)=0</w:t>
      </w:r>
      <w:r>
        <w:t xml:space="preserve">    </w:t>
      </w:r>
      <w:r>
        <w:rPr>
          <w:rFonts w:ascii="Times New Roman" w:hAnsi="Times New Roman" w:eastAsia="Times New Roman"/>
          <w:b w:val="0"/>
          <w:sz w:val="21"/>
        </w:rPr>
        <w:t>(K-8)</w:t>
      </w:r>
    </w:p>
    <w:p>
      <w:pPr>
        <w:spacing w:after="80" w:line="312" w:lineRule="auto"/>
        <w:ind w:firstLine="420"/>
      </w:pPr>
      <w:r>
        <w:rPr>
          <w:rFonts w:ascii="宋体" w:hAnsi="宋体" w:eastAsia="宋体"/>
          <w:b w:val="0"/>
          <w:sz w:val="22"/>
        </w:rPr>
        <w:t>float64 数值核验中，相同专家的最终 NLL 门控梯度为 0.0，差距权重为 0.0；构造不同专家后，梯度为 -0.308964，差距权重为 0.986760。该核验确认公式和实现代数一致，但不是性能证据。该命题揭示了路由网络的必要条件：只有双专家在样本上提供不同预测信息，门控才具有可学习信号。</w:t>
      </w:r>
    </w:p>
    <w:p>
      <w:pPr>
        <w:pStyle w:val="21"/>
        <w:keepNext/>
        <w:spacing w:before="120" w:after="80"/>
      </w:pPr>
      <w:r>
        <w:rPr>
          <w:rFonts w:ascii="黑体" w:hAnsi="黑体" w:eastAsia="黑体"/>
          <w:b/>
          <w:sz w:val="24"/>
        </w:rPr>
        <w:t>K.5 seen/unseen 配对门控实验</w:t>
      </w:r>
    </w:p>
    <w:p>
      <w:pPr>
        <w:spacing w:after="80" w:line="312" w:lineRule="auto"/>
        <w:ind w:firstLine="420"/>
      </w:pPr>
      <w:r>
        <w:rPr>
          <w:rFonts w:ascii="宋体" w:hAnsi="宋体" w:eastAsia="宋体"/>
          <w:b w:val="0"/>
          <w:sz w:val="22"/>
        </w:rPr>
        <w:t>固定一个完整训练的 HRGV 专家，在完全相同的三组门控初始化下，分别使用专家已见的 D_seen 与组隔离的 D_G 训练门控；每组运行 30 轮，并在同一 893 张停止集上按最低最终 NLL 选择轮次。全部 12 次运行均保持专家参数、缓冲区逐项不变且无专家梯度，未访问锁定测试集。表中学习门控为三组配对初始化的均值±样本标准差；等权融合与原联合门控是同一冻结专家上的确定性参考。</w:t>
      </w:r>
    </w:p>
    <w:tbl>
      <w:tblPr>
        <w:tblStyle w:val="aff1"/>
        <w:tblW w:type="auto" w:w="0"/>
        <w:tblLayout w:type="autofit"/>
        <w:tblLook w:firstColumn="1" w:firstRow="1" w:lastColumn="0" w:lastRow="0" w:noHBand="0" w:noVBand="1" w:val="04A0"/>
      </w:tblPr>
      <w:tblGrid>
        <w:gridCol w:w="1312"/>
        <w:gridCol w:w="1312"/>
        <w:gridCol w:w="1312"/>
        <w:gridCol w:w="1312"/>
        <w:gridCol w:w="1312"/>
        <w:gridCol w:w="1312"/>
        <w:gridCol w:w="1312"/>
      </w:tblGrid>
      <w:tr>
        <w:trPr>
          <w:tblHeader w:val="true"/>
        </w:trPr>
        <w:tc>
          <w:tcPr>
            <w:tcW w:type="dxa" w:w="1312"/>
            <w:vAlign w:val="center"/>
            <w:shd w:fill="D9E2F3"/>
          </w:tcPr>
          <w:p>
            <w:pPr>
              <w:spacing w:after="0" w:line="240" w:lineRule="auto"/>
              <w:jc w:val="center"/>
            </w:pPr>
            <w:r/>
            <w:r>
              <w:rPr>
                <w:rFonts w:ascii="宋体" w:hAnsi="宋体" w:eastAsia="宋体"/>
                <w:b/>
                <w:sz w:val="15"/>
              </w:rPr>
              <w:t>策略</w:t>
            </w:r>
          </w:p>
        </w:tc>
        <w:tc>
          <w:tcPr>
            <w:tcW w:type="dxa" w:w="1312"/>
            <w:vAlign w:val="center"/>
            <w:shd w:fill="D9E2F3"/>
          </w:tcPr>
          <w:p>
            <w:pPr>
              <w:spacing w:after="0" w:line="240" w:lineRule="auto"/>
              <w:jc w:val="center"/>
            </w:pPr>
            <w:r/>
            <w:r>
              <w:rPr>
                <w:rFonts w:ascii="宋体" w:hAnsi="宋体" w:eastAsia="宋体"/>
                <w:b/>
                <w:sz w:val="15"/>
              </w:rPr>
              <w:t>最终 NLL/nat</w:t>
            </w:r>
          </w:p>
        </w:tc>
        <w:tc>
          <w:tcPr>
            <w:tcW w:type="dxa" w:w="1312"/>
            <w:vAlign w:val="center"/>
            <w:shd w:fill="D9E2F3"/>
          </w:tcPr>
          <w:p>
            <w:pPr>
              <w:spacing w:after="0" w:line="240" w:lineRule="auto"/>
              <w:jc w:val="center"/>
            </w:pPr>
            <w:r/>
            <w:r>
              <w:rPr>
                <w:rFonts w:ascii="宋体" w:hAnsi="宋体" w:eastAsia="宋体"/>
                <w:b/>
                <w:sz w:val="15"/>
              </w:rPr>
              <w:t>Macro F1</w:t>
            </w:r>
          </w:p>
        </w:tc>
        <w:tc>
          <w:tcPr>
            <w:tcW w:type="dxa" w:w="1312"/>
            <w:vAlign w:val="center"/>
            <w:shd w:fill="D9E2F3"/>
          </w:tcPr>
          <w:p>
            <w:pPr>
              <w:spacing w:after="0" w:line="240" w:lineRule="auto"/>
              <w:jc w:val="center"/>
            </w:pPr>
            <w:r/>
            <w:r>
              <w:rPr>
                <w:rFonts w:ascii="宋体" w:hAnsi="宋体" w:eastAsia="宋体"/>
                <w:b/>
                <w:sz w:val="15"/>
              </w:rPr>
              <w:t>目标召回</w:t>
            </w:r>
          </w:p>
        </w:tc>
        <w:tc>
          <w:tcPr>
            <w:tcW w:type="dxa" w:w="1312"/>
            <w:vAlign w:val="center"/>
            <w:shd w:fill="D9E2F3"/>
          </w:tcPr>
          <w:p>
            <w:pPr>
              <w:spacing w:after="0" w:line="240" w:lineRule="auto"/>
              <w:jc w:val="center"/>
            </w:pPr>
            <w:r/>
            <w:r>
              <w:rPr>
                <w:rFonts w:ascii="宋体" w:hAnsi="宋体" w:eastAsia="宋体"/>
                <w:b/>
                <w:sz w:val="15"/>
              </w:rPr>
              <w:t>含钛误入</w:t>
            </w:r>
          </w:p>
        </w:tc>
        <w:tc>
          <w:tcPr>
            <w:tcW w:type="dxa" w:w="1312"/>
            <w:vAlign w:val="center"/>
            <w:shd w:fill="D9E2F3"/>
          </w:tcPr>
          <w:p>
            <w:pPr>
              <w:spacing w:after="0" w:line="240" w:lineRule="auto"/>
              <w:jc w:val="center"/>
            </w:pPr>
            <w:r/>
            <w:r>
              <w:rPr>
                <w:rFonts w:ascii="宋体" w:hAnsi="宋体" w:eastAsia="宋体"/>
                <w:b/>
                <w:sz w:val="15"/>
              </w:rPr>
              <w:t>金属误入</w:t>
            </w:r>
          </w:p>
        </w:tc>
        <w:tc>
          <w:tcPr>
            <w:tcW w:type="dxa" w:w="1312"/>
            <w:vAlign w:val="center"/>
            <w:shd w:fill="D9E2F3"/>
          </w:tcPr>
          <w:p>
            <w:pPr>
              <w:spacing w:after="0" w:line="240" w:lineRule="auto"/>
              <w:jc w:val="center"/>
            </w:pPr>
            <w:r/>
            <w:r>
              <w:rPr>
                <w:rFonts w:ascii="宋体" w:hAnsi="宋体" w:eastAsia="宋体"/>
                <w:b/>
                <w:sz w:val="15"/>
              </w:rPr>
              <w:t>平均门控</w:t>
            </w:r>
          </w:p>
        </w:tc>
      </w:tr>
      <w:tr>
        <w:tc>
          <w:tcPr>
            <w:tcW w:type="dxa" w:w="1312"/>
            <w:vAlign w:val="center"/>
          </w:tcPr>
          <w:p>
            <w:pPr>
              <w:spacing w:after="0" w:line="240" w:lineRule="auto"/>
              <w:jc w:val="center"/>
            </w:pPr>
            <w:r/>
            <w:r>
              <w:rPr>
                <w:rFonts w:ascii="宋体" w:hAnsi="宋体" w:eastAsia="宋体"/>
                <w:b w:val="0"/>
                <w:sz w:val="14"/>
              </w:rPr>
              <w:t>等权融合</w:t>
            </w:r>
          </w:p>
        </w:tc>
        <w:tc>
          <w:tcPr>
            <w:tcW w:type="dxa" w:w="1312"/>
            <w:vAlign w:val="center"/>
          </w:tcPr>
          <w:p>
            <w:pPr>
              <w:spacing w:after="0" w:line="240" w:lineRule="auto"/>
              <w:jc w:val="center"/>
            </w:pPr>
            <w:r/>
            <w:r>
              <w:rPr>
                <w:rFonts w:ascii="宋体" w:hAnsi="宋体" w:eastAsia="宋体"/>
                <w:b w:val="0"/>
                <w:sz w:val="14"/>
              </w:rPr>
              <w:t>0.958476</w:t>
            </w:r>
          </w:p>
        </w:tc>
        <w:tc>
          <w:tcPr>
            <w:tcW w:type="dxa" w:w="1312"/>
            <w:vAlign w:val="center"/>
          </w:tcPr>
          <w:p>
            <w:pPr>
              <w:spacing w:after="0" w:line="240" w:lineRule="auto"/>
              <w:jc w:val="center"/>
            </w:pPr>
            <w:r/>
            <w:r>
              <w:rPr>
                <w:rFonts w:ascii="宋体" w:hAnsi="宋体" w:eastAsia="宋体"/>
                <w:b w:val="0"/>
                <w:sz w:val="14"/>
              </w:rPr>
              <w:t>0.7185</w:t>
            </w:r>
          </w:p>
        </w:tc>
        <w:tc>
          <w:tcPr>
            <w:tcW w:type="dxa" w:w="1312"/>
            <w:vAlign w:val="center"/>
          </w:tcPr>
          <w:p>
            <w:pPr>
              <w:spacing w:after="0" w:line="240" w:lineRule="auto"/>
              <w:jc w:val="center"/>
            </w:pPr>
            <w:r/>
            <w:r>
              <w:rPr>
                <w:rFonts w:ascii="宋体" w:hAnsi="宋体" w:eastAsia="宋体"/>
                <w:b w:val="0"/>
                <w:sz w:val="14"/>
              </w:rPr>
              <w:t>68.79%</w:t>
            </w:r>
          </w:p>
        </w:tc>
        <w:tc>
          <w:tcPr>
            <w:tcW w:type="dxa" w:w="1312"/>
            <w:vAlign w:val="center"/>
          </w:tcPr>
          <w:p>
            <w:pPr>
              <w:spacing w:after="0" w:line="240" w:lineRule="auto"/>
              <w:jc w:val="center"/>
            </w:pPr>
            <w:r/>
            <w:r>
              <w:rPr>
                <w:rFonts w:ascii="宋体" w:hAnsi="宋体" w:eastAsia="宋体"/>
                <w:b w:val="0"/>
                <w:sz w:val="14"/>
              </w:rPr>
              <w:t>11.08%</w:t>
            </w:r>
          </w:p>
        </w:tc>
        <w:tc>
          <w:tcPr>
            <w:tcW w:type="dxa" w:w="1312"/>
            <w:vAlign w:val="center"/>
          </w:tcPr>
          <w:p>
            <w:pPr>
              <w:spacing w:after="0" w:line="240" w:lineRule="auto"/>
              <w:jc w:val="center"/>
            </w:pPr>
            <w:r/>
            <w:r>
              <w:rPr>
                <w:rFonts w:ascii="宋体" w:hAnsi="宋体" w:eastAsia="宋体"/>
                <w:b w:val="0"/>
                <w:sz w:val="14"/>
              </w:rPr>
              <w:t>12.20%</w:t>
            </w:r>
          </w:p>
        </w:tc>
        <w:tc>
          <w:tcPr>
            <w:tcW w:type="dxa" w:w="1312"/>
            <w:vAlign w:val="center"/>
          </w:tcPr>
          <w:p>
            <w:pPr>
              <w:spacing w:after="0" w:line="240" w:lineRule="auto"/>
              <w:jc w:val="center"/>
            </w:pPr>
            <w:r/>
            <w:r>
              <w:rPr>
                <w:rFonts w:ascii="宋体" w:hAnsi="宋体" w:eastAsia="宋体"/>
                <w:b w:val="0"/>
                <w:sz w:val="14"/>
              </w:rPr>
              <w:t>0.500</w:t>
            </w:r>
          </w:p>
        </w:tc>
      </w:tr>
      <w:tr>
        <w:tc>
          <w:tcPr>
            <w:tcW w:type="dxa" w:w="1312"/>
            <w:vAlign w:val="center"/>
          </w:tcPr>
          <w:p>
            <w:pPr>
              <w:spacing w:after="0" w:line="240" w:lineRule="auto"/>
              <w:jc w:val="center"/>
            </w:pPr>
            <w:r/>
            <w:r>
              <w:rPr>
                <w:rFonts w:ascii="宋体" w:hAnsi="宋体" w:eastAsia="宋体"/>
                <w:b w:val="0"/>
                <w:sz w:val="14"/>
              </w:rPr>
              <w:t>原联合门控</w:t>
            </w:r>
          </w:p>
        </w:tc>
        <w:tc>
          <w:tcPr>
            <w:tcW w:type="dxa" w:w="1312"/>
            <w:vAlign w:val="center"/>
          </w:tcPr>
          <w:p>
            <w:pPr>
              <w:spacing w:after="0" w:line="240" w:lineRule="auto"/>
              <w:jc w:val="center"/>
            </w:pPr>
            <w:r/>
            <w:r>
              <w:rPr>
                <w:rFonts w:ascii="宋体" w:hAnsi="宋体" w:eastAsia="宋体"/>
                <w:b w:val="0"/>
                <w:sz w:val="14"/>
              </w:rPr>
              <w:t>0.996032</w:t>
            </w:r>
          </w:p>
        </w:tc>
        <w:tc>
          <w:tcPr>
            <w:tcW w:type="dxa" w:w="1312"/>
            <w:vAlign w:val="center"/>
          </w:tcPr>
          <w:p>
            <w:pPr>
              <w:spacing w:after="0" w:line="240" w:lineRule="auto"/>
              <w:jc w:val="center"/>
            </w:pPr>
            <w:r/>
            <w:r>
              <w:rPr>
                <w:rFonts w:ascii="宋体" w:hAnsi="宋体" w:eastAsia="宋体"/>
                <w:b w:val="0"/>
                <w:sz w:val="14"/>
              </w:rPr>
              <w:t>0.7217</w:t>
            </w:r>
          </w:p>
        </w:tc>
        <w:tc>
          <w:tcPr>
            <w:tcW w:type="dxa" w:w="1312"/>
            <w:vAlign w:val="center"/>
          </w:tcPr>
          <w:p>
            <w:pPr>
              <w:spacing w:after="0" w:line="240" w:lineRule="auto"/>
              <w:jc w:val="center"/>
            </w:pPr>
            <w:r/>
            <w:r>
              <w:rPr>
                <w:rFonts w:ascii="宋体" w:hAnsi="宋体" w:eastAsia="宋体"/>
                <w:b w:val="0"/>
                <w:sz w:val="14"/>
              </w:rPr>
              <w:t>69.36%</w:t>
            </w:r>
          </w:p>
        </w:tc>
        <w:tc>
          <w:tcPr>
            <w:tcW w:type="dxa" w:w="1312"/>
            <w:vAlign w:val="center"/>
          </w:tcPr>
          <w:p>
            <w:pPr>
              <w:spacing w:after="0" w:line="240" w:lineRule="auto"/>
              <w:jc w:val="center"/>
            </w:pPr>
            <w:r/>
            <w:r>
              <w:rPr>
                <w:rFonts w:ascii="宋体" w:hAnsi="宋体" w:eastAsia="宋体"/>
                <w:b w:val="0"/>
                <w:sz w:val="14"/>
              </w:rPr>
              <w:t>11.08%</w:t>
            </w:r>
          </w:p>
        </w:tc>
        <w:tc>
          <w:tcPr>
            <w:tcW w:type="dxa" w:w="1312"/>
            <w:vAlign w:val="center"/>
          </w:tcPr>
          <w:p>
            <w:pPr>
              <w:spacing w:after="0" w:line="240" w:lineRule="auto"/>
              <w:jc w:val="center"/>
            </w:pPr>
            <w:r/>
            <w:r>
              <w:rPr>
                <w:rFonts w:ascii="宋体" w:hAnsi="宋体" w:eastAsia="宋体"/>
                <w:b w:val="0"/>
                <w:sz w:val="14"/>
              </w:rPr>
              <w:t>11.38%</w:t>
            </w:r>
          </w:p>
        </w:tc>
        <w:tc>
          <w:tcPr>
            <w:tcW w:type="dxa" w:w="1312"/>
            <w:vAlign w:val="center"/>
          </w:tcPr>
          <w:p>
            <w:pPr>
              <w:spacing w:after="0" w:line="240" w:lineRule="auto"/>
              <w:jc w:val="center"/>
            </w:pPr>
            <w:r/>
            <w:r>
              <w:rPr>
                <w:rFonts w:ascii="宋体" w:hAnsi="宋体" w:eastAsia="宋体"/>
                <w:b w:val="0"/>
                <w:sz w:val="14"/>
              </w:rPr>
              <w:t>0.216</w:t>
            </w:r>
          </w:p>
        </w:tc>
      </w:tr>
      <w:tr>
        <w:tc>
          <w:tcPr>
            <w:tcW w:type="dxa" w:w="1312"/>
            <w:vAlign w:val="center"/>
          </w:tcPr>
          <w:p>
            <w:pPr>
              <w:spacing w:after="0" w:line="240" w:lineRule="auto"/>
              <w:jc w:val="center"/>
            </w:pPr>
            <w:r/>
            <w:r>
              <w:rPr>
                <w:rFonts w:ascii="宋体" w:hAnsi="宋体" w:eastAsia="宋体"/>
                <w:b w:val="0"/>
                <w:sz w:val="14"/>
              </w:rPr>
              <w:t>seen + 最终NLL</w:t>
            </w:r>
          </w:p>
        </w:tc>
        <w:tc>
          <w:tcPr>
            <w:tcW w:type="dxa" w:w="1312"/>
            <w:vAlign w:val="center"/>
          </w:tcPr>
          <w:p>
            <w:pPr>
              <w:spacing w:after="0" w:line="240" w:lineRule="auto"/>
              <w:jc w:val="center"/>
            </w:pPr>
            <w:r/>
            <w:r>
              <w:rPr>
                <w:rFonts w:ascii="宋体" w:hAnsi="宋体" w:eastAsia="宋体"/>
                <w:b w:val="0"/>
                <w:sz w:val="14"/>
              </w:rPr>
              <w:t>0.972255±0.001206</w:t>
            </w:r>
          </w:p>
        </w:tc>
        <w:tc>
          <w:tcPr>
            <w:tcW w:type="dxa" w:w="1312"/>
            <w:vAlign w:val="center"/>
          </w:tcPr>
          <w:p>
            <w:pPr>
              <w:spacing w:after="0" w:line="240" w:lineRule="auto"/>
              <w:jc w:val="center"/>
            </w:pPr>
            <w:r/>
            <w:r>
              <w:rPr>
                <w:rFonts w:ascii="宋体" w:hAnsi="宋体" w:eastAsia="宋体"/>
                <w:b w:val="0"/>
                <w:sz w:val="14"/>
              </w:rPr>
              <w:t>0.718215±0.000928</w:t>
            </w:r>
          </w:p>
        </w:tc>
        <w:tc>
          <w:tcPr>
            <w:tcW w:type="dxa" w:w="1312"/>
            <w:vAlign w:val="center"/>
          </w:tcPr>
          <w:p>
            <w:pPr>
              <w:spacing w:after="0" w:line="240" w:lineRule="auto"/>
              <w:jc w:val="center"/>
            </w:pPr>
            <w:r/>
            <w:r>
              <w:rPr>
                <w:rFonts w:ascii="宋体" w:hAnsi="宋体" w:eastAsia="宋体"/>
                <w:b w:val="0"/>
                <w:sz w:val="14"/>
              </w:rPr>
              <w:t>67.05±0.00%</w:t>
            </w:r>
          </w:p>
        </w:tc>
        <w:tc>
          <w:tcPr>
            <w:tcW w:type="dxa" w:w="1312"/>
            <w:vAlign w:val="center"/>
          </w:tcPr>
          <w:p>
            <w:pPr>
              <w:spacing w:after="0" w:line="240" w:lineRule="auto"/>
              <w:jc w:val="center"/>
            </w:pPr>
            <w:r/>
            <w:r>
              <w:rPr>
                <w:rFonts w:ascii="宋体" w:hAnsi="宋体" w:eastAsia="宋体"/>
                <w:b w:val="0"/>
                <w:sz w:val="14"/>
              </w:rPr>
              <w:t>10.50±0.00%</w:t>
            </w:r>
          </w:p>
        </w:tc>
        <w:tc>
          <w:tcPr>
            <w:tcW w:type="dxa" w:w="1312"/>
            <w:vAlign w:val="center"/>
          </w:tcPr>
          <w:p>
            <w:pPr>
              <w:spacing w:after="0" w:line="240" w:lineRule="auto"/>
              <w:jc w:val="center"/>
            </w:pPr>
            <w:r/>
            <w:r>
              <w:rPr>
                <w:rFonts w:ascii="宋体" w:hAnsi="宋体" w:eastAsia="宋体"/>
                <w:b w:val="0"/>
                <w:sz w:val="14"/>
              </w:rPr>
              <w:t>11.38±0.00%</w:t>
            </w:r>
          </w:p>
        </w:tc>
        <w:tc>
          <w:tcPr>
            <w:tcW w:type="dxa" w:w="1312"/>
            <w:vAlign w:val="center"/>
          </w:tcPr>
          <w:p>
            <w:pPr>
              <w:spacing w:after="0" w:line="240" w:lineRule="auto"/>
              <w:jc w:val="center"/>
            </w:pPr>
            <w:r/>
            <w:r>
              <w:rPr>
                <w:rFonts w:ascii="宋体" w:hAnsi="宋体" w:eastAsia="宋体"/>
                <w:b w:val="0"/>
                <w:sz w:val="14"/>
              </w:rPr>
              <w:t>0.197658±0.007025</w:t>
            </w:r>
          </w:p>
        </w:tc>
      </w:tr>
      <w:tr>
        <w:tc>
          <w:tcPr>
            <w:tcW w:type="dxa" w:w="1312"/>
            <w:vAlign w:val="center"/>
          </w:tcPr>
          <w:p>
            <w:pPr>
              <w:spacing w:after="0" w:line="240" w:lineRule="auto"/>
              <w:jc w:val="center"/>
            </w:pPr>
            <w:r/>
            <w:r>
              <w:rPr>
                <w:rFonts w:ascii="宋体" w:hAnsi="宋体" w:eastAsia="宋体"/>
                <w:b w:val="0"/>
                <w:sz w:val="14"/>
              </w:rPr>
              <w:t>unseen + 最终NLL</w:t>
            </w:r>
          </w:p>
        </w:tc>
        <w:tc>
          <w:tcPr>
            <w:tcW w:type="dxa" w:w="1312"/>
            <w:vAlign w:val="center"/>
          </w:tcPr>
          <w:p>
            <w:pPr>
              <w:spacing w:after="0" w:line="240" w:lineRule="auto"/>
              <w:jc w:val="center"/>
            </w:pPr>
            <w:r/>
            <w:r>
              <w:rPr>
                <w:rFonts w:ascii="宋体" w:hAnsi="宋体" w:eastAsia="宋体"/>
                <w:b w:val="0"/>
                <w:sz w:val="14"/>
              </w:rPr>
              <w:t>0.960116±0.001937</w:t>
            </w:r>
          </w:p>
        </w:tc>
        <w:tc>
          <w:tcPr>
            <w:tcW w:type="dxa" w:w="1312"/>
            <w:vAlign w:val="center"/>
          </w:tcPr>
          <w:p>
            <w:pPr>
              <w:spacing w:after="0" w:line="240" w:lineRule="auto"/>
              <w:jc w:val="center"/>
            </w:pPr>
            <w:r/>
            <w:r>
              <w:rPr>
                <w:rFonts w:ascii="宋体" w:hAnsi="宋体" w:eastAsia="宋体"/>
                <w:b w:val="0"/>
                <w:sz w:val="14"/>
              </w:rPr>
              <w:t>0.722986±0.002025</w:t>
            </w:r>
          </w:p>
        </w:tc>
        <w:tc>
          <w:tcPr>
            <w:tcW w:type="dxa" w:w="1312"/>
            <w:vAlign w:val="center"/>
          </w:tcPr>
          <w:p>
            <w:pPr>
              <w:spacing w:after="0" w:line="240" w:lineRule="auto"/>
              <w:jc w:val="center"/>
            </w:pPr>
            <w:r/>
            <w:r>
              <w:rPr>
                <w:rFonts w:ascii="宋体" w:hAnsi="宋体" w:eastAsia="宋体"/>
                <w:b w:val="0"/>
                <w:sz w:val="14"/>
              </w:rPr>
              <w:t>68.40±0.33%</w:t>
            </w:r>
          </w:p>
        </w:tc>
        <w:tc>
          <w:tcPr>
            <w:tcW w:type="dxa" w:w="1312"/>
            <w:vAlign w:val="center"/>
          </w:tcPr>
          <w:p>
            <w:pPr>
              <w:spacing w:after="0" w:line="240" w:lineRule="auto"/>
              <w:jc w:val="center"/>
            </w:pPr>
            <w:r/>
            <w:r>
              <w:rPr>
                <w:rFonts w:ascii="宋体" w:hAnsi="宋体" w:eastAsia="宋体"/>
                <w:b w:val="0"/>
                <w:sz w:val="14"/>
              </w:rPr>
              <w:t>10.50±0.00%</w:t>
            </w:r>
          </w:p>
        </w:tc>
        <w:tc>
          <w:tcPr>
            <w:tcW w:type="dxa" w:w="1312"/>
            <w:vAlign w:val="center"/>
          </w:tcPr>
          <w:p>
            <w:pPr>
              <w:spacing w:after="0" w:line="240" w:lineRule="auto"/>
              <w:jc w:val="center"/>
            </w:pPr>
            <w:r/>
            <w:r>
              <w:rPr>
                <w:rFonts w:ascii="宋体" w:hAnsi="宋体" w:eastAsia="宋体"/>
                <w:b w:val="0"/>
                <w:sz w:val="14"/>
              </w:rPr>
              <w:t>11.92±0.47%</w:t>
            </w:r>
          </w:p>
        </w:tc>
        <w:tc>
          <w:tcPr>
            <w:tcW w:type="dxa" w:w="1312"/>
            <w:vAlign w:val="center"/>
          </w:tcPr>
          <w:p>
            <w:pPr>
              <w:spacing w:after="0" w:line="240" w:lineRule="auto"/>
              <w:jc w:val="center"/>
            </w:pPr>
            <w:r/>
            <w:r>
              <w:rPr>
                <w:rFonts w:ascii="宋体" w:hAnsi="宋体" w:eastAsia="宋体"/>
                <w:b w:val="0"/>
                <w:sz w:val="14"/>
              </w:rPr>
              <w:t>0.298638±0.016864</w:t>
            </w:r>
          </w:p>
        </w:tc>
      </w:tr>
      <w:tr>
        <w:tc>
          <w:tcPr>
            <w:tcW w:type="dxa" w:w="1312"/>
            <w:vAlign w:val="center"/>
          </w:tcPr>
          <w:p>
            <w:pPr>
              <w:spacing w:after="0" w:line="240" w:lineRule="auto"/>
              <w:jc w:val="center"/>
            </w:pPr>
            <w:r/>
            <w:r>
              <w:rPr>
                <w:rFonts w:ascii="宋体" w:hAnsi="宋体" w:eastAsia="宋体"/>
                <w:b w:val="0"/>
                <w:sz w:val="14"/>
              </w:rPr>
              <w:t>seen + NLL/遗憾</w:t>
            </w:r>
          </w:p>
        </w:tc>
        <w:tc>
          <w:tcPr>
            <w:tcW w:type="dxa" w:w="1312"/>
            <w:vAlign w:val="center"/>
          </w:tcPr>
          <w:p>
            <w:pPr>
              <w:spacing w:after="0" w:line="240" w:lineRule="auto"/>
              <w:jc w:val="center"/>
            </w:pPr>
            <w:r/>
            <w:r>
              <w:rPr>
                <w:rFonts w:ascii="宋体" w:hAnsi="宋体" w:eastAsia="宋体"/>
                <w:b w:val="0"/>
                <w:sz w:val="14"/>
              </w:rPr>
              <w:t>0.956607±0.000541</w:t>
            </w:r>
          </w:p>
        </w:tc>
        <w:tc>
          <w:tcPr>
            <w:tcW w:type="dxa" w:w="1312"/>
            <w:vAlign w:val="center"/>
          </w:tcPr>
          <w:p>
            <w:pPr>
              <w:spacing w:after="0" w:line="240" w:lineRule="auto"/>
              <w:jc w:val="center"/>
            </w:pPr>
            <w:r/>
            <w:r>
              <w:rPr>
                <w:rFonts w:ascii="宋体" w:hAnsi="宋体" w:eastAsia="宋体"/>
                <w:b w:val="0"/>
                <w:sz w:val="14"/>
              </w:rPr>
              <w:t>0.717380±0.002021</w:t>
            </w:r>
          </w:p>
        </w:tc>
        <w:tc>
          <w:tcPr>
            <w:tcW w:type="dxa" w:w="1312"/>
            <w:vAlign w:val="center"/>
          </w:tcPr>
          <w:p>
            <w:pPr>
              <w:spacing w:after="0" w:line="240" w:lineRule="auto"/>
              <w:jc w:val="center"/>
            </w:pPr>
            <w:r/>
            <w:r>
              <w:rPr>
                <w:rFonts w:ascii="宋体" w:hAnsi="宋体" w:eastAsia="宋体"/>
                <w:b w:val="0"/>
                <w:sz w:val="14"/>
              </w:rPr>
              <w:t>67.63±0.00%</w:t>
            </w:r>
          </w:p>
        </w:tc>
        <w:tc>
          <w:tcPr>
            <w:tcW w:type="dxa" w:w="1312"/>
            <w:vAlign w:val="center"/>
          </w:tcPr>
          <w:p>
            <w:pPr>
              <w:spacing w:after="0" w:line="240" w:lineRule="auto"/>
              <w:jc w:val="center"/>
            </w:pPr>
            <w:r/>
            <w:r>
              <w:rPr>
                <w:rFonts w:ascii="宋体" w:hAnsi="宋体" w:eastAsia="宋体"/>
                <w:b w:val="0"/>
                <w:sz w:val="14"/>
              </w:rPr>
              <w:t>10.69±0.17%</w:t>
            </w:r>
          </w:p>
        </w:tc>
        <w:tc>
          <w:tcPr>
            <w:tcW w:type="dxa" w:w="1312"/>
            <w:vAlign w:val="center"/>
          </w:tcPr>
          <w:p>
            <w:pPr>
              <w:spacing w:after="0" w:line="240" w:lineRule="auto"/>
              <w:jc w:val="center"/>
            </w:pPr>
            <w:r/>
            <w:r>
              <w:rPr>
                <w:rFonts w:ascii="宋体" w:hAnsi="宋体" w:eastAsia="宋体"/>
                <w:b w:val="0"/>
                <w:sz w:val="14"/>
              </w:rPr>
              <w:t>11.92±0.47%</w:t>
            </w:r>
          </w:p>
        </w:tc>
        <w:tc>
          <w:tcPr>
            <w:tcW w:type="dxa" w:w="1312"/>
            <w:vAlign w:val="center"/>
          </w:tcPr>
          <w:p>
            <w:pPr>
              <w:spacing w:after="0" w:line="240" w:lineRule="auto"/>
              <w:jc w:val="center"/>
            </w:pPr>
            <w:r/>
            <w:r>
              <w:rPr>
                <w:rFonts w:ascii="宋体" w:hAnsi="宋体" w:eastAsia="宋体"/>
                <w:b w:val="0"/>
                <w:sz w:val="14"/>
              </w:rPr>
              <w:t>0.484589±0.001199</w:t>
            </w:r>
          </w:p>
        </w:tc>
      </w:tr>
      <w:tr>
        <w:tc>
          <w:tcPr>
            <w:tcW w:type="dxa" w:w="1312"/>
            <w:vAlign w:val="center"/>
          </w:tcPr>
          <w:p>
            <w:pPr>
              <w:spacing w:after="0" w:line="240" w:lineRule="auto"/>
              <w:jc w:val="center"/>
            </w:pPr>
            <w:r/>
            <w:r>
              <w:rPr>
                <w:rFonts w:ascii="宋体" w:hAnsi="宋体" w:eastAsia="宋体"/>
                <w:b w:val="0"/>
                <w:sz w:val="14"/>
              </w:rPr>
              <w:t>unseen + NLL/遗憾</w:t>
            </w:r>
          </w:p>
        </w:tc>
        <w:tc>
          <w:tcPr>
            <w:tcW w:type="dxa" w:w="1312"/>
            <w:vAlign w:val="center"/>
          </w:tcPr>
          <w:p>
            <w:pPr>
              <w:spacing w:after="0" w:line="240" w:lineRule="auto"/>
              <w:jc w:val="center"/>
            </w:pPr>
            <w:r/>
            <w:r>
              <w:rPr>
                <w:rFonts w:ascii="宋体" w:hAnsi="宋体" w:eastAsia="宋体"/>
                <w:b w:val="0"/>
                <w:sz w:val="14"/>
              </w:rPr>
              <w:t>0.956760±0.000747</w:t>
            </w:r>
          </w:p>
        </w:tc>
        <w:tc>
          <w:tcPr>
            <w:tcW w:type="dxa" w:w="1312"/>
            <w:vAlign w:val="center"/>
          </w:tcPr>
          <w:p>
            <w:pPr>
              <w:spacing w:after="0" w:line="240" w:lineRule="auto"/>
              <w:jc w:val="center"/>
            </w:pPr>
            <w:r/>
            <w:r>
              <w:rPr>
                <w:rFonts w:ascii="宋体" w:hAnsi="宋体" w:eastAsia="宋体"/>
                <w:b w:val="0"/>
                <w:sz w:val="14"/>
              </w:rPr>
              <w:t>0.720347±0.000445</w:t>
            </w:r>
          </w:p>
        </w:tc>
        <w:tc>
          <w:tcPr>
            <w:tcW w:type="dxa" w:w="1312"/>
            <w:vAlign w:val="center"/>
          </w:tcPr>
          <w:p>
            <w:pPr>
              <w:spacing w:after="0" w:line="240" w:lineRule="auto"/>
              <w:jc w:val="center"/>
            </w:pPr>
            <w:r/>
            <w:r>
              <w:rPr>
                <w:rFonts w:ascii="宋体" w:hAnsi="宋体" w:eastAsia="宋体"/>
                <w:b w:val="0"/>
                <w:sz w:val="14"/>
              </w:rPr>
              <w:t>67.63±0.00%</w:t>
            </w:r>
          </w:p>
        </w:tc>
        <w:tc>
          <w:tcPr>
            <w:tcW w:type="dxa" w:w="1312"/>
            <w:vAlign w:val="center"/>
          </w:tcPr>
          <w:p>
            <w:pPr>
              <w:spacing w:after="0" w:line="240" w:lineRule="auto"/>
              <w:jc w:val="center"/>
            </w:pPr>
            <w:r/>
            <w:r>
              <w:rPr>
                <w:rFonts w:ascii="宋体" w:hAnsi="宋体" w:eastAsia="宋体"/>
                <w:b w:val="0"/>
                <w:sz w:val="14"/>
              </w:rPr>
              <w:t>10.50±0.00%</w:t>
            </w:r>
          </w:p>
        </w:tc>
        <w:tc>
          <w:tcPr>
            <w:tcW w:type="dxa" w:w="1312"/>
            <w:vAlign w:val="center"/>
          </w:tcPr>
          <w:p>
            <w:pPr>
              <w:spacing w:after="0" w:line="240" w:lineRule="auto"/>
              <w:jc w:val="center"/>
            </w:pPr>
            <w:r/>
            <w:r>
              <w:rPr>
                <w:rFonts w:ascii="宋体" w:hAnsi="宋体" w:eastAsia="宋体"/>
                <w:b w:val="0"/>
                <w:sz w:val="14"/>
              </w:rPr>
              <w:t>11.92±0.47%</w:t>
            </w:r>
          </w:p>
        </w:tc>
        <w:tc>
          <w:tcPr>
            <w:tcW w:type="dxa" w:w="1312"/>
            <w:vAlign w:val="center"/>
          </w:tcPr>
          <w:p>
            <w:pPr>
              <w:spacing w:after="0" w:line="240" w:lineRule="auto"/>
              <w:jc w:val="center"/>
            </w:pPr>
            <w:r/>
            <w:r>
              <w:rPr>
                <w:rFonts w:ascii="宋体" w:hAnsi="宋体" w:eastAsia="宋体"/>
                <w:b w:val="0"/>
                <w:sz w:val="14"/>
              </w:rPr>
              <w:t>0.380053±0.016750</w:t>
            </w:r>
          </w:p>
        </w:tc>
      </w:tr>
    </w:tbl>
    <w:p>
      <w:pPr>
        <w:spacing w:after="80" w:line="312" w:lineRule="auto"/>
        <w:ind w:firstLine="420"/>
      </w:pPr>
      <w:r>
        <w:rPr>
          <w:rFonts w:ascii="宋体" w:hAnsi="宋体" w:eastAsia="宋体"/>
          <w:b w:val="0"/>
          <w:sz w:val="22"/>
        </w:rPr>
        <w:t>在纯最终 NLL 目标下，unseen 相对 seen 的配对差为：最终 NLL -0.012139 nat、Macro F1 +0.004771、目标召回 +1.35 个百分点；三组初始化方向一致。金属误入率平均增加 0.54 个百分点，说明改进并非所有指标共同占优。加入遗憾辅助项后，unseen 相对 seen 的 NLL 差仅 0.000153 nat，目标召回差为零，监督源优势明显减弱。</w:t>
      </w:r>
    </w:p>
    <w:p>
      <w:pPr>
        <w:spacing w:after="80" w:line="312" w:lineRule="auto"/>
        <w:ind w:firstLine="420"/>
      </w:pPr>
      <w:r>
        <w:rPr>
          <w:rFonts w:ascii="宋体" w:hAnsi="宋体" w:eastAsia="宋体"/>
          <w:b w:val="0"/>
          <w:sz w:val="22"/>
        </w:rPr>
        <w:t>相较等权融合，unseen + NLL/遗憾在本停止集上的最终 NLL 与 Macro F1 略优，但目标召回更低；纯 unseen NLL 也未同时占优于等权融合。因此现阶段能够支持的结论是：专家已见样本会使门控监督表现出明显拟合乐观性，组隔离的样本外最终风险能够改变并改善部分配对指标；尚不能宣称 OOS-RSG-HRGV 已稳定优于简单等权融合或原主模型。</w:t>
      </w:r>
    </w:p>
    <w:p>
      <w:pPr>
        <w:pStyle w:val="21"/>
        <w:keepNext/>
        <w:spacing w:before="120" w:after="80"/>
      </w:pPr>
      <w:r>
        <w:rPr>
          <w:rFonts w:ascii="黑体" w:hAnsi="黑体" w:eastAsia="黑体"/>
          <w:b/>
          <w:sz w:val="24"/>
        </w:rPr>
        <w:t>K.6 理论创新定位与后续确认</w:t>
      </w:r>
    </w:p>
    <w:p>
      <w:pPr>
        <w:spacing w:after="80" w:line="312" w:lineRule="auto"/>
        <w:ind w:firstLine="420"/>
      </w:pPr>
      <w:r>
        <w:rPr>
          <w:rFonts w:ascii="宋体" w:hAnsi="宋体" w:eastAsia="宋体"/>
          <w:b w:val="0"/>
          <w:sz w:val="22"/>
        </w:rPr>
        <w:t>本附录形成的候选网络创新由四个相互约束的部分组成：（1）角色专家与矿种映射专家构成具有领域语义的异构双专家；（2）含钛与金属光泽校验器将困难负样本知识写入最终后验；（3）门控不再在专家拟合样本上学习，而在图像组隔离的未见样本上优化校验后最终风险；（4）以条件无偏性和门控退化命题限定方法何时具有有效监督。样本拆分、交叉拟合和代价敏感思想本身均为已有方法，本研究不将其单独表述为首创。</w:t>
      </w:r>
    </w:p>
    <w:p>
      <w:pPr>
        <w:spacing w:after="80" w:line="312" w:lineRule="auto"/>
        <w:ind w:firstLine="420"/>
      </w:pPr>
      <w:r>
        <w:rPr>
          <w:rFonts w:ascii="宋体" w:hAnsi="宋体" w:eastAsia="宋体"/>
          <w:b w:val="0"/>
          <w:sz w:val="22"/>
        </w:rPr>
        <w:t>当前三组门控随机种子共享同一个冻结专家和同一停止集，所以不是三个独立专家，也不是独立确认。论文中若要把 OOS-RSG-HRGV 从候选网络提升为正式主方法，下一步必须训练至少三组独立专家种子，为每组专家重新构造门控监督，并在未参与专家早停、门控训练或轮次选择的最终评价集上检验；同时报告最终 NLL、Macro F1、目标召回、含钛误入和金属误入。来源外矿区/摄影者数据和真实矿石图像应作为更高层级泛化证据，不能由当前公开标本结果替代。</w:t>
      </w:r>
    </w:p>
    <w:p>
      <w:pPr>
        <w:spacing w:after="80" w:line="312" w:lineRule="auto"/>
        <w:ind w:firstLine="420"/>
      </w:pPr>
      <w:r>
        <w:rPr>
          <w:rFonts w:ascii="宋体" w:hAnsi="宋体" w:eastAsia="宋体"/>
          <w:b w:val="0"/>
          <w:sz w:val="22"/>
        </w:rPr>
        <w:t>复现文件：scripts/run_seen_unseen_gate_study.py、scripts/analyze_seen_unseen_gate_study.py、scripts/verify_oos_gate_degeneracy.py；结果位于 outputs/training/seen_unseen_gate_study_v1 与 outputs/theory/oos_gate_degeneracy.json。</w:t>
      </w:r>
    </w:p>
    <w:p>
      <w:r>
        <w:br w:type="page"/>
      </w:r>
    </w:p>
    <w:p>
      <w:pPr>
        <w:pStyle w:val="1"/>
        <w:keepNext/>
        <w:spacing w:before="160" w:after="80"/>
      </w:pPr>
      <w:r>
        <w:rPr>
          <w:rFonts w:ascii="黑体" w:hAnsi="黑体" w:eastAsia="黑体"/>
          <w:b/>
          <w:sz w:val="28"/>
        </w:rPr>
        <w:t>附录 L 多专家样本外路由确认与目标召回约束</w:t>
      </w:r>
    </w:p>
    <w:p>
      <w:pPr>
        <w:spacing w:after="80" w:line="312" w:lineRule="auto"/>
        <w:ind w:firstLine="420"/>
      </w:pPr>
      <w:r>
        <w:rPr>
          <w:rFonts w:ascii="宋体" w:hAnsi="宋体" w:eastAsia="宋体"/>
          <w:b w:val="0"/>
          <w:sz w:val="22"/>
        </w:rPr>
        <w:t>附录 K 的单专家探索表明，组隔离的专家未见图像可能改善门控的最终概率风险，但三组门控初始化共享同一专家与停止集，不能承担独立确认。本附录按预先冻结的五段式协议重新训练三位独立专家，在全部专家与门控选择完成后只读最终评价集，并据此决定候选网络是否晋级。</w:t>
      </w:r>
    </w:p>
    <w:p>
      <w:pPr>
        <w:pStyle w:val="21"/>
        <w:keepNext/>
        <w:spacing w:before="120" w:after="80"/>
      </w:pPr>
      <w:r>
        <w:rPr>
          <w:rFonts w:ascii="黑体" w:hAnsi="黑体" w:eastAsia="黑体"/>
          <w:b/>
          <w:sz w:val="24"/>
        </w:rPr>
        <w:t>L.1 五段式隔离协议与独立专家</w:t>
      </w:r>
    </w:p>
    <w:p>
      <w:pPr>
        <w:spacing w:after="80" w:line="312" w:lineRule="auto"/>
        <w:ind w:firstLine="420"/>
      </w:pPr>
      <w:r>
        <w:rPr>
          <w:rFonts w:ascii="宋体" w:hAnsi="宋体" w:eastAsia="宋体"/>
          <w:b w:val="0"/>
          <w:sz w:val="22"/>
        </w:rPr>
        <w:t>实验只重划原固定训练集，重复和近重复图像由 split_group_id 保持不可拆分，原验证集和原测试集均不参与。gate_seen 与 gate_unseen 在 17 个矿种-角色分层上的计数逐项相同；除 gate_seen 按设计属于 expert_fit 外，其余功能子集之间不存在图像组交叉。完整数据集仍有 35 张钛磁铁矿图像，本协议的 final_eval 仅含 2 张，不能据此报告稳定的钛磁铁矿单类性能。</w:t>
      </w:r>
    </w:p>
    <w:tbl>
      <w:tblPr>
        <w:tblStyle w:val="aff1"/>
        <w:tblW w:type="auto" w:w="0"/>
        <w:tblLook w:firstColumn="1" w:firstRow="1" w:lastColumn="0" w:lastRow="0" w:noHBand="0" w:noVBand="1" w:val="04A0"/>
      </w:tblPr>
      <w:tblGrid>
        <w:gridCol w:w="2296"/>
        <w:gridCol w:w="2296"/>
        <w:gridCol w:w="2296"/>
        <w:gridCol w:w="2296"/>
      </w:tblGrid>
      <w:tr>
        <w:trPr>
          <w:tblHeader w:val="true"/>
        </w:trPr>
        <w:tc>
          <w:tcPr>
            <w:tcW w:type="dxa" w:w="2296"/>
            <w:vAlign w:val="center"/>
            <w:shd w:fill="D9E2F3"/>
          </w:tcPr>
          <w:p>
            <w:pPr>
              <w:spacing w:after="0" w:line="240" w:lineRule="auto"/>
              <w:jc w:val="center"/>
            </w:pPr>
            <w:r/>
            <w:r>
              <w:rPr>
                <w:rFonts w:ascii="宋体" w:hAnsi="宋体" w:eastAsia="宋体"/>
                <w:b/>
                <w:sz w:val="17"/>
              </w:rPr>
              <w:t>功能子集</w:t>
            </w:r>
          </w:p>
        </w:tc>
        <w:tc>
          <w:tcPr>
            <w:tcW w:type="dxa" w:w="2296"/>
            <w:vAlign w:val="center"/>
            <w:shd w:fill="D9E2F3"/>
          </w:tcPr>
          <w:p>
            <w:pPr>
              <w:spacing w:after="0" w:line="240" w:lineRule="auto"/>
              <w:jc w:val="center"/>
            </w:pPr>
            <w:r/>
            <w:r>
              <w:rPr>
                <w:rFonts w:ascii="宋体" w:hAnsi="宋体" w:eastAsia="宋体"/>
                <w:b/>
                <w:sz w:val="17"/>
              </w:rPr>
              <w:t>图像数</w:t>
            </w:r>
          </w:p>
        </w:tc>
        <w:tc>
          <w:tcPr>
            <w:tcW w:type="dxa" w:w="2296"/>
            <w:vAlign w:val="center"/>
            <w:shd w:fill="D9E2F3"/>
          </w:tcPr>
          <w:p>
            <w:pPr>
              <w:spacing w:after="0" w:line="240" w:lineRule="auto"/>
              <w:jc w:val="center"/>
            </w:pPr>
            <w:r/>
            <w:r>
              <w:rPr>
                <w:rFonts w:ascii="宋体" w:hAnsi="宋体" w:eastAsia="宋体"/>
                <w:b/>
                <w:sz w:val="17"/>
              </w:rPr>
              <w:t>参数或选择用途</w:t>
            </w:r>
          </w:p>
        </w:tc>
        <w:tc>
          <w:tcPr>
            <w:tcW w:type="dxa" w:w="2296"/>
            <w:vAlign w:val="center"/>
            <w:shd w:fill="D9E2F3"/>
          </w:tcPr>
          <w:p>
            <w:pPr>
              <w:spacing w:after="0" w:line="240" w:lineRule="auto"/>
              <w:jc w:val="center"/>
            </w:pPr>
            <w:r/>
            <w:r>
              <w:rPr>
                <w:rFonts w:ascii="宋体" w:hAnsi="宋体" w:eastAsia="宋体"/>
                <w:b/>
                <w:sz w:val="17"/>
              </w:rPr>
              <w:t>与 final_eval 关系</w:t>
            </w:r>
          </w:p>
        </w:tc>
      </w:tr>
      <w:tr>
        <w:tc>
          <w:tcPr>
            <w:tcW w:type="dxa" w:w="2296"/>
            <w:vAlign w:val="center"/>
          </w:tcPr>
          <w:p>
            <w:pPr>
              <w:spacing w:after="0" w:line="240" w:lineRule="auto"/>
              <w:jc w:val="center"/>
            </w:pPr>
            <w:r/>
            <w:r>
              <w:rPr>
                <w:rFonts w:ascii="宋体" w:hAnsi="宋体" w:eastAsia="宋体"/>
                <w:b w:val="0"/>
                <w:sz w:val="16"/>
              </w:rPr>
              <w:t>expert_fit</w:t>
            </w:r>
          </w:p>
        </w:tc>
        <w:tc>
          <w:tcPr>
            <w:tcW w:type="dxa" w:w="2296"/>
            <w:vAlign w:val="center"/>
          </w:tcPr>
          <w:p>
            <w:pPr>
              <w:spacing w:after="0" w:line="240" w:lineRule="auto"/>
              <w:jc w:val="center"/>
            </w:pPr>
            <w:r/>
            <w:r>
              <w:rPr>
                <w:rFonts w:ascii="宋体" w:hAnsi="宋体" w:eastAsia="宋体"/>
                <w:b w:val="0"/>
                <w:sz w:val="16"/>
              </w:rPr>
              <w:t>3294</w:t>
            </w:r>
          </w:p>
        </w:tc>
        <w:tc>
          <w:tcPr>
            <w:tcW w:type="dxa" w:w="2296"/>
            <w:vAlign w:val="center"/>
          </w:tcPr>
          <w:p>
            <w:pPr>
              <w:spacing w:after="0" w:line="240" w:lineRule="auto"/>
              <w:jc w:val="center"/>
            </w:pPr>
            <w:r/>
            <w:r>
              <w:rPr>
                <w:rFonts w:ascii="宋体" w:hAnsi="宋体" w:eastAsia="宋体"/>
                <w:b w:val="0"/>
                <w:sz w:val="16"/>
              </w:rPr>
              <w:t>专家参数更新</w:t>
            </w:r>
          </w:p>
        </w:tc>
        <w:tc>
          <w:tcPr>
            <w:tcW w:type="dxa" w:w="2296"/>
            <w:vAlign w:val="center"/>
          </w:tcPr>
          <w:p>
            <w:pPr>
              <w:spacing w:after="0" w:line="240" w:lineRule="auto"/>
              <w:jc w:val="center"/>
            </w:pPr>
            <w:r/>
            <w:r>
              <w:rPr>
                <w:rFonts w:ascii="宋体" w:hAnsi="宋体" w:eastAsia="宋体"/>
                <w:b w:val="0"/>
                <w:sz w:val="16"/>
              </w:rPr>
              <w:t>组隔离</w:t>
            </w:r>
          </w:p>
        </w:tc>
      </w:tr>
      <w:tr>
        <w:tc>
          <w:tcPr>
            <w:tcW w:type="dxa" w:w="2296"/>
            <w:vAlign w:val="center"/>
          </w:tcPr>
          <w:p>
            <w:pPr>
              <w:spacing w:after="0" w:line="240" w:lineRule="auto"/>
              <w:jc w:val="center"/>
            </w:pPr>
            <w:r/>
            <w:r>
              <w:rPr>
                <w:rFonts w:ascii="宋体" w:hAnsi="宋体" w:eastAsia="宋体"/>
                <w:b w:val="0"/>
                <w:sz w:val="16"/>
              </w:rPr>
              <w:t>expert_stop</w:t>
            </w:r>
          </w:p>
        </w:tc>
        <w:tc>
          <w:tcPr>
            <w:tcW w:type="dxa" w:w="2296"/>
            <w:vAlign w:val="center"/>
          </w:tcPr>
          <w:p>
            <w:pPr>
              <w:spacing w:after="0" w:line="240" w:lineRule="auto"/>
              <w:jc w:val="center"/>
            </w:pPr>
            <w:r/>
            <w:r>
              <w:rPr>
                <w:rFonts w:ascii="宋体" w:hAnsi="宋体" w:eastAsia="宋体"/>
                <w:b w:val="0"/>
                <w:sz w:val="16"/>
              </w:rPr>
              <w:t>599</w:t>
            </w:r>
          </w:p>
        </w:tc>
        <w:tc>
          <w:tcPr>
            <w:tcW w:type="dxa" w:w="2296"/>
            <w:vAlign w:val="center"/>
          </w:tcPr>
          <w:p>
            <w:pPr>
              <w:spacing w:after="0" w:line="240" w:lineRule="auto"/>
              <w:jc w:val="center"/>
            </w:pPr>
            <w:r/>
            <w:r>
              <w:rPr>
                <w:rFonts w:ascii="宋体" w:hAnsi="宋体" w:eastAsia="宋体"/>
                <w:b w:val="0"/>
                <w:sz w:val="16"/>
              </w:rPr>
              <w:t>专家轮次选择</w:t>
            </w:r>
          </w:p>
        </w:tc>
        <w:tc>
          <w:tcPr>
            <w:tcW w:type="dxa" w:w="2296"/>
            <w:vAlign w:val="center"/>
          </w:tcPr>
          <w:p>
            <w:pPr>
              <w:spacing w:after="0" w:line="240" w:lineRule="auto"/>
              <w:jc w:val="center"/>
            </w:pPr>
            <w:r/>
            <w:r>
              <w:rPr>
                <w:rFonts w:ascii="宋体" w:hAnsi="宋体" w:eastAsia="宋体"/>
                <w:b w:val="0"/>
                <w:sz w:val="16"/>
              </w:rPr>
              <w:t>组隔离</w:t>
            </w:r>
          </w:p>
        </w:tc>
      </w:tr>
      <w:tr>
        <w:tc>
          <w:tcPr>
            <w:tcW w:type="dxa" w:w="2296"/>
            <w:vAlign w:val="center"/>
          </w:tcPr>
          <w:p>
            <w:pPr>
              <w:spacing w:after="0" w:line="240" w:lineRule="auto"/>
              <w:jc w:val="center"/>
            </w:pPr>
            <w:r/>
            <w:r>
              <w:rPr>
                <w:rFonts w:ascii="宋体" w:hAnsi="宋体" w:eastAsia="宋体"/>
                <w:b w:val="0"/>
                <w:sz w:val="16"/>
              </w:rPr>
              <w:t>gate_seen</w:t>
            </w:r>
          </w:p>
        </w:tc>
        <w:tc>
          <w:tcPr>
            <w:tcW w:type="dxa" w:w="2296"/>
            <w:vAlign w:val="center"/>
          </w:tcPr>
          <w:p>
            <w:pPr>
              <w:spacing w:after="0" w:line="240" w:lineRule="auto"/>
              <w:jc w:val="center"/>
            </w:pPr>
            <w:r/>
            <w:r>
              <w:rPr>
                <w:rFonts w:ascii="宋体" w:hAnsi="宋体" w:eastAsia="宋体"/>
                <w:b w:val="0"/>
                <w:sz w:val="16"/>
              </w:rPr>
              <w:t>597</w:t>
            </w:r>
          </w:p>
        </w:tc>
        <w:tc>
          <w:tcPr>
            <w:tcW w:type="dxa" w:w="2296"/>
            <w:vAlign w:val="center"/>
          </w:tcPr>
          <w:p>
            <w:pPr>
              <w:spacing w:after="0" w:line="240" w:lineRule="auto"/>
              <w:jc w:val="center"/>
            </w:pPr>
            <w:r/>
            <w:r>
              <w:rPr>
                <w:rFonts w:ascii="宋体" w:hAnsi="宋体" w:eastAsia="宋体"/>
                <w:b w:val="0"/>
                <w:sz w:val="16"/>
              </w:rPr>
              <w:t>专家训练内监督对照</w:t>
            </w:r>
          </w:p>
        </w:tc>
        <w:tc>
          <w:tcPr>
            <w:tcW w:type="dxa" w:w="2296"/>
            <w:vAlign w:val="center"/>
          </w:tcPr>
          <w:p>
            <w:pPr>
              <w:spacing w:after="0" w:line="240" w:lineRule="auto"/>
              <w:jc w:val="center"/>
            </w:pPr>
            <w:r/>
            <w:r>
              <w:rPr>
                <w:rFonts w:ascii="宋体" w:hAnsi="宋体" w:eastAsia="宋体"/>
                <w:b w:val="0"/>
                <w:sz w:val="16"/>
              </w:rPr>
              <w:t>组隔离</w:t>
            </w:r>
          </w:p>
        </w:tc>
      </w:tr>
      <w:tr>
        <w:tc>
          <w:tcPr>
            <w:tcW w:type="dxa" w:w="2296"/>
            <w:vAlign w:val="center"/>
          </w:tcPr>
          <w:p>
            <w:pPr>
              <w:spacing w:after="0" w:line="240" w:lineRule="auto"/>
              <w:jc w:val="center"/>
            </w:pPr>
            <w:r/>
            <w:r>
              <w:rPr>
                <w:rFonts w:ascii="宋体" w:hAnsi="宋体" w:eastAsia="宋体"/>
                <w:b w:val="0"/>
                <w:sz w:val="16"/>
              </w:rPr>
              <w:t>gate_unseen</w:t>
            </w:r>
          </w:p>
        </w:tc>
        <w:tc>
          <w:tcPr>
            <w:tcW w:type="dxa" w:w="2296"/>
            <w:vAlign w:val="center"/>
          </w:tcPr>
          <w:p>
            <w:pPr>
              <w:spacing w:after="0" w:line="240" w:lineRule="auto"/>
              <w:jc w:val="center"/>
            </w:pPr>
            <w:r/>
            <w:r>
              <w:rPr>
                <w:rFonts w:ascii="宋体" w:hAnsi="宋体" w:eastAsia="宋体"/>
                <w:b w:val="0"/>
                <w:sz w:val="16"/>
              </w:rPr>
              <w:t>597</w:t>
            </w:r>
          </w:p>
        </w:tc>
        <w:tc>
          <w:tcPr>
            <w:tcW w:type="dxa" w:w="2296"/>
            <w:vAlign w:val="center"/>
          </w:tcPr>
          <w:p>
            <w:pPr>
              <w:spacing w:after="0" w:line="240" w:lineRule="auto"/>
              <w:jc w:val="center"/>
            </w:pPr>
            <w:r/>
            <w:r>
              <w:rPr>
                <w:rFonts w:ascii="宋体" w:hAnsi="宋体" w:eastAsia="宋体"/>
                <w:b w:val="0"/>
                <w:sz w:val="16"/>
              </w:rPr>
              <w:t>样本外门控拟合</w:t>
            </w:r>
          </w:p>
        </w:tc>
        <w:tc>
          <w:tcPr>
            <w:tcW w:type="dxa" w:w="2296"/>
            <w:vAlign w:val="center"/>
          </w:tcPr>
          <w:p>
            <w:pPr>
              <w:spacing w:after="0" w:line="240" w:lineRule="auto"/>
              <w:jc w:val="center"/>
            </w:pPr>
            <w:r/>
            <w:r>
              <w:rPr>
                <w:rFonts w:ascii="宋体" w:hAnsi="宋体" w:eastAsia="宋体"/>
                <w:b w:val="0"/>
                <w:sz w:val="16"/>
              </w:rPr>
              <w:t>组隔离</w:t>
            </w:r>
          </w:p>
        </w:tc>
      </w:tr>
      <w:tr>
        <w:tc>
          <w:tcPr>
            <w:tcW w:type="dxa" w:w="2296"/>
            <w:vAlign w:val="center"/>
          </w:tcPr>
          <w:p>
            <w:pPr>
              <w:spacing w:after="0" w:line="240" w:lineRule="auto"/>
              <w:jc w:val="center"/>
            </w:pPr>
            <w:r/>
            <w:r>
              <w:rPr>
                <w:rFonts w:ascii="宋体" w:hAnsi="宋体" w:eastAsia="宋体"/>
                <w:b w:val="0"/>
                <w:sz w:val="16"/>
              </w:rPr>
              <w:t>gate_stop</w:t>
            </w:r>
          </w:p>
        </w:tc>
        <w:tc>
          <w:tcPr>
            <w:tcW w:type="dxa" w:w="2296"/>
            <w:vAlign w:val="center"/>
          </w:tcPr>
          <w:p>
            <w:pPr>
              <w:spacing w:after="0" w:line="240" w:lineRule="auto"/>
              <w:jc w:val="center"/>
            </w:pPr>
            <w:r/>
            <w:r>
              <w:rPr>
                <w:rFonts w:ascii="宋体" w:hAnsi="宋体" w:eastAsia="宋体"/>
                <w:b w:val="0"/>
                <w:sz w:val="16"/>
              </w:rPr>
              <w:t>597</w:t>
            </w:r>
          </w:p>
        </w:tc>
        <w:tc>
          <w:tcPr>
            <w:tcW w:type="dxa" w:w="2296"/>
            <w:vAlign w:val="center"/>
          </w:tcPr>
          <w:p>
            <w:pPr>
              <w:spacing w:after="0" w:line="240" w:lineRule="auto"/>
              <w:jc w:val="center"/>
            </w:pPr>
            <w:r/>
            <w:r>
              <w:rPr>
                <w:rFonts w:ascii="宋体" w:hAnsi="宋体" w:eastAsia="宋体"/>
                <w:b w:val="0"/>
                <w:sz w:val="16"/>
              </w:rPr>
              <w:t>门控轮次选择</w:t>
            </w:r>
          </w:p>
        </w:tc>
        <w:tc>
          <w:tcPr>
            <w:tcW w:type="dxa" w:w="2296"/>
            <w:vAlign w:val="center"/>
          </w:tcPr>
          <w:p>
            <w:pPr>
              <w:spacing w:after="0" w:line="240" w:lineRule="auto"/>
              <w:jc w:val="center"/>
            </w:pPr>
            <w:r/>
            <w:r>
              <w:rPr>
                <w:rFonts w:ascii="宋体" w:hAnsi="宋体" w:eastAsia="宋体"/>
                <w:b w:val="0"/>
                <w:sz w:val="16"/>
              </w:rPr>
              <w:t>组隔离</w:t>
            </w:r>
          </w:p>
        </w:tc>
      </w:tr>
      <w:tr>
        <w:tc>
          <w:tcPr>
            <w:tcW w:type="dxa" w:w="2296"/>
            <w:vAlign w:val="center"/>
          </w:tcPr>
          <w:p>
            <w:pPr>
              <w:spacing w:after="0" w:line="240" w:lineRule="auto"/>
              <w:jc w:val="center"/>
            </w:pPr>
            <w:r/>
            <w:r>
              <w:rPr>
                <w:rFonts w:ascii="宋体" w:hAnsi="宋体" w:eastAsia="宋体"/>
                <w:b w:val="0"/>
                <w:sz w:val="16"/>
              </w:rPr>
              <w:t>final_eval</w:t>
            </w:r>
          </w:p>
        </w:tc>
        <w:tc>
          <w:tcPr>
            <w:tcW w:type="dxa" w:w="2296"/>
            <w:vAlign w:val="center"/>
          </w:tcPr>
          <w:p>
            <w:pPr>
              <w:spacing w:after="0" w:line="240" w:lineRule="auto"/>
              <w:jc w:val="center"/>
            </w:pPr>
            <w:r/>
            <w:r>
              <w:rPr>
                <w:rFonts w:ascii="宋体" w:hAnsi="宋体" w:eastAsia="宋体"/>
                <w:b w:val="0"/>
                <w:sz w:val="16"/>
              </w:rPr>
              <w:t>897</w:t>
            </w:r>
          </w:p>
        </w:tc>
        <w:tc>
          <w:tcPr>
            <w:tcW w:type="dxa" w:w="2296"/>
            <w:vAlign w:val="center"/>
          </w:tcPr>
          <w:p>
            <w:pPr>
              <w:spacing w:after="0" w:line="240" w:lineRule="auto"/>
              <w:jc w:val="center"/>
            </w:pPr>
            <w:r/>
            <w:r>
              <w:rPr>
                <w:rFonts w:ascii="宋体" w:hAnsi="宋体" w:eastAsia="宋体"/>
                <w:b w:val="0"/>
                <w:sz w:val="16"/>
              </w:rPr>
              <w:t>全部选择锁定后只读评价</w:t>
            </w:r>
          </w:p>
        </w:tc>
        <w:tc>
          <w:tcPr>
            <w:tcW w:type="dxa" w:w="2296"/>
            <w:vAlign w:val="center"/>
          </w:tcPr>
          <w:p>
            <w:pPr>
              <w:spacing w:after="0" w:line="240" w:lineRule="auto"/>
              <w:jc w:val="center"/>
            </w:pPr>
            <w:r/>
            <w:r>
              <w:rPr>
                <w:rFonts w:ascii="宋体" w:hAnsi="宋体" w:eastAsia="宋体"/>
                <w:b w:val="0"/>
                <w:sz w:val="16"/>
              </w:rPr>
              <w:t>自身</w:t>
            </w:r>
          </w:p>
        </w:tc>
      </w:tr>
    </w:tbl>
    <w:p>
      <w:pPr>
        <w:spacing w:after="80" w:line="312" w:lineRule="auto"/>
        <w:ind w:firstLine="420"/>
      </w:pPr>
      <w:r>
        <w:rPr>
          <w:rFonts w:ascii="宋体" w:hAnsi="宋体" w:eastAsia="宋体"/>
          <w:b w:val="0"/>
          <w:sz w:val="22"/>
        </w:rPr>
        <w:t>三位 EfficientNet-B0 专家分别以 20260924、20260925 和 20260926 为种子，从 ImageNet 权重独立初始化。每位专家均冻结后训练一对 seen/unseen 门控，两者共享门控初始化、批次顺序和超参数，仅监督来源不同。门控分别按独立 gate_stop 的最终 NLL 选轮次，专家参数和缓冲区在门控训练中逐项保持不变。</w:t>
      </w:r>
    </w:p>
    <w:p>
      <w:pPr>
        <w:keepLines/>
        <w:spacing w:before="40" w:after="80"/>
        <w:jc w:val="center"/>
      </w:pPr>
      <w:r>
        <w:rPr>
          <w:rFonts w:ascii="Cambria Math" w:hAnsi="Cambria Math" w:eastAsia="Cambria Math"/>
          <w:b w:val="0"/>
          <w:sz w:val="22"/>
        </w:rPr>
        <w:t>θ̂_j=A(D_E,D_S; seed_j),    j=1,2,3</w:t>
      </w:r>
      <w:r>
        <w:t xml:space="preserve">    </w:t>
      </w:r>
      <w:r>
        <w:rPr>
          <w:rFonts w:ascii="Times New Roman" w:hAnsi="Times New Roman" w:eastAsia="Times New Roman"/>
          <w:b w:val="0"/>
          <w:sz w:val="21"/>
        </w:rPr>
        <w:t>(L-1)</w:t>
      </w:r>
    </w:p>
    <w:p>
      <w:pPr>
        <w:keepLines/>
        <w:spacing w:before="40" w:after="80"/>
        <w:jc w:val="center"/>
      </w:pPr>
      <w:r>
        <w:rPr>
          <w:rFonts w:ascii="Cambria Math" w:hAnsi="Cambria Math" w:eastAsia="Cambria Math"/>
          <w:b w:val="0"/>
          <w:sz w:val="22"/>
        </w:rPr>
        <w:t>φ̂_j=arg min_φ R̂_(G,j)(φ | θ̂_j)</w:t>
      </w:r>
      <w:r>
        <w:t xml:space="preserve">    </w:t>
      </w:r>
      <w:r>
        <w:rPr>
          <w:rFonts w:ascii="Times New Roman" w:hAnsi="Times New Roman" w:eastAsia="Times New Roman"/>
          <w:b w:val="0"/>
          <w:sz w:val="21"/>
        </w:rPr>
        <w:t>(L-2)</w:t>
      </w:r>
    </w:p>
    <w:p>
      <w:pPr>
        <w:pStyle w:val="21"/>
        <w:keepNext/>
        <w:spacing w:before="120" w:after="80"/>
      </w:pPr>
      <w:r>
        <w:rPr>
          <w:rFonts w:ascii="黑体" w:hAnsi="黑体" w:eastAsia="黑体"/>
          <w:b/>
          <w:sz w:val="24"/>
        </w:rPr>
        <w:t>L.2 独立确认结果与错误类型转移</w:t>
      </w:r>
    </w:p>
    <w:p>
      <w:pPr>
        <w:spacing w:after="80" w:line="312" w:lineRule="auto"/>
        <w:ind w:firstLine="420"/>
      </w:pPr>
      <w:r>
        <w:rPr>
          <w:rFonts w:ascii="宋体" w:hAnsi="宋体" w:eastAsia="宋体"/>
          <w:b w:val="0"/>
          <w:sz w:val="22"/>
        </w:rPr>
        <w:t>主要终点为 final_eval 上的校验后最终 NLL。下表中效应统一定义为 unseen 减对照；区间来自 10,000 次两阶段成对 Bootstrap，先重采样专家种子，再在各矿种-角色层内按 split_group_id 重采样图像组。NLL 和误入率为负值有利，Accuracy、Macro F1 和目标召回为正值有利。</w:t>
      </w:r>
    </w:p>
    <w:tbl>
      <w:tblPr>
        <w:tblStyle w:val="aff1"/>
        <w:tblW w:type="auto" w:w="0"/>
        <w:tblLook w:firstColumn="1" w:firstRow="1" w:lastColumn="0" w:lastRow="0" w:noHBand="0" w:noVBand="1" w:val="04A0"/>
      </w:tblPr>
      <w:tblGrid>
        <w:gridCol w:w="2296"/>
        <w:gridCol w:w="2296"/>
        <w:gridCol w:w="2296"/>
        <w:gridCol w:w="2296"/>
      </w:tblGrid>
      <w:tr>
        <w:trPr>
          <w:tblHeader w:val="true"/>
        </w:trPr>
        <w:tc>
          <w:tcPr>
            <w:tcW w:type="dxa" w:w="2296"/>
            <w:vAlign w:val="center"/>
            <w:shd w:fill="D9E2F3"/>
          </w:tcPr>
          <w:p>
            <w:pPr>
              <w:spacing w:after="0" w:line="240" w:lineRule="auto"/>
              <w:jc w:val="center"/>
            </w:pPr>
            <w:r/>
            <w:r>
              <w:rPr>
                <w:rFonts w:ascii="宋体" w:hAnsi="宋体" w:eastAsia="宋体"/>
                <w:b/>
                <w:sz w:val="16"/>
              </w:rPr>
              <w:t>指标</w:t>
            </w:r>
          </w:p>
        </w:tc>
        <w:tc>
          <w:tcPr>
            <w:tcW w:type="dxa" w:w="2296"/>
            <w:vAlign w:val="center"/>
            <w:shd w:fill="D9E2F3"/>
          </w:tcPr>
          <w:p>
            <w:pPr>
              <w:spacing w:after="0" w:line="240" w:lineRule="auto"/>
              <w:jc w:val="center"/>
            </w:pPr>
            <w:r/>
            <w:r>
              <w:rPr>
                <w:rFonts w:ascii="宋体" w:hAnsi="宋体" w:eastAsia="宋体"/>
                <w:b/>
                <w:sz w:val="16"/>
              </w:rPr>
              <w:t>unseen - seen</w:t>
            </w:r>
          </w:p>
        </w:tc>
        <w:tc>
          <w:tcPr>
            <w:tcW w:type="dxa" w:w="2296"/>
            <w:vAlign w:val="center"/>
            <w:shd w:fill="D9E2F3"/>
          </w:tcPr>
          <w:p>
            <w:pPr>
              <w:spacing w:after="0" w:line="240" w:lineRule="auto"/>
              <w:jc w:val="center"/>
            </w:pPr>
            <w:r/>
            <w:r>
              <w:rPr>
                <w:rFonts w:ascii="宋体" w:hAnsi="宋体" w:eastAsia="宋体"/>
                <w:b/>
                <w:sz w:val="16"/>
              </w:rPr>
              <w:t>unseen - 等权</w:t>
            </w:r>
          </w:p>
        </w:tc>
        <w:tc>
          <w:tcPr>
            <w:tcW w:type="dxa" w:w="2296"/>
            <w:vAlign w:val="center"/>
            <w:shd w:fill="D9E2F3"/>
          </w:tcPr>
          <w:p>
            <w:pPr>
              <w:spacing w:after="0" w:line="240" w:lineRule="auto"/>
              <w:jc w:val="center"/>
            </w:pPr>
            <w:r/>
            <w:r>
              <w:rPr>
                <w:rFonts w:ascii="宋体" w:hAnsi="宋体" w:eastAsia="宋体"/>
                <w:b/>
                <w:sz w:val="16"/>
              </w:rPr>
              <w:t>方向解释</w:t>
            </w:r>
          </w:p>
        </w:tc>
      </w:tr>
      <w:tr>
        <w:tc>
          <w:tcPr>
            <w:tcW w:type="dxa" w:w="2296"/>
            <w:vAlign w:val="center"/>
          </w:tcPr>
          <w:p>
            <w:pPr>
              <w:spacing w:after="0" w:line="240" w:lineRule="auto"/>
              <w:jc w:val="center"/>
            </w:pPr>
            <w:r/>
            <w:r>
              <w:rPr>
                <w:rFonts w:ascii="宋体" w:hAnsi="宋体" w:eastAsia="宋体"/>
                <w:b w:val="0"/>
                <w:sz w:val="15"/>
              </w:rPr>
              <w:t>最终 NLL / nat</w:t>
            </w:r>
          </w:p>
        </w:tc>
        <w:tc>
          <w:tcPr>
            <w:tcW w:type="dxa" w:w="2296"/>
            <w:vAlign w:val="center"/>
          </w:tcPr>
          <w:p>
            <w:pPr>
              <w:spacing w:after="0" w:line="240" w:lineRule="auto"/>
              <w:jc w:val="center"/>
            </w:pPr>
            <w:r/>
            <w:r>
              <w:rPr>
                <w:rFonts w:ascii="宋体" w:hAnsi="宋体" w:eastAsia="宋体"/>
                <w:b w:val="0"/>
                <w:sz w:val="15"/>
              </w:rPr>
              <w:t>-0.036 [-0.050, -0.023]</w:t>
            </w:r>
          </w:p>
        </w:tc>
        <w:tc>
          <w:tcPr>
            <w:tcW w:type="dxa" w:w="2296"/>
            <w:vAlign w:val="center"/>
          </w:tcPr>
          <w:p>
            <w:pPr>
              <w:spacing w:after="0" w:line="240" w:lineRule="auto"/>
              <w:jc w:val="center"/>
            </w:pPr>
            <w:r/>
            <w:r>
              <w:rPr>
                <w:rFonts w:ascii="宋体" w:hAnsi="宋体" w:eastAsia="宋体"/>
                <w:b w:val="0"/>
                <w:sz w:val="15"/>
              </w:rPr>
              <w:t>-0.014 [-0.019, -0.009]</w:t>
            </w:r>
          </w:p>
        </w:tc>
        <w:tc>
          <w:tcPr>
            <w:tcW w:type="dxa" w:w="2296"/>
            <w:vAlign w:val="center"/>
          </w:tcPr>
          <w:p>
            <w:pPr>
              <w:spacing w:after="0" w:line="240" w:lineRule="auto"/>
              <w:jc w:val="center"/>
            </w:pPr>
            <w:r/>
            <w:r>
              <w:rPr>
                <w:rFonts w:ascii="宋体" w:hAnsi="宋体" w:eastAsia="宋体"/>
                <w:b w:val="0"/>
                <w:sz w:val="15"/>
              </w:rPr>
              <w:t>负值有利</w:t>
            </w:r>
          </w:p>
        </w:tc>
      </w:tr>
      <w:tr>
        <w:tc>
          <w:tcPr>
            <w:tcW w:type="dxa" w:w="2296"/>
            <w:vAlign w:val="center"/>
          </w:tcPr>
          <w:p>
            <w:pPr>
              <w:spacing w:after="0" w:line="240" w:lineRule="auto"/>
              <w:jc w:val="center"/>
            </w:pPr>
            <w:r/>
            <w:r>
              <w:rPr>
                <w:rFonts w:ascii="宋体" w:hAnsi="宋体" w:eastAsia="宋体"/>
                <w:b w:val="0"/>
                <w:sz w:val="15"/>
              </w:rPr>
              <w:t>Accuracy</w:t>
            </w:r>
          </w:p>
        </w:tc>
        <w:tc>
          <w:tcPr>
            <w:tcW w:type="dxa" w:w="2296"/>
            <w:vAlign w:val="center"/>
          </w:tcPr>
          <w:p>
            <w:pPr>
              <w:spacing w:after="0" w:line="240" w:lineRule="auto"/>
              <w:jc w:val="center"/>
            </w:pPr>
            <w:r/>
            <w:r>
              <w:rPr>
                <w:rFonts w:ascii="宋体" w:hAnsi="宋体" w:eastAsia="宋体"/>
                <w:b w:val="0"/>
                <w:sz w:val="15"/>
              </w:rPr>
              <w:t>-0.334 [-1.153, +0.447] 点</w:t>
            </w:r>
          </w:p>
        </w:tc>
        <w:tc>
          <w:tcPr>
            <w:tcW w:type="dxa" w:w="2296"/>
            <w:vAlign w:val="center"/>
          </w:tcPr>
          <w:p>
            <w:pPr>
              <w:spacing w:after="0" w:line="240" w:lineRule="auto"/>
              <w:jc w:val="center"/>
            </w:pPr>
            <w:r/>
            <w:r>
              <w:rPr>
                <w:rFonts w:ascii="宋体" w:hAnsi="宋体" w:eastAsia="宋体"/>
                <w:b w:val="0"/>
                <w:sz w:val="15"/>
              </w:rPr>
              <w:t>+0.037 [-0.668, +0.743] 点</w:t>
            </w:r>
          </w:p>
        </w:tc>
        <w:tc>
          <w:tcPr>
            <w:tcW w:type="dxa" w:w="2296"/>
            <w:vAlign w:val="center"/>
          </w:tcPr>
          <w:p>
            <w:pPr>
              <w:spacing w:after="0" w:line="240" w:lineRule="auto"/>
              <w:jc w:val="center"/>
            </w:pPr>
            <w:r/>
            <w:r>
              <w:rPr>
                <w:rFonts w:ascii="宋体" w:hAnsi="宋体" w:eastAsia="宋体"/>
                <w:b w:val="0"/>
                <w:sz w:val="15"/>
              </w:rPr>
              <w:t>正值有利</w:t>
            </w:r>
          </w:p>
        </w:tc>
      </w:tr>
      <w:tr>
        <w:tc>
          <w:tcPr>
            <w:tcW w:type="dxa" w:w="2296"/>
            <w:vAlign w:val="center"/>
          </w:tcPr>
          <w:p>
            <w:pPr>
              <w:spacing w:after="0" w:line="240" w:lineRule="auto"/>
              <w:jc w:val="center"/>
            </w:pPr>
            <w:r/>
            <w:r>
              <w:rPr>
                <w:rFonts w:ascii="宋体" w:hAnsi="宋体" w:eastAsia="宋体"/>
                <w:b w:val="0"/>
                <w:sz w:val="15"/>
              </w:rPr>
              <w:t>Macro F1</w:t>
            </w:r>
          </w:p>
        </w:tc>
        <w:tc>
          <w:tcPr>
            <w:tcW w:type="dxa" w:w="2296"/>
            <w:vAlign w:val="center"/>
          </w:tcPr>
          <w:p>
            <w:pPr>
              <w:spacing w:after="0" w:line="240" w:lineRule="auto"/>
              <w:jc w:val="center"/>
            </w:pPr>
            <w:r/>
            <w:r>
              <w:rPr>
                <w:rFonts w:ascii="宋体" w:hAnsi="宋体" w:eastAsia="宋体"/>
                <w:b w:val="0"/>
                <w:sz w:val="15"/>
              </w:rPr>
              <w:t>-0.497 [-1.523, +0.484] 点</w:t>
            </w:r>
          </w:p>
        </w:tc>
        <w:tc>
          <w:tcPr>
            <w:tcW w:type="dxa" w:w="2296"/>
            <w:vAlign w:val="center"/>
          </w:tcPr>
          <w:p>
            <w:pPr>
              <w:spacing w:after="0" w:line="240" w:lineRule="auto"/>
              <w:jc w:val="center"/>
            </w:pPr>
            <w:r/>
            <w:r>
              <w:rPr>
                <w:rFonts w:ascii="宋体" w:hAnsi="宋体" w:eastAsia="宋体"/>
                <w:b w:val="0"/>
                <w:sz w:val="15"/>
              </w:rPr>
              <w:t>-0.047 [-0.786, +0.749] 点</w:t>
            </w:r>
          </w:p>
        </w:tc>
        <w:tc>
          <w:tcPr>
            <w:tcW w:type="dxa" w:w="2296"/>
            <w:vAlign w:val="center"/>
          </w:tcPr>
          <w:p>
            <w:pPr>
              <w:spacing w:after="0" w:line="240" w:lineRule="auto"/>
              <w:jc w:val="center"/>
            </w:pPr>
            <w:r/>
            <w:r>
              <w:rPr>
                <w:rFonts w:ascii="宋体" w:hAnsi="宋体" w:eastAsia="宋体"/>
                <w:b w:val="0"/>
                <w:sz w:val="15"/>
              </w:rPr>
              <w:t>正值有利</w:t>
            </w:r>
          </w:p>
        </w:tc>
      </w:tr>
      <w:tr>
        <w:tc>
          <w:tcPr>
            <w:tcW w:type="dxa" w:w="2296"/>
            <w:vAlign w:val="center"/>
          </w:tcPr>
          <w:p>
            <w:pPr>
              <w:spacing w:after="0" w:line="240" w:lineRule="auto"/>
              <w:jc w:val="center"/>
            </w:pPr>
            <w:r/>
            <w:r>
              <w:rPr>
                <w:rFonts w:ascii="宋体" w:hAnsi="宋体" w:eastAsia="宋体"/>
                <w:b w:val="0"/>
                <w:sz w:val="15"/>
              </w:rPr>
              <w:t>目标召回</w:t>
            </w:r>
          </w:p>
        </w:tc>
        <w:tc>
          <w:tcPr>
            <w:tcW w:type="dxa" w:w="2296"/>
            <w:vAlign w:val="center"/>
          </w:tcPr>
          <w:p>
            <w:pPr>
              <w:spacing w:after="0" w:line="240" w:lineRule="auto"/>
              <w:jc w:val="center"/>
            </w:pPr>
            <w:r/>
            <w:r>
              <w:rPr>
                <w:rFonts w:ascii="宋体" w:hAnsi="宋体" w:eastAsia="宋体"/>
                <w:b w:val="0"/>
                <w:sz w:val="15"/>
              </w:rPr>
              <w:t>-4.762 [-7.238, -2.286] 点</w:t>
            </w:r>
          </w:p>
        </w:tc>
        <w:tc>
          <w:tcPr>
            <w:tcW w:type="dxa" w:w="2296"/>
            <w:vAlign w:val="center"/>
          </w:tcPr>
          <w:p>
            <w:pPr>
              <w:spacing w:after="0" w:line="240" w:lineRule="auto"/>
              <w:jc w:val="center"/>
            </w:pPr>
            <w:r/>
            <w:r>
              <w:rPr>
                <w:rFonts w:ascii="宋体" w:hAnsi="宋体" w:eastAsia="宋体"/>
                <w:b w:val="0"/>
                <w:sz w:val="15"/>
              </w:rPr>
              <w:t>-2.476 [-4.381, -0.571] 点</w:t>
            </w:r>
          </w:p>
        </w:tc>
        <w:tc>
          <w:tcPr>
            <w:tcW w:type="dxa" w:w="2296"/>
            <w:vAlign w:val="center"/>
          </w:tcPr>
          <w:p>
            <w:pPr>
              <w:spacing w:after="0" w:line="240" w:lineRule="auto"/>
              <w:jc w:val="center"/>
            </w:pPr>
            <w:r/>
            <w:r>
              <w:rPr>
                <w:rFonts w:ascii="宋体" w:hAnsi="宋体" w:eastAsia="宋体"/>
                <w:b w:val="0"/>
                <w:sz w:val="15"/>
              </w:rPr>
              <w:t>正值有利</w:t>
            </w:r>
          </w:p>
        </w:tc>
      </w:tr>
      <w:tr>
        <w:tc>
          <w:tcPr>
            <w:tcW w:type="dxa" w:w="2296"/>
            <w:vAlign w:val="center"/>
          </w:tcPr>
          <w:p>
            <w:pPr>
              <w:spacing w:after="0" w:line="240" w:lineRule="auto"/>
              <w:jc w:val="center"/>
            </w:pPr>
            <w:r/>
            <w:r>
              <w:rPr>
                <w:rFonts w:ascii="宋体" w:hAnsi="宋体" w:eastAsia="宋体"/>
                <w:b w:val="0"/>
                <w:sz w:val="15"/>
              </w:rPr>
              <w:t>含钛误入目标</w:t>
            </w:r>
          </w:p>
        </w:tc>
        <w:tc>
          <w:tcPr>
            <w:tcW w:type="dxa" w:w="2296"/>
            <w:vAlign w:val="center"/>
          </w:tcPr>
          <w:p>
            <w:pPr>
              <w:spacing w:after="0" w:line="240" w:lineRule="auto"/>
              <w:jc w:val="center"/>
            </w:pPr>
            <w:r/>
            <w:r>
              <w:rPr>
                <w:rFonts w:ascii="宋体" w:hAnsi="宋体" w:eastAsia="宋体"/>
                <w:b w:val="0"/>
                <w:sz w:val="15"/>
              </w:rPr>
              <w:t>-1.559 [-3.119, -0.390] 点</w:t>
            </w:r>
          </w:p>
        </w:tc>
        <w:tc>
          <w:tcPr>
            <w:tcW w:type="dxa" w:w="2296"/>
            <w:vAlign w:val="center"/>
          </w:tcPr>
          <w:p>
            <w:pPr>
              <w:spacing w:after="0" w:line="240" w:lineRule="auto"/>
              <w:jc w:val="center"/>
            </w:pPr>
            <w:r/>
            <w:r>
              <w:rPr>
                <w:rFonts w:ascii="宋体" w:hAnsi="宋体" w:eastAsia="宋体"/>
                <w:b w:val="0"/>
                <w:sz w:val="15"/>
              </w:rPr>
              <w:t>-1.170 [-2.242, -0.292] 点</w:t>
            </w:r>
          </w:p>
        </w:tc>
        <w:tc>
          <w:tcPr>
            <w:tcW w:type="dxa" w:w="2296"/>
            <w:vAlign w:val="center"/>
          </w:tcPr>
          <w:p>
            <w:pPr>
              <w:spacing w:after="0" w:line="240" w:lineRule="auto"/>
              <w:jc w:val="center"/>
            </w:pPr>
            <w:r/>
            <w:r>
              <w:rPr>
                <w:rFonts w:ascii="宋体" w:hAnsi="宋体" w:eastAsia="宋体"/>
                <w:b w:val="0"/>
                <w:sz w:val="15"/>
              </w:rPr>
              <w:t>负值有利</w:t>
            </w:r>
          </w:p>
        </w:tc>
      </w:tr>
      <w:tr>
        <w:tc>
          <w:tcPr>
            <w:tcW w:type="dxa" w:w="2296"/>
            <w:vAlign w:val="center"/>
          </w:tcPr>
          <w:p>
            <w:pPr>
              <w:spacing w:after="0" w:line="240" w:lineRule="auto"/>
              <w:jc w:val="center"/>
            </w:pPr>
            <w:r/>
            <w:r>
              <w:rPr>
                <w:rFonts w:ascii="宋体" w:hAnsi="宋体" w:eastAsia="宋体"/>
                <w:b w:val="0"/>
                <w:sz w:val="15"/>
              </w:rPr>
              <w:t>金属光泽误入目标</w:t>
            </w:r>
          </w:p>
        </w:tc>
        <w:tc>
          <w:tcPr>
            <w:tcW w:type="dxa" w:w="2296"/>
            <w:vAlign w:val="center"/>
          </w:tcPr>
          <w:p>
            <w:pPr>
              <w:spacing w:after="0" w:line="240" w:lineRule="auto"/>
              <w:jc w:val="center"/>
            </w:pPr>
            <w:r/>
            <w:r>
              <w:rPr>
                <w:rFonts w:ascii="宋体" w:hAnsi="宋体" w:eastAsia="宋体"/>
                <w:b w:val="0"/>
                <w:sz w:val="15"/>
              </w:rPr>
              <w:t>-2.133 [-4.533, +0.000] 点</w:t>
            </w:r>
          </w:p>
        </w:tc>
        <w:tc>
          <w:tcPr>
            <w:tcW w:type="dxa" w:w="2296"/>
            <w:vAlign w:val="center"/>
          </w:tcPr>
          <w:p>
            <w:pPr>
              <w:spacing w:after="0" w:line="240" w:lineRule="auto"/>
              <w:jc w:val="center"/>
            </w:pPr>
            <w:r/>
            <w:r>
              <w:rPr>
                <w:rFonts w:ascii="宋体" w:hAnsi="宋体" w:eastAsia="宋体"/>
                <w:b w:val="0"/>
                <w:sz w:val="15"/>
              </w:rPr>
              <w:t>-1.600 [-3.733, +0.000] 点</w:t>
            </w:r>
          </w:p>
        </w:tc>
        <w:tc>
          <w:tcPr>
            <w:tcW w:type="dxa" w:w="2296"/>
            <w:vAlign w:val="center"/>
          </w:tcPr>
          <w:p>
            <w:pPr>
              <w:spacing w:after="0" w:line="240" w:lineRule="auto"/>
              <w:jc w:val="center"/>
            </w:pPr>
            <w:r/>
            <w:r>
              <w:rPr>
                <w:rFonts w:ascii="宋体" w:hAnsi="宋体" w:eastAsia="宋体"/>
                <w:b w:val="0"/>
                <w:sz w:val="15"/>
              </w:rPr>
              <w:t>负值有利</w:t>
            </w:r>
          </w:p>
        </w:tc>
      </w:tr>
    </w:tbl>
    <w:p>
      <w:pPr>
        <w:spacing w:after="80" w:line="312" w:lineRule="auto"/>
        <w:ind w:firstLine="420"/>
      </w:pPr>
      <w:r>
        <w:rPr>
          <w:rFonts w:ascii="宋体" w:hAnsi="宋体" w:eastAsia="宋体"/>
          <w:b w:val="0"/>
          <w:sz w:val="22"/>
        </w:rPr>
        <w:t>相对等权融合，样本外门控在三位专家上均降低最终 NLL，平均差为 -0.014040 nat，95% 区间为 [-0.019431, -0.008724] nat；含钛与金属光泽误入目标平均分别下降 1.170 和 1.600 个百分点。目标召回则平均下降 2.476 个百分点，95% 区间为 [-4.381, -0.571] 个百分点。结果说明样本外监督稳定改善了正确概率风险并减少困难负样本误入，但其风险重分配以目标矿物漏识增加为代价。</w:t>
      </w:r>
    </w:p>
    <w:p>
      <w:pPr>
        <w:keepLines/>
        <w:jc w:val="center"/>
      </w:pPr>
      <w:r>
        <w:drawing>
          <wp:inline xmlns:a="http://schemas.openxmlformats.org/drawingml/2006/main" xmlns:pic="http://schemas.openxmlformats.org/drawingml/2006/picture">
            <wp:extent cx="5832000" cy="2824834"/>
            <wp:docPr id="62" name="Picture 62"/>
            <wp:cNvGraphicFramePr>
              <a:graphicFrameLocks noChangeAspect="1"/>
            </wp:cNvGraphicFramePr>
            <a:graphic>
              <a:graphicData uri="http://schemas.openxmlformats.org/drawingml/2006/picture">
                <pic:pic>
                  <pic:nvPicPr>
                    <pic:cNvPr id="0" name="fig_oos_rsg_confirmation.png"/>
                    <pic:cNvPicPr/>
                  </pic:nvPicPr>
                  <pic:blipFill>
                    <a:blip r:embed="rId73"/>
                    <a:stretch>
                      <a:fillRect/>
                    </a:stretch>
                  </pic:blipFill>
                  <pic:spPr>
                    <a:xfrm>
                      <a:off x="0" y="0"/>
                      <a:ext cx="5832000" cy="2824834"/>
                    </a:xfrm>
                    <a:prstGeom prst="rect"/>
                  </pic:spPr>
                </pic:pic>
              </a:graphicData>
            </a:graphic>
          </wp:inline>
        </w:drawing>
      </w:r>
    </w:p>
    <w:p>
      <w:pPr>
        <w:pStyle w:val="af7"/>
        <w:keepNext/>
        <w:jc w:val="center"/>
      </w:pPr>
      <w:r>
        <w:rPr>
          <w:rFonts w:ascii="宋体" w:hAnsi="宋体" w:eastAsia="宋体"/>
          <w:b w:val="0"/>
          <w:sz w:val="21"/>
        </w:rPr>
        <w:t>图 29 三专家样本外风险路由的独立确认效应与预注册晋级判定</w:t>
      </w:r>
    </w:p>
    <w:p>
      <w:pPr>
        <w:pStyle w:val="21"/>
        <w:keepNext/>
        <w:spacing w:before="120" w:after="80"/>
      </w:pPr>
      <w:r>
        <w:rPr>
          <w:rFonts w:ascii="黑体" w:hAnsi="黑体" w:eastAsia="黑体"/>
          <w:b/>
          <w:sz w:val="24"/>
        </w:rPr>
        <w:t>L.3 预注册晋级判定</w:t>
      </w:r>
    </w:p>
    <w:tbl>
      <w:tblPr>
        <w:tblStyle w:val="aff1"/>
        <w:tblW w:type="auto" w:w="0"/>
        <w:tblLook w:firstColumn="1" w:firstRow="1" w:lastColumn="0" w:lastRow="0" w:noHBand="0" w:noVBand="1" w:val="04A0"/>
      </w:tblPr>
      <w:tblGrid>
        <w:gridCol w:w="3062"/>
        <w:gridCol w:w="3062"/>
        <w:gridCol w:w="3062"/>
      </w:tblGrid>
      <w:tr>
        <w:trPr>
          <w:tblHeader w:val="true"/>
        </w:trPr>
        <w:tc>
          <w:tcPr>
            <w:tcW w:type="dxa" w:w="3062"/>
            <w:vAlign w:val="center"/>
            <w:shd w:fill="D9E2F3"/>
          </w:tcPr>
          <w:p>
            <w:pPr>
              <w:spacing w:after="0" w:line="240" w:lineRule="auto"/>
              <w:jc w:val="center"/>
            </w:pPr>
            <w:r/>
            <w:r>
              <w:rPr>
                <w:rFonts w:ascii="宋体" w:hAnsi="宋体" w:eastAsia="宋体"/>
                <w:b/>
                <w:sz w:val="17"/>
              </w:rPr>
              <w:t>预注册判据</w:t>
            </w:r>
          </w:p>
        </w:tc>
        <w:tc>
          <w:tcPr>
            <w:tcW w:type="dxa" w:w="3062"/>
            <w:vAlign w:val="center"/>
            <w:shd w:fill="D9E2F3"/>
          </w:tcPr>
          <w:p>
            <w:pPr>
              <w:spacing w:after="0" w:line="240" w:lineRule="auto"/>
              <w:jc w:val="center"/>
            </w:pPr>
            <w:r/>
            <w:r>
              <w:rPr>
                <w:rFonts w:ascii="宋体" w:hAnsi="宋体" w:eastAsia="宋体"/>
                <w:b/>
                <w:sz w:val="17"/>
              </w:rPr>
              <w:t>结果</w:t>
            </w:r>
          </w:p>
        </w:tc>
        <w:tc>
          <w:tcPr>
            <w:tcW w:type="dxa" w:w="3062"/>
            <w:vAlign w:val="center"/>
            <w:shd w:fill="D9E2F3"/>
          </w:tcPr>
          <w:p>
            <w:pPr>
              <w:spacing w:after="0" w:line="240" w:lineRule="auto"/>
              <w:jc w:val="center"/>
            </w:pPr>
            <w:r/>
            <w:r>
              <w:rPr>
                <w:rFonts w:ascii="宋体" w:hAnsi="宋体" w:eastAsia="宋体"/>
                <w:b/>
                <w:sz w:val="17"/>
              </w:rPr>
              <w:t>判定</w:t>
            </w:r>
          </w:p>
        </w:tc>
      </w:tr>
      <w:tr>
        <w:tc>
          <w:tcPr>
            <w:tcW w:type="dxa" w:w="3062"/>
            <w:vAlign w:val="center"/>
          </w:tcPr>
          <w:p>
            <w:pPr>
              <w:spacing w:after="0" w:line="240" w:lineRule="auto"/>
              <w:jc w:val="center"/>
            </w:pPr>
            <w:r/>
            <w:r>
              <w:rPr>
                <w:rFonts w:ascii="宋体" w:hAnsi="宋体" w:eastAsia="宋体"/>
                <w:b w:val="0"/>
                <w:sz w:val="16"/>
              </w:rPr>
              <w:t>等权对照 NLL 区间上界小于 0</w:t>
            </w:r>
          </w:p>
        </w:tc>
        <w:tc>
          <w:tcPr>
            <w:tcW w:type="dxa" w:w="3062"/>
            <w:vAlign w:val="center"/>
          </w:tcPr>
          <w:p>
            <w:pPr>
              <w:spacing w:after="0" w:line="240" w:lineRule="auto"/>
              <w:jc w:val="center"/>
            </w:pPr>
            <w:r/>
            <w:r>
              <w:rPr>
                <w:rFonts w:ascii="宋体" w:hAnsi="宋体" w:eastAsia="宋体"/>
                <w:b w:val="0"/>
                <w:sz w:val="16"/>
              </w:rPr>
              <w:t>满足</w:t>
            </w:r>
          </w:p>
        </w:tc>
        <w:tc>
          <w:tcPr>
            <w:tcW w:type="dxa" w:w="3062"/>
            <w:vAlign w:val="center"/>
          </w:tcPr>
          <w:p>
            <w:pPr>
              <w:spacing w:after="0" w:line="240" w:lineRule="auto"/>
              <w:jc w:val="center"/>
            </w:pPr>
            <w:r/>
            <w:r>
              <w:rPr>
                <w:rFonts w:ascii="宋体" w:hAnsi="宋体" w:eastAsia="宋体"/>
                <w:b/>
                <w:sz w:val="16"/>
              </w:rPr>
              <w:t>通过</w:t>
            </w:r>
          </w:p>
        </w:tc>
      </w:tr>
      <w:tr>
        <w:tc>
          <w:tcPr>
            <w:tcW w:type="dxa" w:w="3062"/>
            <w:vAlign w:val="center"/>
          </w:tcPr>
          <w:p>
            <w:pPr>
              <w:spacing w:after="0" w:line="240" w:lineRule="auto"/>
              <w:jc w:val="center"/>
            </w:pPr>
            <w:r/>
            <w:r>
              <w:rPr>
                <w:rFonts w:ascii="宋体" w:hAnsi="宋体" w:eastAsia="宋体"/>
                <w:b w:val="0"/>
                <w:sz w:val="16"/>
              </w:rPr>
              <w:t>至少 2/3 专家 NLL 方向有利</w:t>
            </w:r>
          </w:p>
        </w:tc>
        <w:tc>
          <w:tcPr>
            <w:tcW w:type="dxa" w:w="3062"/>
            <w:vAlign w:val="center"/>
          </w:tcPr>
          <w:p>
            <w:pPr>
              <w:spacing w:after="0" w:line="240" w:lineRule="auto"/>
              <w:jc w:val="center"/>
            </w:pPr>
            <w:r/>
            <w:r>
              <w:rPr>
                <w:rFonts w:ascii="宋体" w:hAnsi="宋体" w:eastAsia="宋体"/>
                <w:b w:val="0"/>
                <w:sz w:val="16"/>
              </w:rPr>
              <w:t>3/3</w:t>
            </w:r>
          </w:p>
        </w:tc>
        <w:tc>
          <w:tcPr>
            <w:tcW w:type="dxa" w:w="3062"/>
            <w:vAlign w:val="center"/>
          </w:tcPr>
          <w:p>
            <w:pPr>
              <w:spacing w:after="0" w:line="240" w:lineRule="auto"/>
              <w:jc w:val="center"/>
            </w:pPr>
            <w:r/>
            <w:r>
              <w:rPr>
                <w:rFonts w:ascii="宋体" w:hAnsi="宋体" w:eastAsia="宋体"/>
                <w:b/>
                <w:sz w:val="16"/>
              </w:rPr>
              <w:t>通过</w:t>
            </w:r>
          </w:p>
        </w:tc>
      </w:tr>
      <w:tr>
        <w:tc>
          <w:tcPr>
            <w:tcW w:type="dxa" w:w="3062"/>
            <w:vAlign w:val="center"/>
          </w:tcPr>
          <w:p>
            <w:pPr>
              <w:spacing w:after="0" w:line="240" w:lineRule="auto"/>
              <w:jc w:val="center"/>
            </w:pPr>
            <w:r/>
            <w:r>
              <w:rPr>
                <w:rFonts w:ascii="宋体" w:hAnsi="宋体" w:eastAsia="宋体"/>
                <w:b w:val="0"/>
                <w:sz w:val="16"/>
              </w:rPr>
              <w:t>Macro F1 下降不超过 0.5 点</w:t>
            </w:r>
          </w:p>
        </w:tc>
        <w:tc>
          <w:tcPr>
            <w:tcW w:type="dxa" w:w="3062"/>
            <w:vAlign w:val="center"/>
          </w:tcPr>
          <w:p>
            <w:pPr>
              <w:spacing w:after="0" w:line="240" w:lineRule="auto"/>
              <w:jc w:val="center"/>
            </w:pPr>
            <w:r/>
            <w:r>
              <w:rPr>
                <w:rFonts w:ascii="宋体" w:hAnsi="宋体" w:eastAsia="宋体"/>
                <w:b w:val="0"/>
                <w:sz w:val="16"/>
              </w:rPr>
              <w:t>下降 0.047 点</w:t>
            </w:r>
          </w:p>
        </w:tc>
        <w:tc>
          <w:tcPr>
            <w:tcW w:type="dxa" w:w="3062"/>
            <w:vAlign w:val="center"/>
          </w:tcPr>
          <w:p>
            <w:pPr>
              <w:spacing w:after="0" w:line="240" w:lineRule="auto"/>
              <w:jc w:val="center"/>
            </w:pPr>
            <w:r/>
            <w:r>
              <w:rPr>
                <w:rFonts w:ascii="宋体" w:hAnsi="宋体" w:eastAsia="宋体"/>
                <w:b/>
                <w:sz w:val="16"/>
              </w:rPr>
              <w:t>通过</w:t>
            </w:r>
          </w:p>
        </w:tc>
      </w:tr>
      <w:tr>
        <w:tc>
          <w:tcPr>
            <w:tcW w:type="dxa" w:w="3062"/>
            <w:vAlign w:val="center"/>
          </w:tcPr>
          <w:p>
            <w:pPr>
              <w:spacing w:after="0" w:line="240" w:lineRule="auto"/>
              <w:jc w:val="center"/>
            </w:pPr>
            <w:r/>
            <w:r>
              <w:rPr>
                <w:rFonts w:ascii="宋体" w:hAnsi="宋体" w:eastAsia="宋体"/>
                <w:b w:val="0"/>
                <w:sz w:val="16"/>
              </w:rPr>
              <w:t>目标召回下降不超过 1 点</w:t>
            </w:r>
          </w:p>
        </w:tc>
        <w:tc>
          <w:tcPr>
            <w:tcW w:type="dxa" w:w="3062"/>
            <w:vAlign w:val="center"/>
          </w:tcPr>
          <w:p>
            <w:pPr>
              <w:spacing w:after="0" w:line="240" w:lineRule="auto"/>
              <w:jc w:val="center"/>
            </w:pPr>
            <w:r/>
            <w:r>
              <w:rPr>
                <w:rFonts w:ascii="宋体" w:hAnsi="宋体" w:eastAsia="宋体"/>
                <w:b w:val="0"/>
                <w:sz w:val="16"/>
              </w:rPr>
              <w:t>下降 2.476 点</w:t>
            </w:r>
          </w:p>
        </w:tc>
        <w:tc>
          <w:tcPr>
            <w:tcW w:type="dxa" w:w="3062"/>
            <w:vAlign w:val="center"/>
            <w:shd w:fill="FCE4D6"/>
          </w:tcPr>
          <w:p>
            <w:pPr>
              <w:spacing w:after="0" w:line="240" w:lineRule="auto"/>
              <w:jc w:val="center"/>
            </w:pPr>
            <w:r/>
            <w:r>
              <w:rPr>
                <w:rFonts w:ascii="宋体" w:hAnsi="宋体" w:eastAsia="宋体"/>
                <w:b/>
                <w:sz w:val="16"/>
              </w:rPr>
              <w:t>未通过</w:t>
            </w:r>
          </w:p>
        </w:tc>
      </w:tr>
      <w:tr>
        <w:tc>
          <w:tcPr>
            <w:tcW w:type="dxa" w:w="3062"/>
            <w:vAlign w:val="center"/>
          </w:tcPr>
          <w:p>
            <w:pPr>
              <w:spacing w:after="0" w:line="240" w:lineRule="auto"/>
              <w:jc w:val="center"/>
            </w:pPr>
            <w:r/>
            <w:r>
              <w:rPr>
                <w:rFonts w:ascii="宋体" w:hAnsi="宋体" w:eastAsia="宋体"/>
                <w:b w:val="0"/>
                <w:sz w:val="16"/>
              </w:rPr>
              <w:t>含钛误入上升不超过 1 点</w:t>
            </w:r>
          </w:p>
        </w:tc>
        <w:tc>
          <w:tcPr>
            <w:tcW w:type="dxa" w:w="3062"/>
            <w:vAlign w:val="center"/>
          </w:tcPr>
          <w:p>
            <w:pPr>
              <w:spacing w:after="0" w:line="240" w:lineRule="auto"/>
              <w:jc w:val="center"/>
            </w:pPr>
            <w:r/>
            <w:r>
              <w:rPr>
                <w:rFonts w:ascii="宋体" w:hAnsi="宋体" w:eastAsia="宋体"/>
                <w:b w:val="0"/>
                <w:sz w:val="16"/>
              </w:rPr>
              <w:t>下降 1.170 点</w:t>
            </w:r>
          </w:p>
        </w:tc>
        <w:tc>
          <w:tcPr>
            <w:tcW w:type="dxa" w:w="3062"/>
            <w:vAlign w:val="center"/>
          </w:tcPr>
          <w:p>
            <w:pPr>
              <w:spacing w:after="0" w:line="240" w:lineRule="auto"/>
              <w:jc w:val="center"/>
            </w:pPr>
            <w:r/>
            <w:r>
              <w:rPr>
                <w:rFonts w:ascii="宋体" w:hAnsi="宋体" w:eastAsia="宋体"/>
                <w:b/>
                <w:sz w:val="16"/>
              </w:rPr>
              <w:t>通过</w:t>
            </w:r>
          </w:p>
        </w:tc>
      </w:tr>
      <w:tr>
        <w:tc>
          <w:tcPr>
            <w:tcW w:type="dxa" w:w="3062"/>
            <w:vAlign w:val="center"/>
          </w:tcPr>
          <w:p>
            <w:pPr>
              <w:spacing w:after="0" w:line="240" w:lineRule="auto"/>
              <w:jc w:val="center"/>
            </w:pPr>
            <w:r/>
            <w:r>
              <w:rPr>
                <w:rFonts w:ascii="宋体" w:hAnsi="宋体" w:eastAsia="宋体"/>
                <w:b w:val="0"/>
                <w:sz w:val="16"/>
              </w:rPr>
              <w:t>金属误入上升不超过 1 点</w:t>
            </w:r>
          </w:p>
        </w:tc>
        <w:tc>
          <w:tcPr>
            <w:tcW w:type="dxa" w:w="3062"/>
            <w:vAlign w:val="center"/>
          </w:tcPr>
          <w:p>
            <w:pPr>
              <w:spacing w:after="0" w:line="240" w:lineRule="auto"/>
              <w:jc w:val="center"/>
            </w:pPr>
            <w:r/>
            <w:r>
              <w:rPr>
                <w:rFonts w:ascii="宋体" w:hAnsi="宋体" w:eastAsia="宋体"/>
                <w:b w:val="0"/>
                <w:sz w:val="16"/>
              </w:rPr>
              <w:t>下降 1.600 点</w:t>
            </w:r>
          </w:p>
        </w:tc>
        <w:tc>
          <w:tcPr>
            <w:tcW w:type="dxa" w:w="3062"/>
            <w:vAlign w:val="center"/>
          </w:tcPr>
          <w:p>
            <w:pPr>
              <w:spacing w:after="0" w:line="240" w:lineRule="auto"/>
              <w:jc w:val="center"/>
            </w:pPr>
            <w:r/>
            <w:r>
              <w:rPr>
                <w:rFonts w:ascii="宋体" w:hAnsi="宋体" w:eastAsia="宋体"/>
                <w:b/>
                <w:sz w:val="16"/>
              </w:rPr>
              <w:t>通过</w:t>
            </w:r>
          </w:p>
        </w:tc>
      </w:tr>
    </w:tbl>
    <w:p>
      <w:pPr>
        <w:spacing w:after="80" w:line="312" w:lineRule="auto"/>
        <w:ind w:firstLine="420"/>
      </w:pPr>
      <w:r>
        <w:rPr>
          <w:rFonts w:ascii="宋体" w:hAnsi="宋体" w:eastAsia="宋体"/>
          <w:b w:val="0"/>
          <w:sz w:val="22"/>
        </w:rPr>
        <w:t>预注册规则要求主要 NLL 终点、跨专家方向和四项伤害护栏全部通过。目标召回下降超过 1 个百分点上限，因此 OOS-RSG-HRGV 不晋级为第一篇论文主方法。该负结果不否定样本外风险监督的机制价值，而是把下一步网络问题从无约束门控收缩为具有目标保护条件的风险路由。</w:t>
      </w:r>
    </w:p>
    <w:p>
      <w:pPr>
        <w:pStyle w:val="21"/>
        <w:keepNext/>
        <w:spacing w:before="120" w:after="80"/>
      </w:pPr>
      <w:r>
        <w:rPr>
          <w:rFonts w:ascii="黑体" w:hAnsi="黑体" w:eastAsia="黑体"/>
          <w:b/>
          <w:sz w:val="24"/>
        </w:rPr>
        <w:t>L.4 目标召回约束的样本外风险路由</w:t>
      </w:r>
    </w:p>
    <w:p>
      <w:pPr>
        <w:spacing w:after="80" w:line="312" w:lineRule="auto"/>
        <w:ind w:firstLine="420"/>
      </w:pPr>
      <w:r>
        <w:rPr>
          <w:rFonts w:ascii="宋体" w:hAnsi="宋体" w:eastAsia="宋体"/>
          <w:b w:val="0"/>
          <w:sz w:val="22"/>
        </w:rPr>
        <w:t>下一候选网络暂记为 TC-OOS-RSG。固定双专家与校验器后，它在样本外数据上最小化最终 NLL，同时要求目标漏识风险不超过等权融合基线加容许量 ε。该问题可写为：</w:t>
      </w:r>
    </w:p>
    <w:p>
      <w:pPr>
        <w:keepLines/>
        <w:spacing w:before="40" w:after="80"/>
        <w:jc w:val="center"/>
      </w:pPr>
      <w:r>
        <w:rPr>
          <w:rFonts w:ascii="Cambria Math" w:hAnsi="Cambria Math" w:eastAsia="Cambria Math"/>
          <w:b w:val="0"/>
          <w:sz w:val="22"/>
        </w:rPr>
        <w:t>min_φ R_NLL(φ)    s.t.    R_T,miss(φ) ≤ R_T,miss(g≡1/2)+ε</w:t>
      </w:r>
      <w:r>
        <w:t xml:space="preserve">    </w:t>
      </w:r>
      <w:r>
        <w:rPr>
          <w:rFonts w:ascii="Times New Roman" w:hAnsi="Times New Roman" w:eastAsia="Times New Roman"/>
          <w:b w:val="0"/>
          <w:sz w:val="21"/>
        </w:rPr>
        <w:t>(L-3)</w:t>
      </w:r>
    </w:p>
    <w:p>
      <w:pPr>
        <w:keepLines/>
        <w:spacing w:before="40" w:after="80"/>
        <w:jc w:val="center"/>
      </w:pPr>
      <w:r>
        <w:rPr>
          <w:rFonts w:ascii="Cambria Math" w:hAnsi="Cambria Math" w:eastAsia="Cambria Math"/>
          <w:b w:val="0"/>
          <w:sz w:val="22"/>
        </w:rPr>
        <w:t>L(φ,λ)=R_NLL(φ)+λ[R_T,miss(φ)−τ],    λ≥0</w:t>
      </w:r>
      <w:r>
        <w:t xml:space="preserve">    </w:t>
      </w:r>
      <w:r>
        <w:rPr>
          <w:rFonts w:ascii="Times New Roman" w:hAnsi="Times New Roman" w:eastAsia="Times New Roman"/>
          <w:b w:val="0"/>
          <w:sz w:val="21"/>
        </w:rPr>
        <w:t>(L-4)</w:t>
      </w:r>
    </w:p>
    <w:p>
      <w:pPr>
        <w:spacing w:after="80" w:line="312" w:lineRule="auto"/>
        <w:ind w:firstLine="420"/>
      </w:pPr>
      <w:r>
        <w:rPr>
          <w:rFonts w:ascii="宋体" w:hAnsi="宋体" w:eastAsia="宋体"/>
          <w:b w:val="0"/>
          <w:sz w:val="22"/>
        </w:rPr>
        <w:t>为保留可审计回退，可在校验后把等权后验 q_1/2 与无约束样本外后验 q_φ 做最终概率插值。令 0≤ρ≤1：</w:t>
      </w:r>
    </w:p>
    <w:p>
      <w:pPr>
        <w:keepLines/>
        <w:spacing w:before="40" w:after="80"/>
        <w:jc w:val="center"/>
      </w:pPr>
      <w:r>
        <w:rPr>
          <w:rFonts w:ascii="Cambria Math" w:hAnsi="Cambria Math" w:eastAsia="Cambria Math"/>
          <w:b w:val="0"/>
          <w:sz w:val="22"/>
        </w:rPr>
        <w:t>q_ρ=(1−ρ)q_1/2+ρq_φ</w:t>
      </w:r>
      <w:r>
        <w:t xml:space="preserve">    </w:t>
      </w:r>
      <w:r>
        <w:rPr>
          <w:rFonts w:ascii="Times New Roman" w:hAnsi="Times New Roman" w:eastAsia="Times New Roman"/>
          <w:b w:val="0"/>
          <w:sz w:val="21"/>
        </w:rPr>
        <w:t>(L-5)</w:t>
      </w:r>
    </w:p>
    <w:p>
      <w:pPr>
        <w:spacing w:after="80" w:line="312" w:lineRule="auto"/>
        <w:ind w:firstLine="420"/>
      </w:pPr>
      <w:r>
        <w:rPr>
          <w:rFonts w:ascii="宋体" w:hAnsi="宋体" w:eastAsia="宋体"/>
          <w:b w:val="0"/>
          <w:sz w:val="22"/>
        </w:rPr>
        <w:t>定义目标软漏识风险 S_T(q)=E[1−q_T(X) | Y=T]。该风险沿插值路径为仿射函数，而 NLL 由负对数的凸性得到凸组合上界：</w:t>
      </w:r>
    </w:p>
    <w:p>
      <w:pPr>
        <w:keepLines/>
        <w:spacing w:before="40" w:after="80"/>
        <w:jc w:val="center"/>
      </w:pPr>
      <w:r>
        <w:rPr>
          <w:rFonts w:ascii="Cambria Math" w:hAnsi="Cambria Math" w:eastAsia="Cambria Math"/>
          <w:b w:val="0"/>
          <w:sz w:val="22"/>
        </w:rPr>
        <w:t>S_T(q_ρ)=S_T(q_1/2)+ρ[S_T(q_φ)−S_T(q_1/2)]</w:t>
      </w:r>
      <w:r>
        <w:t xml:space="preserve">    </w:t>
      </w:r>
      <w:r>
        <w:rPr>
          <w:rFonts w:ascii="Times New Roman" w:hAnsi="Times New Roman" w:eastAsia="Times New Roman"/>
          <w:b w:val="0"/>
          <w:sz w:val="21"/>
        </w:rPr>
        <w:t>(L-6)</w:t>
      </w:r>
    </w:p>
    <w:p>
      <w:pPr>
        <w:keepLines/>
        <w:spacing w:before="40" w:after="80"/>
        <w:jc w:val="center"/>
      </w:pPr>
      <w:r>
        <w:rPr>
          <w:rFonts w:ascii="Cambria Math" w:hAnsi="Cambria Math" w:eastAsia="Cambria Math"/>
          <w:b w:val="0"/>
          <w:sz w:val="22"/>
        </w:rPr>
        <w:t>R_NLL(q_ρ)≤(1−ρ)R_NLL(q_1/2)+ρR_NLL(q_φ)</w:t>
      </w:r>
      <w:r>
        <w:t xml:space="preserve">    </w:t>
      </w:r>
      <w:r>
        <w:rPr>
          <w:rFonts w:ascii="Times New Roman" w:hAnsi="Times New Roman" w:eastAsia="Times New Roman"/>
          <w:b w:val="0"/>
          <w:sz w:val="21"/>
        </w:rPr>
        <w:t>(L-7)</w:t>
      </w:r>
    </w:p>
    <w:p>
      <w:pPr>
        <w:keepLines/>
        <w:spacing w:before="40" w:after="80"/>
        <w:jc w:val="center"/>
      </w:pPr>
      <w:r>
        <w:rPr>
          <w:rFonts w:ascii="Cambria Math" w:hAnsi="Cambria Math" w:eastAsia="Cambria Math"/>
          <w:b w:val="0"/>
          <w:sz w:val="22"/>
        </w:rPr>
        <w:t>ρ≤min{1, ε/[S_T(q_φ)−S_T(q_1/2)]},    if S_T(q_φ)&gt;S_T(q_1/2)</w:t>
      </w:r>
      <w:r>
        <w:t xml:space="preserve">    </w:t>
      </w:r>
      <w:r>
        <w:rPr>
          <w:rFonts w:ascii="Times New Roman" w:hAnsi="Times New Roman" w:eastAsia="Times New Roman"/>
          <w:b w:val="0"/>
          <w:sz w:val="21"/>
        </w:rPr>
        <w:t>(L-8)</w:t>
      </w:r>
    </w:p>
    <w:p>
      <w:pPr>
        <w:spacing w:after="80" w:line="312" w:lineRule="auto"/>
        <w:ind w:firstLine="420"/>
      </w:pPr>
      <w:r>
        <w:rPr>
          <w:rFonts w:ascii="宋体" w:hAnsi="宋体" w:eastAsia="宋体"/>
          <w:b w:val="0"/>
          <w:sz w:val="22"/>
        </w:rPr>
        <w:t>上述关系给出风险改善与目标保护之间可计算的连续路径，且 ρ=0 始终保留等权回退。但软概率风险约束不直接等同于离散 argmax 召回保证，仍需独立约束集、有限样本安全裕量和新的外层评价协议。现有 final_eval 已经被读取，不能再用于 TC-OOS-RSG 的确认性调参或最终确认；本节因此属于由独立失效模式驱动的下一理论假设，而不是已完成的性能贡献。</w:t>
      </w:r>
    </w:p>
    <w:p>
      <w:pPr>
        <w:pStyle w:val="21"/>
        <w:keepNext/>
        <w:spacing w:before="120" w:after="80"/>
      </w:pPr>
      <w:r>
        <w:rPr>
          <w:rFonts w:ascii="黑体" w:hAnsi="黑体" w:eastAsia="黑体"/>
          <w:b/>
          <w:sz w:val="24"/>
        </w:rPr>
        <w:t>L.5 结论边界与复现文件</w:t>
      </w:r>
    </w:p>
    <w:p>
      <w:pPr>
        <w:spacing w:after="80" w:line="312" w:lineRule="auto"/>
        <w:ind w:firstLine="420"/>
      </w:pPr>
      <w:r>
        <w:rPr>
          <w:rFonts w:ascii="宋体" w:hAnsi="宋体" w:eastAsia="宋体"/>
          <w:b w:val="0"/>
          <w:sz w:val="22"/>
        </w:rPr>
        <w:t>独立确认支持的结论是：对公开矿物标本图像中的跨粒度双专家，样本外最终风险监督能够稳定降低最终 NLL，并减少含钛和金属光泽困难负样本误入；它未保留目标召回，故不能写作全面优于等权融合。该结论不等同于真实矿石颗粒、工业皮带、品位、回收率、元素含量或跨网站验证。</w:t>
      </w:r>
    </w:p>
    <w:p>
      <w:pPr>
        <w:spacing w:after="80" w:line="312" w:lineRule="auto"/>
        <w:ind w:firstLine="420"/>
      </w:pPr>
      <w:r>
        <w:rPr>
          <w:rFonts w:ascii="宋体" w:hAnsi="宋体" w:eastAsia="宋体"/>
          <w:b w:val="0"/>
          <w:sz w:val="22"/>
        </w:rPr>
        <w:t>复现文件包括 scripts/build_oos_confirmation_manifests.py、scripts/run_oos_confirmation_experts.py、scripts/run_oos_rsg_confirmation.py、scripts/analyze_oos_rsg_confirmation.py 和 scripts/generate_oos_confirmation_figure.py；协议、逐图预测、统计区间和晋级判定保存在 outputs/training/oos_rsg_confirmation_manifests_v1 与 outputs/training/oos_rsg_confirmation_v1。</w:t>
      </w:r>
    </w:p>
    <w:p>
      <w:r>
        <w:br w:type="page"/>
      </w:r>
    </w:p>
    <w:p>
      <w:pPr>
        <w:pStyle w:val="1"/>
        <w:keepNext/>
        <w:spacing w:before="160" w:after="80"/>
      </w:pPr>
      <w:bookmarkStart w:id="1" w:name="ABMP_M_0fa5c2f3a3ec176f493ae0b5"/>
      <w:r>
        <w:rPr>
          <w:rFonts w:ascii="黑体" w:hAnsi="黑体" w:eastAsia="黑体"/>
          <w:b/>
          <w:color w:val="000000"/>
          <w:sz w:val="28"/>
        </w:rPr>
        <w:t>附录 M 自适应预算与目标间隔保护：理论推导及开发验证</w:t>
      </w:r>
      <w:bookmarkEnd w:id="1"/>
    </w:p>
    <w:p>
      <w:pPr>
        <w:spacing w:after="80" w:line="312" w:lineRule="auto"/>
        <w:ind w:firstLine="420"/>
      </w:pPr>
      <w:r>
        <w:rPr>
          <w:rFonts w:ascii="宋体" w:hAnsi="宋体" w:eastAsia="宋体"/>
          <w:b w:val="0"/>
          <w:sz w:val="22"/>
        </w:rPr>
        <w:t>本附录将网络的解析性质、数学推导和真实开发实验分开呈现。ABMP-RSG-Net v2 已实现双头预算策略及双重投影，但第二轮开发门未通过，不能替代已确认的基线，也不能表述为性能创新已成立。Fold 0 已用于方法开发，以下结果不是独立确证；Fold 1/2 未用于本轮评价，保留至新方案冻结后使用。</w:t>
      </w:r>
    </w:p>
    <w:p>
      <w:pPr>
        <w:pStyle w:val="21"/>
        <w:keepNext/>
        <w:spacing w:before="120" w:after="80"/>
      </w:pPr>
      <w:r>
        <w:rPr>
          <w:rFonts w:ascii="黑体" w:hAnsi="黑体" w:eastAsia="黑体"/>
          <w:b/>
          <w:color w:val="000000"/>
          <w:sz w:val="24"/>
        </w:rPr>
        <w:t>M.1 双头网络结构与证据</w:t>
      </w:r>
    </w:p>
    <w:p>
      <w:pPr>
        <w:spacing w:after="80" w:line="312" w:lineRule="auto"/>
        <w:ind w:firstLine="420"/>
      </w:pPr>
      <w:r>
        <w:rPr>
          <w:rFonts w:ascii="宋体" w:hAnsi="宋体" w:eastAsia="宋体"/>
          <w:b w:val="0"/>
          <w:sz w:val="22"/>
        </w:rPr>
        <w:t>冻结 EfficientNet-B0、直接角色头、矿物种类头、种类-角色映射、含钛及金属光泽校验器，并复用样本外训练的候选门。校验器完整的 q0 和 qφ 构成两端后验；18 维证据包括两路后验、分歧、熵及校验信息。仅训练 2,418 参数的预算-路由策略模块，推理时单图预算不依赖其他批次样本。</w:t>
      </w:r>
    </w:p>
    <w:p>
      <w:pPr>
        <w:keepNext/>
        <w:jc w:val="center"/>
      </w:pPr>
      <w:r>
        <w:drawing>
          <wp:inline xmlns:a="http://schemas.openxmlformats.org/drawingml/2006/main" xmlns:pic="http://schemas.openxmlformats.org/drawingml/2006/picture">
            <wp:extent cx="5760000" cy="4937143"/>
            <wp:docPr id="63" name="Picture 63"/>
            <wp:cNvGraphicFramePr>
              <a:graphicFrameLocks noChangeAspect="1"/>
            </wp:cNvGraphicFramePr>
            <a:graphic>
              <a:graphicData uri="http://schemas.openxmlformats.org/drawingml/2006/picture">
                <pic:pic>
                  <pic:nvPicPr>
                    <pic:cNvPr id="0" name="fig_abmp_rsg_architecture.png"/>
                    <pic:cNvPicPr/>
                  </pic:nvPicPr>
                  <pic:blipFill>
                    <a:blip r:embed="rId86"/>
                    <a:stretch>
                      <a:fillRect/>
                    </a:stretch>
                  </pic:blipFill>
                  <pic:spPr>
                    <a:xfrm>
                      <a:off x="0" y="0"/>
                      <a:ext cx="5760000" cy="4937143"/>
                    </a:xfrm>
                    <a:prstGeom prst="rect"/>
                  </pic:spPr>
                </pic:pic>
              </a:graphicData>
            </a:graphic>
          </wp:inline>
        </w:drawing>
      </w:r>
    </w:p>
    <w:p>
      <w:pPr>
        <w:pStyle w:val="af7"/>
        <w:jc w:val="center"/>
      </w:pPr>
      <w:r>
        <w:rPr>
          <w:rFonts w:ascii="宋体" w:hAnsi="宋体" w:eastAsia="宋体"/>
          <w:b w:val="0"/>
          <w:color w:val="000000"/>
          <w:sz w:val="20"/>
        </w:rPr>
        <w:t>图 M-1 ABMP-RSG-Net v2：冻结专家、可训练双头策略与解析投影</w:t>
      </w:r>
    </w:p>
    <w:tbl>
      <w:tblPr>
        <w:tblStyle w:val="aff1"/>
        <w:tblW w:type="auto" w:w="0"/>
        <w:tblLayout w:type="fixed"/>
        <w:tblLook w:firstColumn="1" w:firstRow="1" w:lastColumn="0" w:lastRow="0" w:noHBand="0" w:noVBand="1" w:val="04A0"/>
      </w:tblPr>
      <w:tblGrid>
        <w:gridCol w:w="1814"/>
        <w:gridCol w:w="5783"/>
        <w:gridCol w:w="1474"/>
      </w:tblGrid>
      <w:tr>
        <w:trPr>
          <w:tblHeader w:val="true"/>
          <w:cantSplit/>
        </w:trPr>
        <w:tc>
          <w:tcPr>
            <w:tcW w:type="dxa" w:w="1814"/>
            <w:vAlign w:val="center"/>
            <w:shd w:fill="E7EBEE"/>
          </w:tcPr>
          <w:p>
            <w:pPr>
              <w:keepNext/>
              <w:spacing w:after="0" w:line="240" w:lineRule="auto"/>
              <w:jc w:val="center"/>
            </w:pPr>
            <w:r/>
            <w:r>
              <w:rPr>
                <w:rFonts w:ascii="宋体" w:hAnsi="宋体" w:eastAsia="宋体"/>
                <w:b/>
                <w:sz w:val="18"/>
              </w:rPr>
              <w:t>组件</w:t>
            </w:r>
          </w:p>
        </w:tc>
        <w:tc>
          <w:tcPr>
            <w:tcW w:type="dxa" w:w="5783"/>
            <w:vAlign w:val="center"/>
            <w:shd w:fill="E7EBEE"/>
          </w:tcPr>
          <w:p>
            <w:pPr>
              <w:keepNext/>
              <w:spacing w:after="0" w:line="240" w:lineRule="auto"/>
              <w:jc w:val="center"/>
            </w:pPr>
            <w:r/>
            <w:r>
              <w:rPr>
                <w:rFonts w:ascii="宋体" w:hAnsi="宋体" w:eastAsia="宋体"/>
                <w:b/>
                <w:sz w:val="18"/>
              </w:rPr>
              <w:t>结构/作用</w:t>
            </w:r>
          </w:p>
        </w:tc>
        <w:tc>
          <w:tcPr>
            <w:tcW w:type="dxa" w:w="1474"/>
            <w:vAlign w:val="center"/>
            <w:shd w:fill="E7EBEE"/>
          </w:tcPr>
          <w:p>
            <w:pPr>
              <w:keepNext/>
              <w:spacing w:after="0" w:line="240" w:lineRule="auto"/>
              <w:jc w:val="center"/>
            </w:pPr>
            <w:r/>
            <w:r>
              <w:rPr>
                <w:rFonts w:ascii="宋体" w:hAnsi="宋体" w:eastAsia="宋体"/>
                <w:b/>
                <w:sz w:val="18"/>
              </w:rPr>
              <w:t>本轮是否更新</w:t>
            </w:r>
          </w:p>
        </w:tc>
      </w:tr>
      <w:tr>
        <w:trPr>
          <w:cantSplit/>
        </w:trPr>
        <w:tc>
          <w:tcPr>
            <w:tcW w:type="dxa" w:w="1814"/>
            <w:vAlign w:val="center"/>
          </w:tcPr>
          <w:p>
            <w:pPr>
              <w:spacing w:after="0" w:line="240" w:lineRule="auto"/>
              <w:jc w:val="center"/>
            </w:pPr>
            <w:r/>
            <w:r>
              <w:rPr>
                <w:rFonts w:ascii="宋体" w:hAnsi="宋体" w:eastAsia="宋体"/>
                <w:b w:val="0"/>
                <w:sz w:val="18"/>
              </w:rPr>
              <w:t>图像专家及校验器</w:t>
            </w:r>
          </w:p>
        </w:tc>
        <w:tc>
          <w:tcPr>
            <w:tcW w:type="dxa" w:w="5783"/>
            <w:vAlign w:val="center"/>
          </w:tcPr>
          <w:p>
            <w:pPr>
              <w:spacing w:after="0" w:line="240" w:lineRule="auto"/>
              <w:jc w:val="center"/>
            </w:pPr>
            <w:r/>
            <w:r>
              <w:rPr>
                <w:rFonts w:ascii="宋体" w:hAnsi="宋体" w:eastAsia="宋体"/>
                <w:b w:val="0"/>
                <w:sz w:val="18"/>
              </w:rPr>
              <w:t>EfficientNet-B0 + 双头 + 两类校验器</w:t>
            </w:r>
          </w:p>
        </w:tc>
        <w:tc>
          <w:tcPr>
            <w:tcW w:type="dxa" w:w="1474"/>
            <w:vAlign w:val="center"/>
          </w:tcPr>
          <w:p>
            <w:pPr>
              <w:spacing w:after="0" w:line="240" w:lineRule="auto"/>
              <w:jc w:val="center"/>
            </w:pPr>
            <w:r/>
            <w:r>
              <w:rPr>
                <w:rFonts w:ascii="宋体" w:hAnsi="宋体" w:eastAsia="宋体"/>
                <w:b w:val="0"/>
                <w:sz w:val="18"/>
              </w:rPr>
              <w:t>否</w:t>
            </w:r>
          </w:p>
        </w:tc>
      </w:tr>
      <w:tr>
        <w:trPr>
          <w:cantSplit/>
        </w:trPr>
        <w:tc>
          <w:tcPr>
            <w:tcW w:type="dxa" w:w="1814"/>
            <w:vAlign w:val="center"/>
          </w:tcPr>
          <w:p>
            <w:pPr>
              <w:spacing w:after="0" w:line="240" w:lineRule="auto"/>
              <w:jc w:val="center"/>
            </w:pPr>
            <w:r/>
            <w:r>
              <w:rPr>
                <w:rFonts w:ascii="宋体" w:hAnsi="宋体" w:eastAsia="宋体"/>
                <w:b w:val="0"/>
                <w:sz w:val="18"/>
              </w:rPr>
              <w:t>候选门</w:t>
            </w:r>
          </w:p>
        </w:tc>
        <w:tc>
          <w:tcPr>
            <w:tcW w:type="dxa" w:w="5783"/>
            <w:vAlign w:val="center"/>
          </w:tcPr>
          <w:p>
            <w:pPr>
              <w:spacing w:after="0" w:line="240" w:lineRule="auto"/>
              <w:jc w:val="center"/>
            </w:pPr>
            <w:r/>
            <w:r>
              <w:rPr>
                <w:rFonts w:ascii="宋体" w:hAnsi="宋体" w:eastAsia="宋体"/>
                <w:b w:val="0"/>
                <w:sz w:val="18"/>
              </w:rPr>
              <w:t>组隔离、样本外监督训练的门控</w:t>
            </w:r>
          </w:p>
        </w:tc>
        <w:tc>
          <w:tcPr>
            <w:tcW w:type="dxa" w:w="1474"/>
            <w:vAlign w:val="center"/>
          </w:tcPr>
          <w:p>
            <w:pPr>
              <w:spacing w:after="0" w:line="240" w:lineRule="auto"/>
              <w:jc w:val="center"/>
            </w:pPr>
            <w:r/>
            <w:r>
              <w:rPr>
                <w:rFonts w:ascii="宋体" w:hAnsi="宋体" w:eastAsia="宋体"/>
                <w:b w:val="0"/>
                <w:sz w:val="18"/>
              </w:rPr>
              <w:t>否</w:t>
            </w:r>
          </w:p>
        </w:tc>
      </w:tr>
      <w:tr>
        <w:trPr>
          <w:cantSplit/>
        </w:trPr>
        <w:tc>
          <w:tcPr>
            <w:tcW w:type="dxa" w:w="1814"/>
            <w:vAlign w:val="center"/>
          </w:tcPr>
          <w:p>
            <w:pPr>
              <w:spacing w:after="0" w:line="240" w:lineRule="auto"/>
              <w:jc w:val="center"/>
            </w:pPr>
            <w:r/>
            <w:r>
              <w:rPr>
                <w:rFonts w:ascii="宋体" w:hAnsi="宋体" w:eastAsia="宋体"/>
                <w:b w:val="0"/>
                <w:sz w:val="18"/>
              </w:rPr>
              <w:t>共享策略主干</w:t>
            </w:r>
          </w:p>
        </w:tc>
        <w:tc>
          <w:tcPr>
            <w:tcW w:type="dxa" w:w="5783"/>
            <w:vAlign w:val="center"/>
          </w:tcPr>
          <w:p>
            <w:pPr>
              <w:spacing w:after="0" w:line="240" w:lineRule="auto"/>
              <w:jc w:val="center"/>
            </w:pPr>
            <w:r/>
            <w:r>
              <w:rPr>
                <w:rFonts w:ascii="宋体" w:hAnsi="宋体" w:eastAsia="宋体"/>
                <w:b w:val="0"/>
                <w:sz w:val="18"/>
              </w:rPr>
              <w:t>18 → 64 → LN → SiLU → Dropout(0.10) → 16 → SiLU</w:t>
            </w:r>
          </w:p>
        </w:tc>
        <w:tc>
          <w:tcPr>
            <w:tcW w:type="dxa" w:w="1474"/>
            <w:vAlign w:val="center"/>
          </w:tcPr>
          <w:p>
            <w:pPr>
              <w:spacing w:after="0" w:line="240" w:lineRule="auto"/>
              <w:jc w:val="center"/>
            </w:pPr>
            <w:r/>
            <w:r>
              <w:rPr>
                <w:rFonts w:ascii="宋体" w:hAnsi="宋体" w:eastAsia="宋体"/>
                <w:b w:val="0"/>
                <w:sz w:val="18"/>
              </w:rPr>
              <w:t>是</w:t>
            </w:r>
          </w:p>
        </w:tc>
      </w:tr>
      <w:tr>
        <w:trPr>
          <w:cantSplit/>
        </w:trPr>
        <w:tc>
          <w:tcPr>
            <w:tcW w:type="dxa" w:w="1814"/>
            <w:vAlign w:val="center"/>
          </w:tcPr>
          <w:p>
            <w:pPr>
              <w:spacing w:after="0" w:line="240" w:lineRule="auto"/>
              <w:jc w:val="center"/>
            </w:pPr>
            <w:r/>
            <w:r>
              <w:rPr>
                <w:rFonts w:ascii="宋体" w:hAnsi="宋体" w:eastAsia="宋体"/>
                <w:b w:val="0"/>
                <w:sz w:val="18"/>
              </w:rPr>
              <w:t>路由/预算双头</w:t>
            </w:r>
          </w:p>
        </w:tc>
        <w:tc>
          <w:tcPr>
            <w:tcW w:type="dxa" w:w="5783"/>
            <w:vAlign w:val="center"/>
          </w:tcPr>
          <w:p>
            <w:pPr>
              <w:spacing w:after="0" w:line="240" w:lineRule="auto"/>
              <w:jc w:val="center"/>
            </w:pPr>
            <w:r/>
            <w:r>
              <w:rPr>
                <w:rFonts w:ascii="宋体" w:hAnsi="宋体" w:eastAsia="宋体"/>
                <w:b w:val="0"/>
                <w:sz w:val="18"/>
              </w:rPr>
              <w:t>两个独立的 16 → 1 线性层 + Sigmoid</w:t>
            </w:r>
          </w:p>
        </w:tc>
        <w:tc>
          <w:tcPr>
            <w:tcW w:type="dxa" w:w="1474"/>
            <w:vAlign w:val="center"/>
          </w:tcPr>
          <w:p>
            <w:pPr>
              <w:spacing w:after="0" w:line="240" w:lineRule="auto"/>
              <w:jc w:val="center"/>
            </w:pPr>
            <w:r/>
            <w:r>
              <w:rPr>
                <w:rFonts w:ascii="宋体" w:hAnsi="宋体" w:eastAsia="宋体"/>
                <w:b w:val="0"/>
                <w:sz w:val="18"/>
              </w:rPr>
              <w:t>是</w:t>
            </w:r>
          </w:p>
        </w:tc>
      </w:tr>
      <w:tr>
        <w:trPr>
          <w:cantSplit/>
        </w:trPr>
        <w:tc>
          <w:tcPr>
            <w:tcW w:type="dxa" w:w="1814"/>
            <w:vAlign w:val="center"/>
          </w:tcPr>
          <w:p>
            <w:pPr>
              <w:spacing w:after="0" w:line="240" w:lineRule="auto"/>
              <w:jc w:val="center"/>
            </w:pPr>
            <w:r/>
            <w:r>
              <w:rPr>
                <w:rFonts w:ascii="宋体" w:hAnsi="宋体" w:eastAsia="宋体"/>
                <w:b w:val="0"/>
                <w:sz w:val="18"/>
              </w:rPr>
              <w:t>后验/间隔投影</w:t>
            </w:r>
          </w:p>
        </w:tc>
        <w:tc>
          <w:tcPr>
            <w:tcW w:type="dxa" w:w="5783"/>
            <w:vAlign w:val="center"/>
          </w:tcPr>
          <w:p>
            <w:pPr>
              <w:spacing w:after="0" w:line="240" w:lineRule="auto"/>
              <w:jc w:val="center"/>
            </w:pPr>
            <w:r/>
            <w:r>
              <w:rPr>
                <w:rFonts w:ascii="宋体" w:hAnsi="宋体" w:eastAsia="宋体"/>
                <w:b w:val="0"/>
                <w:sz w:val="18"/>
              </w:rPr>
              <w:t>解析上限取最小；无可训练参数</w:t>
            </w:r>
          </w:p>
        </w:tc>
        <w:tc>
          <w:tcPr>
            <w:tcW w:type="dxa" w:w="1474"/>
            <w:vAlign w:val="center"/>
          </w:tcPr>
          <w:p>
            <w:pPr>
              <w:spacing w:after="0" w:line="240" w:lineRule="auto"/>
              <w:jc w:val="center"/>
            </w:pPr>
            <w:r/>
            <w:r>
              <w:rPr>
                <w:rFonts w:ascii="宋体" w:hAnsi="宋体" w:eastAsia="宋体"/>
                <w:b w:val="0"/>
                <w:sz w:val="18"/>
              </w:rPr>
              <w:t>否</w:t>
            </w:r>
          </w:p>
        </w:tc>
      </w:tr>
    </w:tbl>
    <w:p/>
    <w:p>
      <w:pPr>
        <w:pStyle w:val="21"/>
        <w:keepNext/>
        <w:spacing w:before="120" w:after="80"/>
      </w:pPr>
      <w:r>
        <w:rPr>
          <w:rFonts w:ascii="黑体" w:hAnsi="黑体" w:eastAsia="黑体"/>
          <w:b/>
          <w:color w:val="000000"/>
          <w:sz w:val="24"/>
        </w:rPr>
        <w:t>M.2 问题定义、可证伪假设与训练目标</w:t>
      </w:r>
    </w:p>
    <w:p>
      <w:pPr>
        <w:spacing w:after="80" w:line="312" w:lineRule="auto"/>
        <w:ind w:firstLine="420"/>
      </w:pPr>
      <w:r>
        <w:rPr>
          <w:rFonts w:ascii="宋体" w:hAnsi="宋体" w:eastAsia="宋体"/>
          <w:b w:val="0"/>
          <w:sz w:val="22"/>
        </w:rPr>
        <w:t>固定风险预算不激活时，约束结构可能只是无效附加层；高置信度目标锚点也可能为假阳性。研究问题因此不是增加网络层数，而是在候选专家具有互补性的前提下，以可学习的逐图预算调节采用幅度，再用解析投影限制目标后验下降并保持指定锚点的类别间隔。待检验假设是：预算分配必须优于同预算对照，间隔层必须有独立作用，风险改善不能以超出协议的目标召回下降为代价。</w:t>
      </w:r>
    </w:p>
    <w:p>
      <w:pPr>
        <w:keepNext/>
        <w:keepLines/>
        <w:jc w:val="center"/>
      </w:pPr>
      <w:r>
        <w:drawing>
          <wp:inline xmlns:a="http://schemas.openxmlformats.org/drawingml/2006/main" xmlns:pic="http://schemas.openxmlformats.org/drawingml/2006/picture">
            <wp:extent cx="5688000" cy="486000"/>
            <wp:docPr id="64" name="Picture 64"/>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688000" cy="486000"/>
                    </a:xfrm>
                    <a:prstGeom prst="rect"/>
                  </pic:spPr>
                </pic:pic>
              </a:graphicData>
            </a:graphic>
          </wp:inline>
        </w:drawing>
      </w:r>
    </w:p>
    <w:p>
      <w:pPr>
        <w:spacing w:after="80"/>
        <w:jc w:val="right"/>
      </w:pPr>
      <w:r>
        <w:rPr>
          <w:rFonts w:ascii="Times New Roman" w:hAnsi="Times New Roman" w:eastAsia="Times New Roman"/>
          <w:b w:val="0"/>
          <w:sz w:val="20"/>
        </w:rPr>
        <w:t>(M-1)</w:t>
      </w:r>
    </w:p>
    <w:p>
      <w:pPr>
        <w:spacing w:after="80" w:line="312" w:lineRule="auto"/>
        <w:ind w:firstLine="420"/>
      </w:pPr>
      <w:r>
        <w:rPr>
          <w:rFonts w:ascii="宋体" w:hAnsi="宋体" w:eastAsia="宋体"/>
          <w:b w:val="0"/>
          <w:sz w:val="22"/>
        </w:rPr>
        <w:t>其中 z_i 是 18 维证据，λ 为开发集固定偏移，εmax 为允许的最大后验预算。双头共享表示但不共享输出层；预算范围来自 Sigmoid 与上限缩放，而不是按测试批次重新归一化。</w:t>
      </w:r>
    </w:p>
    <w:p>
      <w:pPr>
        <w:keepNext/>
        <w:keepLines/>
        <w:jc w:val="center"/>
      </w:pPr>
      <w:r>
        <w:drawing>
          <wp:inline xmlns:a="http://schemas.openxmlformats.org/drawingml/2006/main" xmlns:pic="http://schemas.openxmlformats.org/drawingml/2006/picture">
            <wp:extent cx="5688000" cy="473735"/>
            <wp:docPr id="65" name="Picture 65"/>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688000" cy="473735"/>
                    </a:xfrm>
                    <a:prstGeom prst="rect"/>
                  </pic:spPr>
                </pic:pic>
              </a:graphicData>
            </a:graphic>
          </wp:inline>
        </w:drawing>
      </w:r>
    </w:p>
    <w:p>
      <w:pPr>
        <w:spacing w:after="80"/>
        <w:jc w:val="right"/>
      </w:pPr>
      <w:r>
        <w:rPr>
          <w:rFonts w:ascii="Times New Roman" w:hAnsi="Times New Roman" w:eastAsia="Times New Roman"/>
          <w:b w:val="0"/>
          <w:sz w:val="20"/>
        </w:rPr>
        <w:t>(M-2)</w:t>
      </w:r>
    </w:p>
    <w:p>
      <w:pPr>
        <w:keepNext/>
        <w:keepLines/>
        <w:jc w:val="center"/>
      </w:pPr>
      <w:r>
        <w:drawing>
          <wp:inline xmlns:a="http://schemas.openxmlformats.org/drawingml/2006/main" xmlns:pic="http://schemas.openxmlformats.org/drawingml/2006/picture">
            <wp:extent cx="5688000" cy="615675"/>
            <wp:docPr id="66" name="Picture 66"/>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688000" cy="615675"/>
                    </a:xfrm>
                    <a:prstGeom prst="rect"/>
                  </pic:spPr>
                </pic:pic>
              </a:graphicData>
            </a:graphic>
          </wp:inline>
        </w:drawing>
      </w:r>
    </w:p>
    <w:p>
      <w:pPr>
        <w:spacing w:after="80"/>
        <w:jc w:val="right"/>
      </w:pPr>
      <w:r>
        <w:rPr>
          <w:rFonts w:ascii="Times New Roman" w:hAnsi="Times New Roman" w:eastAsia="Times New Roman"/>
          <w:b w:val="0"/>
          <w:sz w:val="20"/>
        </w:rPr>
        <w:t>(M-3)</w:t>
      </w:r>
    </w:p>
    <w:p>
      <w:pPr>
        <w:spacing w:after="80" w:line="312" w:lineRule="auto"/>
        <w:ind w:firstLine="420"/>
      </w:pPr>
      <w:r>
        <w:rPr>
          <w:rFonts w:ascii="宋体" w:hAnsi="宋体" w:eastAsia="宋体"/>
          <w:b w:val="0"/>
          <w:sz w:val="22"/>
        </w:rPr>
        <w:t>u_i 由候选后验与回退后验的真实类对数概率差构造；v_i 同时考虑收益和目标后验下降。预算监督仅在 d_i&gt;0 的拟合图像上启用。停止轮次按独立 projector_stop 的最终 NLL 决定。BCE 采用 logits 实现；这些软目标是当前可检验设计，不是天然最优预算的真值。</w:t>
      </w:r>
    </w:p>
    <w:p>
      <w:pPr>
        <w:pStyle w:val="21"/>
        <w:keepNext/>
        <w:spacing w:before="120" w:after="80"/>
      </w:pPr>
      <w:r>
        <w:rPr>
          <w:rFonts w:ascii="黑体" w:hAnsi="黑体" w:eastAsia="黑体"/>
          <w:b/>
          <w:color w:val="000000"/>
          <w:sz w:val="24"/>
        </w:rPr>
        <w:t>M.3 解析投影、可行域与目标保持</w:t>
      </w:r>
    </w:p>
    <w:p>
      <w:pPr>
        <w:keepNext/>
        <w:keepLines/>
        <w:jc w:val="center"/>
      </w:pPr>
      <w:r>
        <w:drawing>
          <wp:inline xmlns:a="http://schemas.openxmlformats.org/drawingml/2006/main" xmlns:pic="http://schemas.openxmlformats.org/drawingml/2006/picture">
            <wp:extent cx="5688000" cy="459824"/>
            <wp:docPr id="67" name="Picture 67"/>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688000" cy="459824"/>
                    </a:xfrm>
                    <a:prstGeom prst="rect"/>
                  </pic:spPr>
                </pic:pic>
              </a:graphicData>
            </a:graphic>
          </wp:inline>
        </w:drawing>
      </w:r>
    </w:p>
    <w:p>
      <w:pPr>
        <w:spacing w:after="80"/>
        <w:jc w:val="right"/>
      </w:pPr>
      <w:r>
        <w:rPr>
          <w:rFonts w:ascii="Times New Roman" w:hAnsi="Times New Roman" w:eastAsia="Times New Roman"/>
          <w:b w:val="0"/>
          <w:sz w:val="20"/>
        </w:rPr>
        <w:t>(M-4)</w:t>
      </w:r>
    </w:p>
    <w:p>
      <w:pPr>
        <w:spacing w:after="80" w:line="312" w:lineRule="auto"/>
        <w:ind w:firstLine="420"/>
      </w:pPr>
      <w:r>
        <w:rPr>
          <w:rFonts w:ascii="宋体" w:hAnsi="宋体" w:eastAsia="宋体"/>
          <w:b w:val="0"/>
          <w:sz w:val="22"/>
        </w:rPr>
        <w:t>当 d_i=0 时令后验上限为 1。若候选降低目标概率，最终下降恰为 ρ̂_i d_i；ρ̂_i 不超过 ε_i/d_i，因此逐图后验下降不超过预算。该软概率界不等价于总体目标召回率保证。</w:t>
      </w:r>
    </w:p>
    <w:p>
      <w:pPr>
        <w:keepNext/>
        <w:keepLines/>
        <w:jc w:val="center"/>
      </w:pPr>
      <w:r>
        <w:drawing>
          <wp:inline xmlns:a="http://schemas.openxmlformats.org/drawingml/2006/main" xmlns:pic="http://schemas.openxmlformats.org/drawingml/2006/picture">
            <wp:extent cx="5688000" cy="510523"/>
            <wp:docPr id="68" name="Picture 68"/>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688000" cy="510523"/>
                    </a:xfrm>
                    <a:prstGeom prst="rect"/>
                  </pic:spPr>
                </pic:pic>
              </a:graphicData>
            </a:graphic>
          </wp:inline>
        </w:drawing>
      </w:r>
    </w:p>
    <w:p>
      <w:pPr>
        <w:spacing w:after="80"/>
        <w:jc w:val="right"/>
      </w:pPr>
      <w:r>
        <w:rPr>
          <w:rFonts w:ascii="Times New Roman" w:hAnsi="Times New Roman" w:eastAsia="Times New Roman"/>
          <w:b w:val="0"/>
          <w:sz w:val="20"/>
        </w:rPr>
        <w:t>(M-5)</w:t>
      </w:r>
    </w:p>
    <w:p>
      <w:pPr>
        <w:spacing w:after="80" w:line="312" w:lineRule="auto"/>
        <w:ind w:firstLine="420"/>
      </w:pPr>
      <w:r>
        <w:rPr>
          <w:rFonts w:ascii="宋体" w:hAnsi="宋体" w:eastAsia="宋体"/>
          <w:b w:val="0"/>
          <w:sz w:val="22"/>
        </w:rPr>
        <w:t>锚点 A_i=1 要求 q0 的 argmax 为目标、q0,T≥τp 且目标与最大非目标的初始间隔至少为 τm。式 M-5 仅作用于锚点；不存在正 Δ 的类别时取 1，非锚点也取 1，且 0&lt;δ≤τm。每个非目标类别的融合间隔为初始间隔减去 ρ̂_i Δ_i,k，故上限可逐类解析求解。</w:t>
      </w:r>
    </w:p>
    <w:p>
      <w:pPr>
        <w:keepNext/>
        <w:keepLines/>
        <w:jc w:val="center"/>
      </w:pPr>
      <w:r>
        <w:drawing>
          <wp:inline xmlns:a="http://schemas.openxmlformats.org/drawingml/2006/main" xmlns:pic="http://schemas.openxmlformats.org/drawingml/2006/picture">
            <wp:extent cx="5688000" cy="586804"/>
            <wp:docPr id="69" name="Picture 69"/>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688000" cy="586804"/>
                    </a:xfrm>
                    <a:prstGeom prst="rect"/>
                  </pic:spPr>
                </pic:pic>
              </a:graphicData>
            </a:graphic>
          </wp:inline>
        </w:drawing>
      </w:r>
    </w:p>
    <w:p>
      <w:pPr>
        <w:spacing w:after="80"/>
        <w:jc w:val="right"/>
      </w:pPr>
      <w:r>
        <w:rPr>
          <w:rFonts w:ascii="Times New Roman" w:hAnsi="Times New Roman" w:eastAsia="Times New Roman"/>
          <w:b w:val="0"/>
          <w:sz w:val="20"/>
        </w:rPr>
        <w:t>(M-6)</w:t>
      </w:r>
    </w:p>
    <w:p>
      <w:pPr>
        <w:keepNext/>
        <w:keepLines/>
        <w:jc w:val="center"/>
      </w:pPr>
      <w:r>
        <w:drawing>
          <wp:inline xmlns:a="http://schemas.openxmlformats.org/drawingml/2006/main" xmlns:pic="http://schemas.openxmlformats.org/drawingml/2006/picture">
            <wp:extent cx="5688000" cy="628540"/>
            <wp:docPr id="70" name="Picture 70"/>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5688000" cy="628540"/>
                    </a:xfrm>
                    <a:prstGeom prst="rect"/>
                  </pic:spPr>
                </pic:pic>
              </a:graphicData>
            </a:graphic>
          </wp:inline>
        </w:drawing>
      </w:r>
    </w:p>
    <w:p>
      <w:pPr>
        <w:spacing w:after="80"/>
        <w:jc w:val="right"/>
      </w:pPr>
      <w:r>
        <w:rPr>
          <w:rFonts w:ascii="Times New Roman" w:hAnsi="Times New Roman" w:eastAsia="Times New Roman"/>
          <w:b w:val="0"/>
          <w:sz w:val="20"/>
        </w:rPr>
        <w:t>(M-7)</w:t>
      </w:r>
    </w:p>
    <w:p>
      <w:pPr>
        <w:spacing w:after="80" w:line="312" w:lineRule="auto"/>
        <w:ind w:firstLine="420"/>
      </w:pPr>
      <w:r>
        <w:rPr>
          <w:rFonts w:ascii="宋体" w:hAnsi="宋体" w:eastAsia="宋体"/>
          <w:b w:val="0"/>
          <w:sz w:val="22"/>
        </w:rPr>
        <w:t>命题 M.1（可行投影）：上述线性不等式与 0≤ρ≤1 的交集为闭区间 [0,min(cpost,cmargin)]，必含回退点 0。因此式 M-6 是原始路由在该区间上的唯一欧氏投影，也是不超过原始路由的最大可行采用幅度。命题 M.2（锚点保持）：δ&gt;0 保证锚点目标 argmax 不变。证明只依赖后验与区间约束，不依赖骨干架构；它同样保持假阳性锚点，必须披露这一代价。凸组合还保证概率单纯形有效及 NLL 的凸性上界，但不保证超过最优端点专家。</w:t>
      </w:r>
    </w:p>
    <w:p>
      <w:pPr>
        <w:pStyle w:val="21"/>
        <w:keepNext/>
        <w:spacing w:before="120" w:after="80"/>
      </w:pPr>
      <w:r>
        <w:rPr>
          <w:rFonts w:ascii="黑体" w:hAnsi="黑体" w:eastAsia="黑体"/>
          <w:b/>
          <w:color w:val="000000"/>
          <w:sz w:val="24"/>
        </w:rPr>
        <w:t>M.4 非冗余条件与专家互补性上界</w:t>
      </w:r>
    </w:p>
    <w:p>
      <w:pPr>
        <w:keepNext/>
        <w:keepLines/>
        <w:jc w:val="center"/>
      </w:pPr>
      <w:r>
        <w:drawing>
          <wp:inline xmlns:a="http://schemas.openxmlformats.org/drawingml/2006/main" xmlns:pic="http://schemas.openxmlformats.org/drawingml/2006/picture">
            <wp:extent cx="5688000" cy="482815"/>
            <wp:docPr id="71" name="Picture 71"/>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688000" cy="482815"/>
                    </a:xfrm>
                    <a:prstGeom prst="rect"/>
                  </pic:spPr>
                </pic:pic>
              </a:graphicData>
            </a:graphic>
          </wp:inline>
        </w:drawing>
      </w:r>
    </w:p>
    <w:p>
      <w:pPr>
        <w:spacing w:after="80"/>
        <w:jc w:val="right"/>
      </w:pPr>
      <w:r>
        <w:rPr>
          <w:rFonts w:ascii="Times New Roman" w:hAnsi="Times New Roman" w:eastAsia="Times New Roman"/>
          <w:b w:val="0"/>
          <w:sz w:val="20"/>
        </w:rPr>
        <w:t>(M-8)</w:t>
      </w:r>
    </w:p>
    <w:p>
      <w:pPr>
        <w:spacing w:after="80" w:line="312" w:lineRule="auto"/>
        <w:ind w:firstLine="420"/>
      </w:pPr>
      <w:r>
        <w:rPr>
          <w:rFonts w:ascii="宋体" w:hAnsi="宋体" w:eastAsia="宋体"/>
          <w:b w:val="0"/>
          <w:sz w:val="22"/>
        </w:rPr>
        <w:t>推论 M.3（充分冗余条件）：非目标最大概率不超过 1-qT，因而式 M-8 成立。如果右侧阈值条件成立，后验约束已经保证所有目标锚点间隔严格超过 δ，间隔层不再改变最终路由。初轮 τp≥0.60、εmax≤0.08、δ≤0.01 均落入该区间，因此不能以该轮锚点保持率证明第二层有价值。违反此充分条件只是允许非冗余，不保证真实样本中会激活。</w:t>
      </w:r>
    </w:p>
    <w:p>
      <w:pPr>
        <w:keepNext/>
        <w:keepLines/>
        <w:jc w:val="center"/>
      </w:pPr>
      <w:r>
        <w:drawing>
          <wp:inline xmlns:a="http://schemas.openxmlformats.org/drawingml/2006/main" xmlns:pic="http://schemas.openxmlformats.org/drawingml/2006/picture">
            <wp:extent cx="5688000" cy="572563"/>
            <wp:docPr id="72" name="Picture 72"/>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5688000" cy="572563"/>
                    </a:xfrm>
                    <a:prstGeom prst="rect"/>
                  </pic:spPr>
                </pic:pic>
              </a:graphicData>
            </a:graphic>
          </wp:inline>
        </w:drawing>
      </w:r>
    </w:p>
    <w:p>
      <w:pPr>
        <w:spacing w:after="80"/>
        <w:jc w:val="right"/>
      </w:pPr>
      <w:r>
        <w:rPr>
          <w:rFonts w:ascii="Times New Roman" w:hAnsi="Times New Roman" w:eastAsia="Times New Roman"/>
          <w:b w:val="0"/>
          <w:sz w:val="20"/>
        </w:rPr>
        <w:t>(M-9)</w:t>
      </w:r>
    </w:p>
    <w:p>
      <w:pPr>
        <w:keepNext/>
        <w:keepLines/>
        <w:jc w:val="center"/>
      </w:pPr>
      <w:r>
        <w:drawing>
          <wp:inline xmlns:a="http://schemas.openxmlformats.org/drawingml/2006/main" xmlns:pic="http://schemas.openxmlformats.org/drawingml/2006/picture">
            <wp:extent cx="5688000" cy="662414"/>
            <wp:docPr id="73" name="Picture 73"/>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688000" cy="662414"/>
                    </a:xfrm>
                    <a:prstGeom prst="rect"/>
                  </pic:spPr>
                </pic:pic>
              </a:graphicData>
            </a:graphic>
          </wp:inline>
        </w:drawing>
      </w:r>
    </w:p>
    <w:p>
      <w:pPr>
        <w:spacing w:after="80"/>
        <w:jc w:val="right"/>
      </w:pPr>
      <w:r>
        <w:rPr>
          <w:rFonts w:ascii="Times New Roman" w:hAnsi="Times New Roman" w:eastAsia="Times New Roman"/>
          <w:b w:val="0"/>
          <w:sz w:val="20"/>
        </w:rPr>
        <w:t>(M-10)</w:t>
      </w:r>
    </w:p>
    <w:p>
      <w:pPr>
        <w:spacing w:after="80" w:line="312" w:lineRule="auto"/>
        <w:ind w:firstLine="420"/>
      </w:pPr>
      <w:r>
        <w:rPr>
          <w:rFonts w:ascii="宋体" w:hAnsi="宋体" w:eastAsia="宋体"/>
          <w:b w:val="0"/>
          <w:sz w:val="22"/>
        </w:rPr>
        <w:t>命题 M.4（固定双专家分类容量）：假设两端后验都具有唯一最大类别。两端最大类别相同的样本，对任意凸路由仍保持该类别，因为其逐类正间隔的凸组合仍为正。分类变化因此只能来自 D_i=1 的样本，得到式 M-9；限制到真实目标子集得到式 M-10。它是给定冻结专家与评价样本的容量上界，不是泛化误差定理。它也不限制概率 NLL 改善，因为同一预测类别内部仍可改变真实类概率。</w:t>
      </w:r>
    </w:p>
    <w:p>
      <w:pPr>
        <w:pStyle w:val="21"/>
        <w:keepNext/>
        <w:spacing w:before="120" w:after="80"/>
      </w:pPr>
      <w:r>
        <w:rPr>
          <w:rFonts w:ascii="黑体" w:hAnsi="黑体" w:eastAsia="黑体"/>
          <w:b/>
          <w:color w:val="000000"/>
          <w:sz w:val="24"/>
        </w:rPr>
        <w:t>M.5 两轮开发实验与确定性审计</w:t>
      </w:r>
    </w:p>
    <w:p>
      <w:pPr>
        <w:spacing w:after="80" w:line="312" w:lineRule="auto"/>
        <w:ind w:firstLine="420"/>
      </w:pPr>
      <w:r>
        <w:rPr>
          <w:rFonts w:ascii="宋体" w:hAnsi="宋体" w:eastAsia="宋体"/>
          <w:b w:val="0"/>
          <w:sz w:val="22"/>
        </w:rPr>
        <w:t>每轮训练 9 个预算/锚点组合，每个检查点评估 3 个偏移，共 27 个候选。只复用 Fold 0 的冻结专家与候选门；策略拟合、停止和开发评价分别为 340、340、1,696 张。初轮仅 14 张图片触发后验上限，间隔独立激活为 0；其旧锁已废止，不能启动确证。第二轮降低锚点阈值以离开充分冗余区域，但 27 个候选仍全部未通过独立间隔作用判据。</w:t>
      </w:r>
    </w:p>
    <w:tbl>
      <w:tblPr>
        <w:tblStyle w:val="aff1"/>
        <w:tblW w:type="auto" w:w="0"/>
        <w:tblLayout w:type="fixed"/>
        <w:tblLook w:firstColumn="1" w:firstRow="1" w:lastColumn="0" w:lastRow="0" w:noHBand="0" w:noVBand="1" w:val="04A0"/>
      </w:tblPr>
      <w:tblGrid>
        <w:gridCol w:w="2268"/>
        <w:gridCol w:w="1134"/>
        <w:gridCol w:w="1417"/>
        <w:gridCol w:w="1417"/>
        <w:gridCol w:w="1417"/>
        <w:gridCol w:w="1417"/>
      </w:tblGrid>
      <w:tr>
        <w:trPr>
          <w:tblHeader w:val="true"/>
          <w:cantSplit/>
        </w:trPr>
        <w:tc>
          <w:tcPr>
            <w:tcW w:type="dxa" w:w="2268"/>
            <w:vAlign w:val="center"/>
            <w:shd w:fill="E7EBEE"/>
          </w:tcPr>
          <w:p>
            <w:pPr>
              <w:keepNext/>
              <w:spacing w:after="0" w:line="240" w:lineRule="auto"/>
              <w:jc w:val="center"/>
            </w:pPr>
            <w:r/>
            <w:r>
              <w:rPr>
                <w:rFonts w:ascii="宋体" w:hAnsi="宋体" w:eastAsia="宋体"/>
                <w:b/>
                <w:sz w:val="17"/>
              </w:rPr>
              <w:t>方法</w:t>
            </w:r>
          </w:p>
        </w:tc>
        <w:tc>
          <w:tcPr>
            <w:tcW w:type="dxa" w:w="1134"/>
            <w:vAlign w:val="center"/>
            <w:shd w:fill="E7EBEE"/>
          </w:tcPr>
          <w:p>
            <w:pPr>
              <w:keepNext/>
              <w:spacing w:after="0" w:line="240" w:lineRule="auto"/>
              <w:jc w:val="center"/>
            </w:pPr>
            <w:r/>
            <w:r>
              <w:rPr>
                <w:rFonts w:ascii="宋体" w:hAnsi="宋体" w:eastAsia="宋体"/>
                <w:b/>
                <w:sz w:val="17"/>
              </w:rPr>
              <w:t>NLL</w:t>
            </w:r>
          </w:p>
        </w:tc>
        <w:tc>
          <w:tcPr>
            <w:tcW w:type="dxa" w:w="1417"/>
            <w:vAlign w:val="center"/>
            <w:shd w:fill="E7EBEE"/>
          </w:tcPr>
          <w:p>
            <w:pPr>
              <w:keepNext/>
              <w:spacing w:after="0" w:line="240" w:lineRule="auto"/>
              <w:jc w:val="center"/>
            </w:pPr>
            <w:r/>
            <w:r>
              <w:rPr>
                <w:rFonts w:ascii="宋体" w:hAnsi="宋体" w:eastAsia="宋体"/>
                <w:b/>
                <w:sz w:val="17"/>
              </w:rPr>
              <w:t>Macro F1</w:t>
            </w:r>
          </w:p>
        </w:tc>
        <w:tc>
          <w:tcPr>
            <w:tcW w:type="dxa" w:w="1417"/>
            <w:vAlign w:val="center"/>
            <w:shd w:fill="E7EBEE"/>
          </w:tcPr>
          <w:p>
            <w:pPr>
              <w:keepNext/>
              <w:spacing w:after="0" w:line="240" w:lineRule="auto"/>
              <w:jc w:val="center"/>
            </w:pPr>
            <w:r/>
            <w:r>
              <w:rPr>
                <w:rFonts w:ascii="宋体" w:hAnsi="宋体" w:eastAsia="宋体"/>
                <w:b/>
                <w:sz w:val="17"/>
              </w:rPr>
              <w:t>目标召回</w:t>
            </w:r>
          </w:p>
        </w:tc>
        <w:tc>
          <w:tcPr>
            <w:tcW w:type="dxa" w:w="1417"/>
            <w:vAlign w:val="center"/>
            <w:shd w:fill="E7EBEE"/>
          </w:tcPr>
          <w:p>
            <w:pPr>
              <w:keepNext/>
              <w:spacing w:after="0" w:line="240" w:lineRule="auto"/>
              <w:jc w:val="center"/>
            </w:pPr>
            <w:r/>
            <w:r>
              <w:rPr>
                <w:rFonts w:ascii="宋体" w:hAnsi="宋体" w:eastAsia="宋体"/>
                <w:b/>
                <w:sz w:val="17"/>
              </w:rPr>
              <w:t>含钛误入</w:t>
            </w:r>
          </w:p>
        </w:tc>
        <w:tc>
          <w:tcPr>
            <w:tcW w:type="dxa" w:w="1417"/>
            <w:vAlign w:val="center"/>
            <w:shd w:fill="E7EBEE"/>
          </w:tcPr>
          <w:p>
            <w:pPr>
              <w:keepNext/>
              <w:spacing w:after="0" w:line="240" w:lineRule="auto"/>
              <w:jc w:val="center"/>
            </w:pPr>
            <w:r/>
            <w:r>
              <w:rPr>
                <w:rFonts w:ascii="宋体" w:hAnsi="宋体" w:eastAsia="宋体"/>
                <w:b/>
                <w:sz w:val="17"/>
              </w:rPr>
              <w:t>金属误入</w:t>
            </w:r>
          </w:p>
        </w:tc>
      </w:tr>
      <w:tr>
        <w:trPr>
          <w:cantSplit/>
        </w:trPr>
        <w:tc>
          <w:tcPr>
            <w:tcW w:type="dxa" w:w="2268"/>
            <w:vAlign w:val="center"/>
          </w:tcPr>
          <w:p>
            <w:pPr>
              <w:spacing w:after="0" w:line="240" w:lineRule="auto"/>
              <w:jc w:val="center"/>
            </w:pPr>
            <w:r/>
            <w:r>
              <w:rPr>
                <w:rFonts w:ascii="宋体" w:hAnsi="宋体" w:eastAsia="宋体"/>
                <w:b w:val="0"/>
                <w:sz w:val="17"/>
              </w:rPr>
              <w:t>回退 q0</w:t>
            </w:r>
          </w:p>
        </w:tc>
        <w:tc>
          <w:tcPr>
            <w:tcW w:type="dxa" w:w="1134"/>
            <w:vAlign w:val="center"/>
          </w:tcPr>
          <w:p>
            <w:pPr>
              <w:spacing w:after="0" w:line="240" w:lineRule="auto"/>
              <w:jc w:val="center"/>
            </w:pPr>
            <w:r/>
            <w:r>
              <w:rPr>
                <w:rFonts w:ascii="宋体" w:hAnsi="宋体" w:eastAsia="宋体"/>
                <w:b w:val="0"/>
                <w:sz w:val="17"/>
              </w:rPr>
              <w:t>0.829812</w:t>
            </w:r>
          </w:p>
        </w:tc>
        <w:tc>
          <w:tcPr>
            <w:tcW w:type="dxa" w:w="1417"/>
            <w:vAlign w:val="center"/>
          </w:tcPr>
          <w:p>
            <w:pPr>
              <w:spacing w:after="0" w:line="240" w:lineRule="auto"/>
              <w:jc w:val="center"/>
            </w:pPr>
            <w:r/>
            <w:r>
              <w:rPr>
                <w:rFonts w:ascii="宋体" w:hAnsi="宋体" w:eastAsia="宋体"/>
                <w:b w:val="0"/>
                <w:sz w:val="17"/>
              </w:rPr>
              <w:t>63.30%</w:t>
            </w:r>
          </w:p>
        </w:tc>
        <w:tc>
          <w:tcPr>
            <w:tcW w:type="dxa" w:w="1417"/>
            <w:vAlign w:val="center"/>
          </w:tcPr>
          <w:p>
            <w:pPr>
              <w:spacing w:after="0" w:line="240" w:lineRule="auto"/>
              <w:jc w:val="center"/>
            </w:pPr>
            <w:r/>
            <w:r>
              <w:rPr>
                <w:rFonts w:ascii="宋体" w:hAnsi="宋体" w:eastAsia="宋体"/>
                <w:b w:val="0"/>
                <w:sz w:val="17"/>
              </w:rPr>
              <w:t>56.02%</w:t>
            </w:r>
          </w:p>
        </w:tc>
        <w:tc>
          <w:tcPr>
            <w:tcW w:type="dxa" w:w="1417"/>
            <w:vAlign w:val="center"/>
          </w:tcPr>
          <w:p>
            <w:pPr>
              <w:spacing w:after="0" w:line="240" w:lineRule="auto"/>
              <w:jc w:val="center"/>
            </w:pPr>
            <w:r/>
            <w:r>
              <w:rPr>
                <w:rFonts w:ascii="宋体" w:hAnsi="宋体" w:eastAsia="宋体"/>
                <w:b w:val="0"/>
                <w:sz w:val="17"/>
              </w:rPr>
              <w:t>10.65%</w:t>
            </w:r>
          </w:p>
        </w:tc>
        <w:tc>
          <w:tcPr>
            <w:tcW w:type="dxa" w:w="1417"/>
            <w:vAlign w:val="center"/>
          </w:tcPr>
          <w:p>
            <w:pPr>
              <w:spacing w:after="0" w:line="240" w:lineRule="auto"/>
              <w:jc w:val="center"/>
            </w:pPr>
            <w:r/>
            <w:r>
              <w:rPr>
                <w:rFonts w:ascii="宋体" w:hAnsi="宋体" w:eastAsia="宋体"/>
                <w:b w:val="0"/>
                <w:sz w:val="17"/>
              </w:rPr>
              <w:t>23.73%</w:t>
            </w:r>
          </w:p>
        </w:tc>
      </w:tr>
      <w:tr>
        <w:trPr>
          <w:cantSplit/>
        </w:trPr>
        <w:tc>
          <w:tcPr>
            <w:tcW w:type="dxa" w:w="2268"/>
            <w:vAlign w:val="center"/>
          </w:tcPr>
          <w:p>
            <w:pPr>
              <w:spacing w:after="0" w:line="240" w:lineRule="auto"/>
              <w:jc w:val="center"/>
            </w:pPr>
            <w:r/>
            <w:r>
              <w:rPr>
                <w:rFonts w:ascii="宋体" w:hAnsi="宋体" w:eastAsia="宋体"/>
                <w:b w:val="0"/>
                <w:sz w:val="17"/>
              </w:rPr>
              <w:t>候选 qφ</w:t>
            </w:r>
          </w:p>
        </w:tc>
        <w:tc>
          <w:tcPr>
            <w:tcW w:type="dxa" w:w="1134"/>
            <w:vAlign w:val="center"/>
          </w:tcPr>
          <w:p>
            <w:pPr>
              <w:spacing w:after="0" w:line="240" w:lineRule="auto"/>
              <w:jc w:val="center"/>
            </w:pPr>
            <w:r/>
            <w:r>
              <w:rPr>
                <w:rFonts w:ascii="宋体" w:hAnsi="宋体" w:eastAsia="宋体"/>
                <w:b w:val="0"/>
                <w:sz w:val="17"/>
              </w:rPr>
              <w:t>0.824945</w:t>
            </w:r>
          </w:p>
        </w:tc>
        <w:tc>
          <w:tcPr>
            <w:tcW w:type="dxa" w:w="1417"/>
            <w:vAlign w:val="center"/>
          </w:tcPr>
          <w:p>
            <w:pPr>
              <w:spacing w:after="0" w:line="240" w:lineRule="auto"/>
              <w:jc w:val="center"/>
            </w:pPr>
            <w:r/>
            <w:r>
              <w:rPr>
                <w:rFonts w:ascii="宋体" w:hAnsi="宋体" w:eastAsia="宋体"/>
                <w:b w:val="0"/>
                <w:sz w:val="17"/>
              </w:rPr>
              <w:t>63.44%</w:t>
            </w:r>
          </w:p>
        </w:tc>
        <w:tc>
          <w:tcPr>
            <w:tcW w:type="dxa" w:w="1417"/>
            <w:vAlign w:val="center"/>
          </w:tcPr>
          <w:p>
            <w:pPr>
              <w:spacing w:after="0" w:line="240" w:lineRule="auto"/>
              <w:jc w:val="center"/>
            </w:pPr>
            <w:r/>
            <w:r>
              <w:rPr>
                <w:rFonts w:ascii="宋体" w:hAnsi="宋体" w:eastAsia="宋体"/>
                <w:b w:val="0"/>
                <w:sz w:val="17"/>
              </w:rPr>
              <w:t>54.82%</w:t>
            </w:r>
          </w:p>
        </w:tc>
        <w:tc>
          <w:tcPr>
            <w:tcW w:type="dxa" w:w="1417"/>
            <w:vAlign w:val="center"/>
          </w:tcPr>
          <w:p>
            <w:pPr>
              <w:spacing w:after="0" w:line="240" w:lineRule="auto"/>
              <w:jc w:val="center"/>
            </w:pPr>
            <w:r/>
            <w:r>
              <w:rPr>
                <w:rFonts w:ascii="宋体" w:hAnsi="宋体" w:eastAsia="宋体"/>
                <w:b w:val="0"/>
                <w:sz w:val="17"/>
              </w:rPr>
              <w:t>10.49%</w:t>
            </w:r>
          </w:p>
        </w:tc>
        <w:tc>
          <w:tcPr>
            <w:tcW w:type="dxa" w:w="1417"/>
            <w:vAlign w:val="center"/>
          </w:tcPr>
          <w:p>
            <w:pPr>
              <w:spacing w:after="0" w:line="240" w:lineRule="auto"/>
              <w:jc w:val="center"/>
            </w:pPr>
            <w:r/>
            <w:r>
              <w:rPr>
                <w:rFonts w:ascii="宋体" w:hAnsi="宋体" w:eastAsia="宋体"/>
                <w:b w:val="0"/>
                <w:sz w:val="17"/>
              </w:rPr>
              <w:t>21.61%</w:t>
            </w:r>
          </w:p>
        </w:tc>
      </w:tr>
      <w:tr>
        <w:trPr>
          <w:cantSplit/>
        </w:trPr>
        <w:tc>
          <w:tcPr>
            <w:tcW w:type="dxa" w:w="2268"/>
            <w:vAlign w:val="center"/>
          </w:tcPr>
          <w:p>
            <w:pPr>
              <w:spacing w:after="0" w:line="240" w:lineRule="auto"/>
              <w:jc w:val="center"/>
            </w:pPr>
            <w:r/>
            <w:r>
              <w:rPr>
                <w:rFonts w:ascii="宋体" w:hAnsi="宋体" w:eastAsia="宋体"/>
                <w:b w:val="0"/>
                <w:sz w:val="17"/>
              </w:rPr>
              <w:t>历史固定预算</w:t>
            </w:r>
          </w:p>
        </w:tc>
        <w:tc>
          <w:tcPr>
            <w:tcW w:type="dxa" w:w="1134"/>
            <w:vAlign w:val="center"/>
          </w:tcPr>
          <w:p>
            <w:pPr>
              <w:spacing w:after="0" w:line="240" w:lineRule="auto"/>
              <w:jc w:val="center"/>
            </w:pPr>
            <w:r/>
            <w:r>
              <w:rPr>
                <w:rFonts w:ascii="宋体" w:hAnsi="宋体" w:eastAsia="宋体"/>
                <w:b w:val="0"/>
                <w:sz w:val="17"/>
              </w:rPr>
              <w:t>0.825839</w:t>
            </w:r>
          </w:p>
        </w:tc>
        <w:tc>
          <w:tcPr>
            <w:tcW w:type="dxa" w:w="1417"/>
            <w:vAlign w:val="center"/>
          </w:tcPr>
          <w:p>
            <w:pPr>
              <w:spacing w:after="0" w:line="240" w:lineRule="auto"/>
              <w:jc w:val="center"/>
            </w:pPr>
            <w:r/>
            <w:r>
              <w:rPr>
                <w:rFonts w:ascii="宋体" w:hAnsi="宋体" w:eastAsia="宋体"/>
                <w:b w:val="0"/>
                <w:sz w:val="17"/>
              </w:rPr>
              <w:t>63.34%</w:t>
            </w:r>
          </w:p>
        </w:tc>
        <w:tc>
          <w:tcPr>
            <w:tcW w:type="dxa" w:w="1417"/>
            <w:vAlign w:val="center"/>
          </w:tcPr>
          <w:p>
            <w:pPr>
              <w:spacing w:after="0" w:line="240" w:lineRule="auto"/>
              <w:jc w:val="center"/>
            </w:pPr>
            <w:r/>
            <w:r>
              <w:rPr>
                <w:rFonts w:ascii="宋体" w:hAnsi="宋体" w:eastAsia="宋体"/>
                <w:b w:val="0"/>
                <w:sz w:val="17"/>
              </w:rPr>
              <w:t>54.82%</w:t>
            </w:r>
          </w:p>
        </w:tc>
        <w:tc>
          <w:tcPr>
            <w:tcW w:type="dxa" w:w="1417"/>
            <w:vAlign w:val="center"/>
          </w:tcPr>
          <w:p>
            <w:pPr>
              <w:spacing w:after="0" w:line="240" w:lineRule="auto"/>
              <w:jc w:val="center"/>
            </w:pPr>
            <w:r/>
            <w:r>
              <w:rPr>
                <w:rFonts w:ascii="宋体" w:hAnsi="宋体" w:eastAsia="宋体"/>
                <w:b w:val="0"/>
                <w:sz w:val="17"/>
              </w:rPr>
              <w:t>10.49%</w:t>
            </w:r>
          </w:p>
        </w:tc>
        <w:tc>
          <w:tcPr>
            <w:tcW w:type="dxa" w:w="1417"/>
            <w:vAlign w:val="center"/>
          </w:tcPr>
          <w:p>
            <w:pPr>
              <w:spacing w:after="0" w:line="240" w:lineRule="auto"/>
              <w:jc w:val="center"/>
            </w:pPr>
            <w:r/>
            <w:r>
              <w:rPr>
                <w:rFonts w:ascii="宋体" w:hAnsi="宋体" w:eastAsia="宋体"/>
                <w:b w:val="0"/>
                <w:sz w:val="17"/>
              </w:rPr>
              <w:t>22.03%</w:t>
            </w:r>
          </w:p>
        </w:tc>
      </w:tr>
      <w:tr>
        <w:trPr>
          <w:cantSplit/>
        </w:trPr>
        <w:tc>
          <w:tcPr>
            <w:tcW w:type="dxa" w:w="2268"/>
            <w:vAlign w:val="center"/>
          </w:tcPr>
          <w:p>
            <w:pPr>
              <w:spacing w:after="0" w:line="240" w:lineRule="auto"/>
              <w:jc w:val="center"/>
            </w:pPr>
            <w:r/>
            <w:r>
              <w:rPr>
                <w:rFonts w:ascii="宋体" w:hAnsi="宋体" w:eastAsia="宋体"/>
                <w:b w:val="0"/>
                <w:sz w:val="17"/>
              </w:rPr>
              <w:t>仅后验约束</w:t>
            </w:r>
          </w:p>
        </w:tc>
        <w:tc>
          <w:tcPr>
            <w:tcW w:type="dxa" w:w="1134"/>
            <w:vAlign w:val="center"/>
          </w:tcPr>
          <w:p>
            <w:pPr>
              <w:spacing w:after="0" w:line="240" w:lineRule="auto"/>
              <w:jc w:val="center"/>
            </w:pPr>
            <w:r/>
            <w:r>
              <w:rPr>
                <w:rFonts w:ascii="宋体" w:hAnsi="宋体" w:eastAsia="宋体"/>
                <w:b w:val="0"/>
                <w:sz w:val="17"/>
              </w:rPr>
              <w:t>0.827031</w:t>
            </w:r>
          </w:p>
        </w:tc>
        <w:tc>
          <w:tcPr>
            <w:tcW w:type="dxa" w:w="1417"/>
            <w:vAlign w:val="center"/>
          </w:tcPr>
          <w:p>
            <w:pPr>
              <w:spacing w:after="0" w:line="240" w:lineRule="auto"/>
              <w:jc w:val="center"/>
            </w:pPr>
            <w:r/>
            <w:r>
              <w:rPr>
                <w:rFonts w:ascii="宋体" w:hAnsi="宋体" w:eastAsia="宋体"/>
                <w:b w:val="0"/>
                <w:sz w:val="17"/>
              </w:rPr>
              <w:t>63.26%</w:t>
            </w:r>
          </w:p>
        </w:tc>
        <w:tc>
          <w:tcPr>
            <w:tcW w:type="dxa" w:w="1417"/>
            <w:vAlign w:val="center"/>
          </w:tcPr>
          <w:p>
            <w:pPr>
              <w:spacing w:after="0" w:line="240" w:lineRule="auto"/>
              <w:jc w:val="center"/>
            </w:pPr>
            <w:r/>
            <w:r>
              <w:rPr>
                <w:rFonts w:ascii="宋体" w:hAnsi="宋体" w:eastAsia="宋体"/>
                <w:b w:val="0"/>
                <w:sz w:val="17"/>
              </w:rPr>
              <w:t>55.12%</w:t>
            </w:r>
          </w:p>
        </w:tc>
        <w:tc>
          <w:tcPr>
            <w:tcW w:type="dxa" w:w="1417"/>
            <w:vAlign w:val="center"/>
          </w:tcPr>
          <w:p>
            <w:pPr>
              <w:spacing w:after="0" w:line="240" w:lineRule="auto"/>
              <w:jc w:val="center"/>
            </w:pPr>
            <w:r/>
            <w:r>
              <w:rPr>
                <w:rFonts w:ascii="宋体" w:hAnsi="宋体" w:eastAsia="宋体"/>
                <w:b w:val="0"/>
                <w:sz w:val="17"/>
              </w:rPr>
              <w:t>10.65%</w:t>
            </w:r>
          </w:p>
        </w:tc>
        <w:tc>
          <w:tcPr>
            <w:tcW w:type="dxa" w:w="1417"/>
            <w:vAlign w:val="center"/>
          </w:tcPr>
          <w:p>
            <w:pPr>
              <w:spacing w:after="0" w:line="240" w:lineRule="auto"/>
              <w:jc w:val="center"/>
            </w:pPr>
            <w:r/>
            <w:r>
              <w:rPr>
                <w:rFonts w:ascii="宋体" w:hAnsi="宋体" w:eastAsia="宋体"/>
                <w:b w:val="0"/>
                <w:sz w:val="17"/>
              </w:rPr>
              <w:t>22.88%</w:t>
            </w:r>
          </w:p>
        </w:tc>
      </w:tr>
      <w:tr>
        <w:trPr>
          <w:cantSplit/>
        </w:trPr>
        <w:tc>
          <w:tcPr>
            <w:tcW w:type="dxa" w:w="2268"/>
            <w:vAlign w:val="center"/>
          </w:tcPr>
          <w:p>
            <w:pPr>
              <w:spacing w:after="0" w:line="240" w:lineRule="auto"/>
              <w:jc w:val="center"/>
            </w:pPr>
            <w:r/>
            <w:r>
              <w:rPr>
                <w:rFonts w:ascii="宋体" w:hAnsi="宋体" w:eastAsia="宋体"/>
                <w:b w:val="0"/>
                <w:sz w:val="17"/>
              </w:rPr>
              <w:t>完整 ABMP（诊断）</w:t>
            </w:r>
          </w:p>
        </w:tc>
        <w:tc>
          <w:tcPr>
            <w:tcW w:type="dxa" w:w="1134"/>
            <w:vAlign w:val="center"/>
          </w:tcPr>
          <w:p>
            <w:pPr>
              <w:spacing w:after="0" w:line="240" w:lineRule="auto"/>
              <w:jc w:val="center"/>
            </w:pPr>
            <w:r/>
            <w:r>
              <w:rPr>
                <w:rFonts w:ascii="宋体" w:hAnsi="宋体" w:eastAsia="宋体"/>
                <w:b w:val="0"/>
                <w:sz w:val="17"/>
              </w:rPr>
              <w:t>0.827031</w:t>
            </w:r>
          </w:p>
        </w:tc>
        <w:tc>
          <w:tcPr>
            <w:tcW w:type="dxa" w:w="1417"/>
            <w:vAlign w:val="center"/>
          </w:tcPr>
          <w:p>
            <w:pPr>
              <w:spacing w:after="0" w:line="240" w:lineRule="auto"/>
              <w:jc w:val="center"/>
            </w:pPr>
            <w:r/>
            <w:r>
              <w:rPr>
                <w:rFonts w:ascii="宋体" w:hAnsi="宋体" w:eastAsia="宋体"/>
                <w:b w:val="0"/>
                <w:sz w:val="17"/>
              </w:rPr>
              <w:t>63.26%</w:t>
            </w:r>
          </w:p>
        </w:tc>
        <w:tc>
          <w:tcPr>
            <w:tcW w:type="dxa" w:w="1417"/>
            <w:vAlign w:val="center"/>
          </w:tcPr>
          <w:p>
            <w:pPr>
              <w:spacing w:after="0" w:line="240" w:lineRule="auto"/>
              <w:jc w:val="center"/>
            </w:pPr>
            <w:r/>
            <w:r>
              <w:rPr>
                <w:rFonts w:ascii="宋体" w:hAnsi="宋体" w:eastAsia="宋体"/>
                <w:b w:val="0"/>
                <w:sz w:val="17"/>
              </w:rPr>
              <w:t>55.12%</w:t>
            </w:r>
          </w:p>
        </w:tc>
        <w:tc>
          <w:tcPr>
            <w:tcW w:type="dxa" w:w="1417"/>
            <w:vAlign w:val="center"/>
          </w:tcPr>
          <w:p>
            <w:pPr>
              <w:spacing w:after="0" w:line="240" w:lineRule="auto"/>
              <w:jc w:val="center"/>
            </w:pPr>
            <w:r/>
            <w:r>
              <w:rPr>
                <w:rFonts w:ascii="宋体" w:hAnsi="宋体" w:eastAsia="宋体"/>
                <w:b w:val="0"/>
                <w:sz w:val="17"/>
              </w:rPr>
              <w:t>10.65%</w:t>
            </w:r>
          </w:p>
        </w:tc>
        <w:tc>
          <w:tcPr>
            <w:tcW w:type="dxa" w:w="1417"/>
            <w:vAlign w:val="center"/>
          </w:tcPr>
          <w:p>
            <w:pPr>
              <w:spacing w:after="0" w:line="240" w:lineRule="auto"/>
              <w:jc w:val="center"/>
            </w:pPr>
            <w:r/>
            <w:r>
              <w:rPr>
                <w:rFonts w:ascii="宋体" w:hAnsi="宋体" w:eastAsia="宋体"/>
                <w:b w:val="0"/>
                <w:sz w:val="17"/>
              </w:rPr>
              <w:t>22.88%</w:t>
            </w:r>
          </w:p>
        </w:tc>
      </w:tr>
    </w:tbl>
    <w:p/>
    <w:p>
      <w:pPr>
        <w:spacing w:after="80" w:line="312" w:lineRule="auto"/>
        <w:ind w:firstLine="420"/>
      </w:pPr>
      <w:r>
        <w:rPr>
          <w:rFonts w:ascii="宋体" w:hAnsi="宋体" w:eastAsia="宋体"/>
          <w:b w:val="0"/>
          <w:sz w:val="22"/>
        </w:rPr>
        <w:t>表中 A6 是开发失败后的最低 NLL 诊断配置（εmax=0.08、τp=0.40、τm=0.05、δ=0.005、λ=-0.5），不是晋级选中模型；A4 与 A6 的逐图输出完全相同。其 NLL 相对 q0 下降约 0.002780 nat，但目标召回下降 0.904 个百分点，含钛误入不变，金属误入下降 0.847 个百分点。开发点估计不承担显著性或非劣效确证。同均值固定预算重放使用同一路由权重，仅替换预算，不是重新训练的固定预算对照。</w:t>
      </w:r>
    </w:p>
    <w:tbl>
      <w:tblPr>
        <w:tblStyle w:val="aff1"/>
        <w:tblW w:type="auto" w:w="0"/>
        <w:tblLayout w:type="fixed"/>
        <w:tblLook w:firstColumn="1" w:firstRow="1" w:lastColumn="0" w:lastRow="0" w:noHBand="0" w:noVBand="1" w:val="04A0"/>
      </w:tblPr>
      <w:tblGrid>
        <w:gridCol w:w="2608"/>
        <w:gridCol w:w="3061"/>
        <w:gridCol w:w="3402"/>
      </w:tblGrid>
      <w:tr>
        <w:trPr>
          <w:tblHeader w:val="true"/>
          <w:cantSplit/>
        </w:trPr>
        <w:tc>
          <w:tcPr>
            <w:tcW w:type="dxa" w:w="2608"/>
            <w:vAlign w:val="center"/>
            <w:shd w:fill="E7EBEE"/>
          </w:tcPr>
          <w:p>
            <w:pPr>
              <w:keepNext/>
              <w:spacing w:after="0" w:line="240" w:lineRule="auto"/>
              <w:jc w:val="center"/>
            </w:pPr>
            <w:r/>
            <w:r>
              <w:rPr>
                <w:rFonts w:ascii="宋体" w:hAnsi="宋体" w:eastAsia="宋体"/>
                <w:b/>
                <w:sz w:val="18"/>
              </w:rPr>
              <w:t>检查项</w:t>
            </w:r>
          </w:p>
        </w:tc>
        <w:tc>
          <w:tcPr>
            <w:tcW w:type="dxa" w:w="3061"/>
            <w:vAlign w:val="center"/>
            <w:shd w:fill="E7EBEE"/>
          </w:tcPr>
          <w:p>
            <w:pPr>
              <w:keepNext/>
              <w:spacing w:after="0" w:line="240" w:lineRule="auto"/>
              <w:jc w:val="center"/>
            </w:pPr>
            <w:r/>
            <w:r>
              <w:rPr>
                <w:rFonts w:ascii="宋体" w:hAnsi="宋体" w:eastAsia="宋体"/>
                <w:b/>
                <w:sz w:val="18"/>
              </w:rPr>
              <w:t>观察值</w:t>
            </w:r>
          </w:p>
        </w:tc>
        <w:tc>
          <w:tcPr>
            <w:tcW w:type="dxa" w:w="3402"/>
            <w:vAlign w:val="center"/>
            <w:shd w:fill="E7EBEE"/>
          </w:tcPr>
          <w:p>
            <w:pPr>
              <w:keepNext/>
              <w:spacing w:after="0" w:line="240" w:lineRule="auto"/>
              <w:jc w:val="center"/>
            </w:pPr>
            <w:r/>
            <w:r>
              <w:rPr>
                <w:rFonts w:ascii="宋体" w:hAnsi="宋体" w:eastAsia="宋体"/>
                <w:b/>
                <w:sz w:val="18"/>
              </w:rPr>
              <w:t>证据含义</w:t>
            </w:r>
          </w:p>
        </w:tc>
      </w:tr>
      <w:tr>
        <w:trPr>
          <w:cantSplit/>
        </w:trPr>
        <w:tc>
          <w:tcPr>
            <w:tcW w:type="dxa" w:w="2608"/>
            <w:vAlign w:val="center"/>
          </w:tcPr>
          <w:p>
            <w:pPr>
              <w:spacing w:after="0" w:line="240" w:lineRule="auto"/>
              <w:jc w:val="center"/>
            </w:pPr>
            <w:r/>
            <w:r>
              <w:rPr>
                <w:rFonts w:ascii="宋体" w:hAnsi="宋体" w:eastAsia="宋体"/>
                <w:b w:val="0"/>
                <w:sz w:val="18"/>
              </w:rPr>
              <w:t>真实数据不变量</w:t>
            </w:r>
          </w:p>
        </w:tc>
        <w:tc>
          <w:tcPr>
            <w:tcW w:type="dxa" w:w="3061"/>
            <w:vAlign w:val="center"/>
          </w:tcPr>
          <w:p>
            <w:pPr>
              <w:spacing w:after="0" w:line="240" w:lineRule="auto"/>
              <w:jc w:val="center"/>
            </w:pPr>
            <w:r/>
            <w:r>
              <w:rPr>
                <w:rFonts w:ascii="宋体" w:hAnsi="宋体" w:eastAsia="宋体"/>
                <w:b w:val="0"/>
                <w:sz w:val="18"/>
              </w:rPr>
              <w:t>全部违规计数为 0</w:t>
            </w:r>
          </w:p>
        </w:tc>
        <w:tc>
          <w:tcPr>
            <w:tcW w:type="dxa" w:w="3402"/>
            <w:vAlign w:val="center"/>
          </w:tcPr>
          <w:p>
            <w:pPr>
              <w:spacing w:after="0" w:line="240" w:lineRule="auto"/>
              <w:jc w:val="center"/>
            </w:pPr>
            <w:r/>
            <w:r>
              <w:rPr>
                <w:rFonts w:ascii="宋体" w:hAnsi="宋体" w:eastAsia="宋体"/>
                <w:b w:val="0"/>
                <w:sz w:val="18"/>
              </w:rPr>
              <w:t>约束实现符合定义</w:t>
            </w:r>
          </w:p>
        </w:tc>
      </w:tr>
      <w:tr>
        <w:trPr>
          <w:cantSplit/>
        </w:trPr>
        <w:tc>
          <w:tcPr>
            <w:tcW w:type="dxa" w:w="2608"/>
            <w:vAlign w:val="center"/>
          </w:tcPr>
          <w:p>
            <w:pPr>
              <w:spacing w:after="0" w:line="240" w:lineRule="auto"/>
              <w:jc w:val="center"/>
            </w:pPr>
            <w:r/>
            <w:r>
              <w:rPr>
                <w:rFonts w:ascii="宋体" w:hAnsi="宋体" w:eastAsia="宋体"/>
                <w:b w:val="0"/>
                <w:sz w:val="18"/>
              </w:rPr>
              <w:t>目标锚点</w:t>
            </w:r>
          </w:p>
        </w:tc>
        <w:tc>
          <w:tcPr>
            <w:tcW w:type="dxa" w:w="3061"/>
            <w:vAlign w:val="center"/>
          </w:tcPr>
          <w:p>
            <w:pPr>
              <w:spacing w:after="0" w:line="240" w:lineRule="auto"/>
              <w:jc w:val="center"/>
            </w:pPr>
            <w:r/>
            <w:r>
              <w:rPr>
                <w:rFonts w:ascii="宋体" w:hAnsi="宋体" w:eastAsia="宋体"/>
                <w:b w:val="0"/>
                <w:sz w:val="18"/>
              </w:rPr>
              <w:t>298；真目标 175；假阳性 123</w:t>
            </w:r>
          </w:p>
        </w:tc>
        <w:tc>
          <w:tcPr>
            <w:tcW w:type="dxa" w:w="3402"/>
            <w:vAlign w:val="center"/>
          </w:tcPr>
          <w:p>
            <w:pPr>
              <w:spacing w:after="0" w:line="240" w:lineRule="auto"/>
              <w:jc w:val="center"/>
            </w:pPr>
            <w:r/>
            <w:r>
              <w:rPr>
                <w:rFonts w:ascii="宋体" w:hAnsi="宋体" w:eastAsia="宋体"/>
                <w:b w:val="0"/>
                <w:sz w:val="18"/>
              </w:rPr>
              <w:t>保持率 100%，同时固定误入</w:t>
            </w:r>
          </w:p>
        </w:tc>
      </w:tr>
      <w:tr>
        <w:trPr>
          <w:cantSplit/>
        </w:trPr>
        <w:tc>
          <w:tcPr>
            <w:tcW w:type="dxa" w:w="2608"/>
            <w:vAlign w:val="center"/>
          </w:tcPr>
          <w:p>
            <w:pPr>
              <w:spacing w:after="0" w:line="240" w:lineRule="auto"/>
              <w:jc w:val="center"/>
            </w:pPr>
            <w:r/>
            <w:r>
              <w:rPr>
                <w:rFonts w:ascii="宋体" w:hAnsi="宋体" w:eastAsia="宋体"/>
                <w:b w:val="0"/>
                <w:sz w:val="18"/>
              </w:rPr>
              <w:t>预算分布</w:t>
            </w:r>
          </w:p>
        </w:tc>
        <w:tc>
          <w:tcPr>
            <w:tcW w:type="dxa" w:w="3061"/>
            <w:vAlign w:val="center"/>
          </w:tcPr>
          <w:p>
            <w:pPr>
              <w:spacing w:after="0" w:line="240" w:lineRule="auto"/>
              <w:jc w:val="center"/>
            </w:pPr>
            <w:r/>
            <w:r>
              <w:rPr>
                <w:rFonts w:ascii="宋体" w:hAnsi="宋体" w:eastAsia="宋体"/>
                <w:b w:val="0"/>
                <w:sz w:val="18"/>
              </w:rPr>
              <w:t>均值 0.049164；标准差 0.000546</w:t>
            </w:r>
          </w:p>
        </w:tc>
        <w:tc>
          <w:tcPr>
            <w:tcW w:type="dxa" w:w="3402"/>
            <w:vAlign w:val="center"/>
          </w:tcPr>
          <w:p>
            <w:pPr>
              <w:spacing w:after="0" w:line="240" w:lineRule="auto"/>
              <w:jc w:val="center"/>
            </w:pPr>
            <w:r/>
            <w:r>
              <w:rPr>
                <w:rFonts w:ascii="宋体" w:hAnsi="宋体" w:eastAsia="宋体"/>
                <w:b w:val="0"/>
                <w:sz w:val="18"/>
              </w:rPr>
              <w:t>非恒定不等于有贡献</w:t>
            </w:r>
          </w:p>
        </w:tc>
      </w:tr>
      <w:tr>
        <w:trPr>
          <w:cantSplit/>
        </w:trPr>
        <w:tc>
          <w:tcPr>
            <w:tcW w:type="dxa" w:w="2608"/>
            <w:vAlign w:val="center"/>
          </w:tcPr>
          <w:p>
            <w:pPr>
              <w:spacing w:after="0" w:line="240" w:lineRule="auto"/>
              <w:jc w:val="center"/>
            </w:pPr>
            <w:r/>
            <w:r>
              <w:rPr>
                <w:rFonts w:ascii="宋体" w:hAnsi="宋体" w:eastAsia="宋体"/>
                <w:b w:val="0"/>
                <w:sz w:val="18"/>
              </w:rPr>
              <w:t>同均值固定预算重放</w:t>
            </w:r>
          </w:p>
        </w:tc>
        <w:tc>
          <w:tcPr>
            <w:tcW w:type="dxa" w:w="3061"/>
            <w:vAlign w:val="center"/>
          </w:tcPr>
          <w:p>
            <w:pPr>
              <w:spacing w:after="0" w:line="240" w:lineRule="auto"/>
              <w:jc w:val="center"/>
            </w:pPr>
            <w:r/>
            <w:r>
              <w:rPr>
                <w:rFonts w:ascii="宋体" w:hAnsi="宋体" w:eastAsia="宋体"/>
                <w:b w:val="0"/>
                <w:sz w:val="18"/>
              </w:rPr>
              <w:t>最大概率差 0.0；预测分歧 0</w:t>
            </w:r>
          </w:p>
        </w:tc>
        <w:tc>
          <w:tcPr>
            <w:tcW w:type="dxa" w:w="3402"/>
            <w:vAlign w:val="center"/>
          </w:tcPr>
          <w:p>
            <w:pPr>
              <w:spacing w:after="0" w:line="240" w:lineRule="auto"/>
              <w:jc w:val="center"/>
            </w:pPr>
            <w:r/>
            <w:r>
              <w:rPr>
                <w:rFonts w:ascii="宋体" w:hAnsi="宋体" w:eastAsia="宋体"/>
                <w:b w:val="0"/>
                <w:sz w:val="18"/>
              </w:rPr>
              <w:t>该诊断配置下预算头未改变输出</w:t>
            </w:r>
          </w:p>
        </w:tc>
      </w:tr>
      <w:tr>
        <w:trPr>
          <w:cantSplit/>
        </w:trPr>
        <w:tc>
          <w:tcPr>
            <w:tcW w:type="dxa" w:w="2608"/>
            <w:vAlign w:val="center"/>
          </w:tcPr>
          <w:p>
            <w:pPr>
              <w:spacing w:after="0" w:line="240" w:lineRule="auto"/>
              <w:jc w:val="center"/>
            </w:pPr>
            <w:r/>
            <w:r>
              <w:rPr>
                <w:rFonts w:ascii="宋体" w:hAnsi="宋体" w:eastAsia="宋体"/>
                <w:b w:val="0"/>
                <w:sz w:val="18"/>
              </w:rPr>
              <w:t>专家分类一致率</w:t>
            </w:r>
          </w:p>
        </w:tc>
        <w:tc>
          <w:tcPr>
            <w:tcW w:type="dxa" w:w="3061"/>
            <w:vAlign w:val="center"/>
          </w:tcPr>
          <w:p>
            <w:pPr>
              <w:spacing w:after="0" w:line="240" w:lineRule="auto"/>
              <w:jc w:val="center"/>
            </w:pPr>
            <w:r/>
            <w:r>
              <w:rPr>
                <w:rFonts w:ascii="宋体" w:hAnsi="宋体" w:eastAsia="宋体"/>
                <w:b w:val="0"/>
                <w:sz w:val="18"/>
              </w:rPr>
              <w:t>99.17%</w:t>
            </w:r>
          </w:p>
        </w:tc>
        <w:tc>
          <w:tcPr>
            <w:tcW w:type="dxa" w:w="3402"/>
            <w:vAlign w:val="center"/>
          </w:tcPr>
          <w:p>
            <w:pPr>
              <w:spacing w:after="0" w:line="240" w:lineRule="auto"/>
              <w:jc w:val="center"/>
            </w:pPr>
            <w:r/>
            <w:r>
              <w:rPr>
                <w:rFonts w:ascii="宋体" w:hAnsi="宋体" w:eastAsia="宋体"/>
                <w:b w:val="0"/>
                <w:sz w:val="18"/>
              </w:rPr>
              <w:t>只有少量样本可改变类别</w:t>
            </w:r>
          </w:p>
        </w:tc>
      </w:tr>
      <w:tr>
        <w:trPr>
          <w:cantSplit/>
        </w:trPr>
        <w:tc>
          <w:tcPr>
            <w:tcW w:type="dxa" w:w="2608"/>
            <w:vAlign w:val="center"/>
          </w:tcPr>
          <w:p>
            <w:pPr>
              <w:spacing w:after="0" w:line="240" w:lineRule="auto"/>
              <w:jc w:val="center"/>
            </w:pPr>
            <w:r/>
            <w:r>
              <w:rPr>
                <w:rFonts w:ascii="宋体" w:hAnsi="宋体" w:eastAsia="宋体"/>
                <w:b w:val="0"/>
                <w:sz w:val="18"/>
              </w:rPr>
              <w:t>最大预算/最大路由容量</w:t>
            </w:r>
          </w:p>
        </w:tc>
        <w:tc>
          <w:tcPr>
            <w:tcW w:type="dxa" w:w="3061"/>
            <w:vAlign w:val="center"/>
          </w:tcPr>
          <w:p>
            <w:pPr>
              <w:spacing w:after="0" w:line="240" w:lineRule="auto"/>
              <w:jc w:val="center"/>
            </w:pPr>
            <w:r/>
            <w:r>
              <w:rPr>
                <w:rFonts w:ascii="宋体" w:hAnsi="宋体" w:eastAsia="宋体"/>
                <w:b w:val="0"/>
                <w:sz w:val="18"/>
              </w:rPr>
              <w:t>独立间隔最多 1 张，且为假阳性</w:t>
            </w:r>
          </w:p>
        </w:tc>
        <w:tc>
          <w:tcPr>
            <w:tcW w:type="dxa" w:w="3402"/>
            <w:vAlign w:val="center"/>
          </w:tcPr>
          <w:p>
            <w:pPr>
              <w:spacing w:after="0" w:line="240" w:lineRule="auto"/>
              <w:jc w:val="center"/>
            </w:pPr>
            <w:r/>
            <w:r>
              <w:rPr>
                <w:rFonts w:ascii="宋体" w:hAnsi="宋体" w:eastAsia="宋体"/>
                <w:b w:val="0"/>
                <w:sz w:val="18"/>
              </w:rPr>
              <w:t>当前间隔设计缺乏真实目标收益空间</w:t>
            </w:r>
          </w:p>
        </w:tc>
      </w:tr>
      <w:tr>
        <w:trPr>
          <w:cantSplit/>
        </w:trPr>
        <w:tc>
          <w:tcPr>
            <w:tcW w:type="dxa" w:w="2608"/>
            <w:vAlign w:val="center"/>
          </w:tcPr>
          <w:p>
            <w:pPr>
              <w:spacing w:after="0" w:line="240" w:lineRule="auto"/>
              <w:jc w:val="center"/>
            </w:pPr>
            <w:r/>
            <w:r>
              <w:rPr>
                <w:rFonts w:ascii="宋体" w:hAnsi="宋体" w:eastAsia="宋体"/>
                <w:b w:val="0"/>
                <w:sz w:val="18"/>
              </w:rPr>
              <w:t>随机公式检查</w:t>
            </w:r>
          </w:p>
        </w:tc>
        <w:tc>
          <w:tcPr>
            <w:tcW w:type="dxa" w:w="3061"/>
            <w:vAlign w:val="center"/>
          </w:tcPr>
          <w:p>
            <w:pPr>
              <w:spacing w:after="0" w:line="240" w:lineRule="auto"/>
              <w:jc w:val="center"/>
            </w:pPr>
            <w:r/>
            <w:r>
              <w:rPr>
                <w:rFonts w:ascii="宋体" w:hAnsi="宋体" w:eastAsia="宋体"/>
                <w:b w:val="0"/>
                <w:sz w:val="18"/>
              </w:rPr>
              <w:t>25,000 组；违规为 0</w:t>
            </w:r>
          </w:p>
        </w:tc>
        <w:tc>
          <w:tcPr>
            <w:tcW w:type="dxa" w:w="3402"/>
            <w:vAlign w:val="center"/>
          </w:tcPr>
          <w:p>
            <w:pPr>
              <w:spacing w:after="0" w:line="240" w:lineRule="auto"/>
              <w:jc w:val="center"/>
            </w:pPr>
            <w:r/>
            <w:r>
              <w:rPr>
                <w:rFonts w:ascii="宋体" w:hAnsi="宋体" w:eastAsia="宋体"/>
                <w:b w:val="0"/>
                <w:sz w:val="18"/>
              </w:rPr>
              <w:t>合成数值检查，不是识别性能</w:t>
            </w:r>
          </w:p>
        </w:tc>
      </w:tr>
    </w:tbl>
    <w:p/>
    <w:p>
      <w:pPr>
        <w:pStyle w:val="21"/>
        <w:keepNext/>
        <w:spacing w:before="120" w:after="80"/>
      </w:pPr>
      <w:r>
        <w:rPr>
          <w:rFonts w:ascii="黑体" w:hAnsi="黑体" w:eastAsia="黑体"/>
          <w:b/>
          <w:color w:val="000000"/>
          <w:sz w:val="24"/>
        </w:rPr>
        <w:t>M.6 失败原因、理论边界与下一轮研究</w:t>
      </w:r>
    </w:p>
    <w:p>
      <w:pPr>
        <w:spacing w:after="80" w:line="312" w:lineRule="auto"/>
        <w:ind w:firstLine="420"/>
      </w:pPr>
      <w:r>
        <w:rPr>
          <w:rFonts w:ascii="宋体" w:hAnsi="宋体" w:eastAsia="宋体"/>
          <w:b w:val="0"/>
          <w:sz w:val="22"/>
        </w:rPr>
        <w:t>容量诊断发现两端分类分歧仅 14 张。其中真实目标分歧 4 张，回退原本未命中的真实目标候选改善空间仅 0 张；对应目标召回增益上界为 0.00%。即使原始路由设为 1、预算设为网格最大值，独立间隔保护也最多作用于一个回退假阳性，而不是恢复真实目标。该结果把下一轮工作由阈值搜索转向专家互补性及锚点可靠性。</w:t>
      </w:r>
    </w:p>
    <w:p>
      <w:pPr>
        <w:spacing w:after="80" w:line="312" w:lineRule="auto"/>
        <w:ind w:firstLine="420"/>
      </w:pPr>
      <w:r>
        <w:rPr>
          <w:rFonts w:ascii="宋体" w:hAnsi="宋体" w:eastAsia="宋体"/>
          <w:b w:val="0"/>
          <w:sz w:val="22"/>
        </w:rPr>
        <w:t>下一轮先在拟合/停止子集上比较可达到的目标召回、误入及概率风险，再提出增强候选专家而非单纯增加门控复杂度的最小方案。候选改进应增加真实目标与含钛/金属干扰之间的有效证据分歧，并用冻结专家对照区分收益来源。预算监督必须加入同平均预算的独立训练对照以及独立间隔消融；锚点保持必须同时报告对真目标和假阳性的影响。若能力审计仍无空间，停止该保护层，不以调低判据制造通过。</w:t>
      </w:r>
    </w:p>
    <w:p>
      <w:pPr>
        <w:spacing w:after="80" w:line="312" w:lineRule="auto"/>
        <w:ind w:firstLine="420"/>
      </w:pPr>
      <w:r>
        <w:rPr>
          <w:rFonts w:ascii="宋体" w:hAnsi="宋体" w:eastAsia="宋体"/>
          <w:b w:val="0"/>
          <w:sz w:val="22"/>
        </w:rPr>
        <w:t>理论深化的可实施主线是：固定专家凸融合的容量约束、约束可行域及非冗余条件、锚点可靠性与风险取舍，再由独立数据验证预算分配的经验作用。以上是可推导、可核验的结构结果，不宣称通用投影、凸性或多任务学习为首次；算法创新仍需与相关文献比较并获得独立确证。阶段条件化决策图、真实送检代价和工业回收率继续列为后续方向，不向公开标本图像附加未经确认的流程标签。</w:t>
      </w:r>
    </w:p>
    <w:p>
      <w:pPr>
        <w:pStyle w:val="21"/>
        <w:keepNext/>
        <w:spacing w:before="120" w:after="80"/>
      </w:pPr>
      <w:r>
        <w:rPr>
          <w:rFonts w:ascii="黑体" w:hAnsi="黑体" w:eastAsia="黑体"/>
          <w:b/>
          <w:color w:val="000000"/>
          <w:sz w:val="24"/>
        </w:rPr>
        <w:t>M.7 复现证据与晋级边界</w:t>
      </w:r>
    </w:p>
    <w:p>
      <w:pPr>
        <w:spacing w:after="80" w:line="312" w:lineRule="auto"/>
        <w:ind w:firstLine="420"/>
      </w:pPr>
      <w:r>
        <w:rPr>
          <w:rFonts w:ascii="宋体" w:hAnsi="宋体" w:eastAsia="宋体"/>
          <w:b w:val="0"/>
          <w:sz w:val="22"/>
        </w:rPr>
        <w:t>代码、配置、逐图预测、训练历史、数据及权重哈希、几何诊断与结构图源进入版本控制；原始图片和模型权重不公开分发。重新生成路径为 scripts/run_abmp_rsg_development.py、scripts/analyze_abmp_development.py、scripts/generate_abmp_rsg_figure.py 与 tools/append_abmp_to_official_report.py。旧初轮锁通过 protocol_status.json 标记为废止；第二轮不生成锁，Fold 1/2 不启动。新增数学性质与负结果可充实技术报告，但目前不能将 ABMP 的总体性能优势列为已完成创新成果。</w:t>
      </w:r>
    </w:p>
    <w:p>
      <w:r>
        <w:br w:type="page"/>
      </w:r>
    </w:p>
    <w:p>
      <w:pPr>
        <w:pStyle w:val="1"/>
        <w:keepNext/>
        <w:spacing w:before="160" w:after="80"/>
      </w:pPr>
      <w:r>
        <w:rPr>
          <w:rFonts w:ascii="黑体" w:hAnsi="黑体" w:eastAsia="黑体"/>
          <w:b/>
          <w:color w:val="000000"/>
          <w:sz w:val="28"/>
        </w:rPr>
        <w:t>附录 N 候选空间容量与校验约束的理论分析</w:t>
      </w:r>
    </w:p>
    <w:p>
      <w:pPr>
        <w:spacing w:after="80" w:line="312" w:lineRule="auto"/>
        <w:ind w:firstLine="420"/>
      </w:pPr>
      <w:r>
        <w:rPr>
          <w:rFonts w:ascii="宋体" w:hAnsi="宋体" w:eastAsia="宋体"/>
          <w:b w:val="0"/>
          <w:sz w:val="22"/>
        </w:rPr>
        <w:t>本附录解释 ABMP-RSG-Net v2 开发门未通过的结构原因，并给出下一轮网络改进的可检验依据。数学性质、标签辅助容量诊断与模型性能结论分别陈述。当前尚未证明 v2 优于既有基线，也未启动新结构的独立确证。</w:t>
      </w:r>
    </w:p>
    <w:p>
      <w:pPr>
        <w:pStyle w:val="21"/>
        <w:keepNext/>
        <w:spacing w:before="120" w:after="80"/>
      </w:pPr>
      <w:r>
        <w:rPr>
          <w:rFonts w:ascii="黑体" w:hAnsi="黑体" w:eastAsia="黑体"/>
          <w:b/>
          <w:color w:val="000000"/>
          <w:sz w:val="24"/>
        </w:rPr>
        <w:t>N.1 开发范围和候选容量证据</w:t>
      </w:r>
    </w:p>
    <w:p>
      <w:pPr>
        <w:spacing w:after="80" w:line="312" w:lineRule="auto"/>
        <w:ind w:firstLine="420"/>
      </w:pPr>
      <w:r>
        <w:rPr>
          <w:rFonts w:ascii="宋体" w:hAnsi="宋体" w:eastAsia="宋体"/>
          <w:b w:val="0"/>
          <w:sz w:val="22"/>
        </w:rPr>
        <w:t>仅读取 Fold 0 的策略拟合集 gate_stop_projector_fit（340 张）与停止集 projector_stop（340 张），每个子集含 66 张目标代理样本。专家和候选门权重保持冻结；未读取 outer_eval 清单或图像，未访问 Fold 1/2。图像 ID、重复组及图片编号的跨子集交集均为 0。</w:t>
      </w:r>
    </w:p>
    <w:tbl>
      <w:tblPr>
        <w:tblStyle w:val="aff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587"/>
        <w:gridCol w:w="1814"/>
        <w:gridCol w:w="1984"/>
        <w:gridCol w:w="1984"/>
      </w:tblGrid>
      <w:tr>
        <w:trPr>
          <w:tblHeader w:val="true"/>
          <w:cantSplit/>
        </w:trPr>
        <w:tc>
          <w:tcPr>
            <w:tcW w:type="dxa" w:w="1701"/>
            <w:vAlign w:val="center"/>
            <w:shd w:fill="E7EBEE"/>
          </w:tcPr>
          <w:p>
            <w:pPr>
              <w:keepNext/>
              <w:spacing w:after="0" w:line="240" w:lineRule="auto"/>
              <w:jc w:val="center"/>
            </w:pPr>
            <w:r/>
            <w:r>
              <w:rPr>
                <w:rFonts w:ascii="宋体" w:hAnsi="宋体" w:eastAsia="宋体"/>
                <w:b/>
                <w:sz w:val="17"/>
              </w:rPr>
              <w:t>子集</w:t>
            </w:r>
          </w:p>
        </w:tc>
        <w:tc>
          <w:tcPr>
            <w:tcW w:type="dxa" w:w="1587"/>
            <w:vAlign w:val="center"/>
            <w:shd w:fill="E7EBEE"/>
          </w:tcPr>
          <w:p>
            <w:pPr>
              <w:keepNext/>
              <w:spacing w:after="0" w:line="240" w:lineRule="auto"/>
              <w:jc w:val="center"/>
            </w:pPr>
            <w:r/>
            <w:r>
              <w:rPr>
                <w:rFonts w:ascii="宋体" w:hAnsi="宋体" w:eastAsia="宋体"/>
                <w:b/>
                <w:sz w:val="17"/>
              </w:rPr>
              <w:t>固定融合</w:t>
              <w:br/>
              <w:t>实际命中</w:t>
            </w:r>
          </w:p>
        </w:tc>
        <w:tc>
          <w:tcPr>
            <w:tcW w:type="dxa" w:w="1814"/>
            <w:vAlign w:val="center"/>
            <w:shd w:fill="E7EBEE"/>
          </w:tcPr>
          <w:p>
            <w:pPr>
              <w:keepNext/>
              <w:spacing w:after="0" w:line="240" w:lineRule="auto"/>
              <w:jc w:val="center"/>
            </w:pPr>
            <w:r/>
            <w:r>
              <w:rPr>
                <w:rFonts w:ascii="宋体" w:hAnsi="宋体" w:eastAsia="宋体"/>
                <w:b/>
                <w:sz w:val="17"/>
              </w:rPr>
              <w:t>受限区间</w:t>
              <w:br/>
              <w:t>可达目标</w:t>
            </w:r>
          </w:p>
        </w:tc>
        <w:tc>
          <w:tcPr>
            <w:tcW w:type="dxa" w:w="1984"/>
            <w:vAlign w:val="center"/>
            <w:shd w:fill="E7EBEE"/>
          </w:tcPr>
          <w:p>
            <w:pPr>
              <w:keepNext/>
              <w:spacing w:after="0" w:line="240" w:lineRule="auto"/>
              <w:jc w:val="center"/>
            </w:pPr>
            <w:r/>
            <w:r>
              <w:rPr>
                <w:rFonts w:ascii="宋体" w:hAnsi="宋体" w:eastAsia="宋体"/>
                <w:b/>
                <w:sz w:val="17"/>
              </w:rPr>
              <w:t>完整校验区间</w:t>
              <w:br/>
              <w:t>可达目标</w:t>
            </w:r>
          </w:p>
        </w:tc>
        <w:tc>
          <w:tcPr>
            <w:tcW w:type="dxa" w:w="1984"/>
            <w:vAlign w:val="center"/>
            <w:shd w:fill="E7EBEE"/>
          </w:tcPr>
          <w:p>
            <w:pPr>
              <w:keepNext/>
              <w:spacing w:after="0" w:line="240" w:lineRule="auto"/>
              <w:jc w:val="center"/>
            </w:pPr>
            <w:r/>
            <w:r>
              <w:rPr>
                <w:rFonts w:ascii="宋体" w:hAnsi="宋体" w:eastAsia="宋体"/>
                <w:b/>
                <w:sz w:val="17"/>
              </w:rPr>
              <w:t>校验前完整区间</w:t>
              <w:br/>
              <w:t>可达目标</w:t>
            </w:r>
          </w:p>
        </w:tc>
      </w:tr>
      <w:tr>
        <w:trPr>
          <w:cantSplit/>
        </w:trPr>
        <w:tc>
          <w:tcPr>
            <w:tcW w:type="dxa" w:w="1701"/>
            <w:vAlign w:val="center"/>
          </w:tcPr>
          <w:p>
            <w:pPr>
              <w:spacing w:after="0" w:line="240" w:lineRule="auto"/>
              <w:jc w:val="center"/>
            </w:pPr>
            <w:r/>
            <w:r>
              <w:rPr>
                <w:rFonts w:ascii="宋体" w:hAnsi="宋体" w:eastAsia="宋体"/>
                <w:b w:val="0"/>
                <w:sz w:val="17"/>
              </w:rPr>
              <w:t>策略拟合集</w:t>
            </w:r>
          </w:p>
        </w:tc>
        <w:tc>
          <w:tcPr>
            <w:tcW w:type="dxa" w:w="1587"/>
            <w:vAlign w:val="center"/>
          </w:tcPr>
          <w:p>
            <w:pPr>
              <w:spacing w:after="0" w:line="240" w:lineRule="auto"/>
              <w:jc w:val="center"/>
            </w:pPr>
            <w:r/>
            <w:r>
              <w:rPr>
                <w:rFonts w:ascii="宋体" w:hAnsi="宋体" w:eastAsia="宋体"/>
                <w:b w:val="0"/>
                <w:sz w:val="17"/>
              </w:rPr>
              <w:t>35</w:t>
            </w:r>
          </w:p>
        </w:tc>
        <w:tc>
          <w:tcPr>
            <w:tcW w:type="dxa" w:w="1814"/>
            <w:vAlign w:val="center"/>
          </w:tcPr>
          <w:p>
            <w:pPr>
              <w:spacing w:after="0" w:line="240" w:lineRule="auto"/>
              <w:jc w:val="center"/>
            </w:pPr>
            <w:r/>
            <w:r>
              <w:rPr>
                <w:rFonts w:ascii="宋体" w:hAnsi="宋体" w:eastAsia="宋体"/>
                <w:b w:val="0"/>
                <w:sz w:val="17"/>
              </w:rPr>
              <w:t>35</w:t>
            </w:r>
          </w:p>
        </w:tc>
        <w:tc>
          <w:tcPr>
            <w:tcW w:type="dxa" w:w="1984"/>
            <w:vAlign w:val="center"/>
          </w:tcPr>
          <w:p>
            <w:pPr>
              <w:spacing w:after="0" w:line="240" w:lineRule="auto"/>
              <w:jc w:val="center"/>
            </w:pPr>
            <w:r/>
            <w:r>
              <w:rPr>
                <w:rFonts w:ascii="宋体" w:hAnsi="宋体" w:eastAsia="宋体"/>
                <w:b w:val="0"/>
                <w:sz w:val="17"/>
              </w:rPr>
              <w:t>38</w:t>
            </w:r>
          </w:p>
        </w:tc>
        <w:tc>
          <w:tcPr>
            <w:tcW w:type="dxa" w:w="1984"/>
            <w:vAlign w:val="center"/>
          </w:tcPr>
          <w:p>
            <w:pPr>
              <w:spacing w:after="0" w:line="240" w:lineRule="auto"/>
              <w:jc w:val="center"/>
            </w:pPr>
            <w:r/>
            <w:r>
              <w:rPr>
                <w:rFonts w:ascii="宋体" w:hAnsi="宋体" w:eastAsia="宋体"/>
                <w:b w:val="0"/>
                <w:sz w:val="17"/>
              </w:rPr>
              <w:t>38</w:t>
            </w:r>
          </w:p>
        </w:tc>
      </w:tr>
      <w:tr>
        <w:trPr>
          <w:cantSplit/>
        </w:trPr>
        <w:tc>
          <w:tcPr>
            <w:tcW w:type="dxa" w:w="1701"/>
            <w:vAlign w:val="center"/>
          </w:tcPr>
          <w:p>
            <w:pPr>
              <w:spacing w:after="0" w:line="240" w:lineRule="auto"/>
              <w:jc w:val="center"/>
            </w:pPr>
            <w:r/>
            <w:r>
              <w:rPr>
                <w:rFonts w:ascii="宋体" w:hAnsi="宋体" w:eastAsia="宋体"/>
                <w:b w:val="0"/>
                <w:sz w:val="17"/>
              </w:rPr>
              <w:t>策略停止集</w:t>
            </w:r>
          </w:p>
        </w:tc>
        <w:tc>
          <w:tcPr>
            <w:tcW w:type="dxa" w:w="1587"/>
            <w:vAlign w:val="center"/>
          </w:tcPr>
          <w:p>
            <w:pPr>
              <w:spacing w:after="0" w:line="240" w:lineRule="auto"/>
              <w:jc w:val="center"/>
            </w:pPr>
            <w:r/>
            <w:r>
              <w:rPr>
                <w:rFonts w:ascii="宋体" w:hAnsi="宋体" w:eastAsia="宋体"/>
                <w:b w:val="0"/>
                <w:sz w:val="17"/>
              </w:rPr>
              <w:t>43</w:t>
            </w:r>
          </w:p>
        </w:tc>
        <w:tc>
          <w:tcPr>
            <w:tcW w:type="dxa" w:w="1814"/>
            <w:vAlign w:val="center"/>
          </w:tcPr>
          <w:p>
            <w:pPr>
              <w:spacing w:after="0" w:line="240" w:lineRule="auto"/>
              <w:jc w:val="center"/>
            </w:pPr>
            <w:r/>
            <w:r>
              <w:rPr>
                <w:rFonts w:ascii="宋体" w:hAnsi="宋体" w:eastAsia="宋体"/>
                <w:b w:val="0"/>
                <w:sz w:val="17"/>
              </w:rPr>
              <w:t>43</w:t>
            </w:r>
          </w:p>
        </w:tc>
        <w:tc>
          <w:tcPr>
            <w:tcW w:type="dxa" w:w="1984"/>
            <w:vAlign w:val="center"/>
          </w:tcPr>
          <w:p>
            <w:pPr>
              <w:spacing w:after="0" w:line="240" w:lineRule="auto"/>
              <w:jc w:val="center"/>
            </w:pPr>
            <w:r/>
            <w:r>
              <w:rPr>
                <w:rFonts w:ascii="宋体" w:hAnsi="宋体" w:eastAsia="宋体"/>
                <w:b w:val="0"/>
                <w:sz w:val="17"/>
              </w:rPr>
              <w:t>43</w:t>
            </w:r>
          </w:p>
        </w:tc>
        <w:tc>
          <w:tcPr>
            <w:tcW w:type="dxa" w:w="1984"/>
            <w:vAlign w:val="center"/>
          </w:tcPr>
          <w:p>
            <w:pPr>
              <w:spacing w:after="0" w:line="240" w:lineRule="auto"/>
              <w:jc w:val="center"/>
            </w:pPr>
            <w:r/>
            <w:r>
              <w:rPr>
                <w:rFonts w:ascii="宋体" w:hAnsi="宋体" w:eastAsia="宋体"/>
                <w:b w:val="0"/>
                <w:sz w:val="17"/>
              </w:rPr>
              <w:t>45</w:t>
            </w:r>
          </w:p>
        </w:tc>
      </w:tr>
    </w:tbl>
    <w:p/>
    <w:p>
      <w:pPr>
        <w:keepNext/>
        <w:jc w:val="center"/>
      </w:pPr>
      <w:r>
        <w:drawing>
          <wp:inline xmlns:a="http://schemas.openxmlformats.org/drawingml/2006/main" xmlns:pic="http://schemas.openxmlformats.org/drawingml/2006/picture">
            <wp:extent cx="5760000" cy="2353846"/>
            <wp:docPr id="74" name="Picture 74"/>
            <wp:cNvGraphicFramePr>
              <a:graphicFrameLocks noChangeAspect="1"/>
            </wp:cNvGraphicFramePr>
            <a:graphic>
              <a:graphicData uri="http://schemas.openxmlformats.org/drawingml/2006/picture">
                <pic:pic>
                  <pic:nvPicPr>
                    <pic:cNvPr id="0" name="fig_abmp_candidate_capacity.png"/>
                    <pic:cNvPicPr/>
                  </pic:nvPicPr>
                  <pic:blipFill>
                    <a:blip r:embed="rId87"/>
                    <a:stretch>
                      <a:fillRect/>
                    </a:stretch>
                  </pic:blipFill>
                  <pic:spPr>
                    <a:xfrm>
                      <a:off x="0" y="0"/>
                      <a:ext cx="5760000" cy="2353846"/>
                    </a:xfrm>
                    <a:prstGeom prst="rect"/>
                  </pic:spPr>
                </pic:pic>
              </a:graphicData>
            </a:graphic>
          </wp:inline>
        </w:drawing>
      </w:r>
    </w:p>
    <w:p>
      <w:pPr>
        <w:pStyle w:val="af7"/>
        <w:jc w:val="center"/>
      </w:pPr>
      <w:r>
        <w:rPr>
          <w:rFonts w:ascii="宋体" w:hAnsi="宋体" w:eastAsia="宋体"/>
          <w:b w:val="0"/>
          <w:color w:val="000000"/>
          <w:sz w:val="20"/>
        </w:rPr>
        <w:t>图 N-1 开发子集的目标容量与固定融合校验损失</w:t>
      </w:r>
    </w:p>
    <w:p>
      <w:pPr>
        <w:spacing w:after="80" w:line="312" w:lineRule="auto"/>
        <w:ind w:firstLine="420"/>
      </w:pPr>
      <w:r>
        <w:rPr>
          <w:rFonts w:ascii="宋体" w:hAnsi="宋体" w:eastAsia="宋体"/>
          <w:b w:val="0"/>
          <w:sz w:val="22"/>
        </w:rPr>
        <w:t>可达数量由真实标签辅助、逐图选择最有利融合比例计算，仅是有限样本上界，不是可部署网络的正确率。校验后停止集的完整区间仍只有 43 张目标可达；校验前为 45 张。扩大路由范围在该子集不能新增目标命中，而校验尺度对 2 张潜在恢复样本有影响。</w:t>
      </w:r>
    </w:p>
    <w:p>
      <w:r>
        <w:br w:type="page"/>
      </w:r>
    </w:p>
    <w:p>
      <w:pPr>
        <w:pStyle w:val="21"/>
        <w:keepNext/>
        <w:spacing w:before="120" w:after="80"/>
      </w:pPr>
      <w:r>
        <w:rPr>
          <w:rFonts w:ascii="黑体" w:hAnsi="黑体" w:eastAsia="黑体"/>
          <w:b/>
          <w:color w:val="000000"/>
          <w:sz w:val="24"/>
        </w:rPr>
        <w:t>N.2 校验尺度与目标集合的解析性质</w:t>
      </w:r>
    </w:p>
    <w:p>
      <w:pPr>
        <w:spacing w:after="80" w:line="312" w:lineRule="auto"/>
        <w:ind w:firstLine="420"/>
      </w:pPr>
      <w:r>
        <w:rPr>
          <w:rFonts w:ascii="宋体" w:hAnsi="宋体" w:eastAsia="宋体"/>
          <w:b w:val="0"/>
          <w:sz w:val="22"/>
        </w:rPr>
        <w:t>设 d、m 为直接角色后验和种类映射后验，目标类别索引为 T=0。两路专家对同一图像使用相同的残差校验尺度 s；s 由两类校验器的矛盾程度经指数变换得到。s 严格为正且不大于 1，后验均经过归一化。</w:t>
      </w:r>
    </w:p>
    <w:p>
      <w:pPr>
        <w:keepNext/>
        <w:keepLines/>
        <w:jc w:val="center"/>
      </w:pPr>
      <w:r>
        <w:drawing>
          <wp:inline xmlns:a="http://schemas.openxmlformats.org/drawingml/2006/main" xmlns:pic="http://schemas.openxmlformats.org/drawingml/2006/picture">
            <wp:extent cx="5688000" cy="438508"/>
            <wp:docPr id="75" name="Picture 75"/>
            <wp:cNvGraphicFramePr>
              <a:graphicFrameLocks noChangeAspect="1"/>
            </wp:cNvGraphicFramePr>
            <a:graphic>
              <a:graphicData uri="http://schemas.openxmlformats.org/drawingml/2006/picture">
                <pic:pic>
                  <pic:nvPicPr>
                    <pic:cNvPr id="0" name="capacity_scale.png"/>
                    <pic:cNvPicPr/>
                  </pic:nvPicPr>
                  <pic:blipFill>
                    <a:blip r:embed="rId88"/>
                    <a:stretch>
                      <a:fillRect/>
                    </a:stretch>
                  </pic:blipFill>
                  <pic:spPr>
                    <a:xfrm>
                      <a:off x="0" y="0"/>
                      <a:ext cx="5688000" cy="438508"/>
                    </a:xfrm>
                    <a:prstGeom prst="rect"/>
                  </pic:spPr>
                </pic:pic>
              </a:graphicData>
            </a:graphic>
          </wp:inline>
        </w:drawing>
      </w:r>
    </w:p>
    <w:p>
      <w:pPr>
        <w:spacing w:after="80"/>
        <w:jc w:val="right"/>
      </w:pPr>
      <w:r>
        <w:rPr>
          <w:rFonts w:ascii="Times New Roman" w:hAnsi="Times New Roman" w:eastAsia="Times New Roman"/>
          <w:b w:val="0"/>
          <w:sz w:val="20"/>
        </w:rPr>
        <w:t>(N-1)</w:t>
      </w:r>
    </w:p>
    <w:p>
      <w:pPr>
        <w:spacing w:after="80" w:line="312" w:lineRule="auto"/>
        <w:ind w:firstLine="420"/>
      </w:pPr>
      <w:r>
        <w:rPr>
          <w:rFonts w:ascii="宋体" w:hAnsi="宋体" w:eastAsia="宋体"/>
          <w:b w:val="0"/>
          <w:sz w:val="22"/>
        </w:rPr>
        <w:t>性质 1：共享校验不形成新的专家混合族，只改变混合权重的参数化。对 g∈[0,1]，将未归一化分子展开为 gDsd+(1−g)Dsm，再分别代入 Z(d)、Z(m)，即可得到式 N-2。Z 为正，因此 g′ 随 g 连续严格递增并覆盖 [0,1]。</w:t>
      </w:r>
    </w:p>
    <w:p>
      <w:pPr>
        <w:keepNext/>
        <w:keepLines/>
        <w:jc w:val="center"/>
      </w:pPr>
      <w:r>
        <w:drawing>
          <wp:inline xmlns:a="http://schemas.openxmlformats.org/drawingml/2006/main" xmlns:pic="http://schemas.openxmlformats.org/drawingml/2006/picture">
            <wp:extent cx="5688000" cy="463038"/>
            <wp:docPr id="76" name="Picture 76"/>
            <wp:cNvGraphicFramePr>
              <a:graphicFrameLocks noChangeAspect="1"/>
            </wp:cNvGraphicFramePr>
            <a:graphic>
              <a:graphicData uri="http://schemas.openxmlformats.org/drawingml/2006/picture">
                <pic:pic>
                  <pic:nvPicPr>
                    <pic:cNvPr id="0" name="capacity_commutation.png"/>
                    <pic:cNvPicPr/>
                  </pic:nvPicPr>
                  <pic:blipFill>
                    <a:blip r:embed="rId89"/>
                    <a:stretch>
                      <a:fillRect/>
                    </a:stretch>
                  </pic:blipFill>
                  <pic:spPr>
                    <a:xfrm>
                      <a:off x="0" y="0"/>
                      <a:ext cx="5688000" cy="463038"/>
                    </a:xfrm>
                    <a:prstGeom prst="rect"/>
                  </pic:spPr>
                </pic:pic>
              </a:graphicData>
            </a:graphic>
          </wp:inline>
        </w:drawing>
      </w:r>
    </w:p>
    <w:p>
      <w:pPr>
        <w:spacing w:after="80"/>
        <w:jc w:val="right"/>
      </w:pPr>
      <w:r>
        <w:rPr>
          <w:rFonts w:ascii="Times New Roman" w:hAnsi="Times New Roman" w:eastAsia="Times New Roman"/>
          <w:b w:val="0"/>
          <w:sz w:val="20"/>
        </w:rPr>
        <w:t>(N-2)</w:t>
      </w:r>
    </w:p>
    <w:p>
      <w:pPr>
        <w:spacing w:after="80" w:line="312" w:lineRule="auto"/>
        <w:ind w:firstLine="420"/>
      </w:pPr>
      <w:r>
        <w:rPr>
          <w:rFonts w:ascii="宋体" w:hAnsi="宋体" w:eastAsia="宋体"/>
          <w:b w:val="0"/>
          <w:sz w:val="22"/>
        </w:rPr>
        <w:t>需要注意，校验后的等效权重 g′ 通常不等于原门控输出 g。若忽略两路归一化因子，会错误解释校验后融合比例。正尺度映射可逆，因而不能将其一般性地描述为不可逆的信息丢失，也不能未经证明宣称其必然收缩所有分歧或 JS 散度。</w:t>
      </w:r>
    </w:p>
    <w:p>
      <w:pPr>
        <w:spacing w:after="80" w:line="312" w:lineRule="auto"/>
        <w:ind w:firstLine="420"/>
      </w:pPr>
      <w:r>
        <w:rPr>
          <w:rFonts w:ascii="宋体" w:hAnsi="宋体" w:eastAsia="宋体"/>
          <w:b w:val="0"/>
          <w:sz w:val="22"/>
        </w:rPr>
        <w:t>性质 2：单向校验只能保持或移除目标预测，不能把原非目标预测提升为目标。若校验后目标获胜，则 spT 不小于任何 pk；由于 s≤1，原 pT 也不小于 pk。采用目标索引优先的固定 argmax 平局规则时，目标预测集合具有包含关系。</w:t>
      </w:r>
    </w:p>
    <w:p>
      <w:pPr>
        <w:keepNext/>
        <w:keepLines/>
        <w:jc w:val="center"/>
      </w:pPr>
      <w:r>
        <w:drawing>
          <wp:inline xmlns:a="http://schemas.openxmlformats.org/drawingml/2006/main" xmlns:pic="http://schemas.openxmlformats.org/drawingml/2006/picture">
            <wp:extent cx="5688000" cy="345925"/>
            <wp:docPr id="77" name="Picture 77"/>
            <wp:cNvGraphicFramePr>
              <a:graphicFrameLocks noChangeAspect="1"/>
            </wp:cNvGraphicFramePr>
            <a:graphic>
              <a:graphicData uri="http://schemas.openxmlformats.org/drawingml/2006/picture">
                <pic:pic>
                  <pic:nvPicPr>
                    <pic:cNvPr id="0" name="capacity_monotonicity.png"/>
                    <pic:cNvPicPr/>
                  </pic:nvPicPr>
                  <pic:blipFill>
                    <a:blip r:embed="rId90"/>
                    <a:stretch>
                      <a:fillRect/>
                    </a:stretch>
                  </pic:blipFill>
                  <pic:spPr>
                    <a:xfrm>
                      <a:off x="0" y="0"/>
                      <a:ext cx="5688000" cy="345925"/>
                    </a:xfrm>
                    <a:prstGeom prst="rect"/>
                  </pic:spPr>
                </pic:pic>
              </a:graphicData>
            </a:graphic>
          </wp:inline>
        </w:drawing>
      </w:r>
    </w:p>
    <w:p>
      <w:pPr>
        <w:spacing w:after="80"/>
        <w:jc w:val="right"/>
      </w:pPr>
      <w:r>
        <w:rPr>
          <w:rFonts w:ascii="Times New Roman" w:hAnsi="Times New Roman" w:eastAsia="Times New Roman"/>
          <w:b w:val="0"/>
          <w:sz w:val="20"/>
        </w:rPr>
        <w:t>(N-3)</w:t>
      </w:r>
    </w:p>
    <w:p>
      <w:pPr>
        <w:spacing w:after="80" w:line="312" w:lineRule="auto"/>
        <w:ind w:firstLine="420"/>
      </w:pPr>
      <w:r>
        <w:rPr>
          <w:rFonts w:ascii="宋体" w:hAnsi="宋体" w:eastAsia="宋体"/>
          <w:b w:val="0"/>
          <w:sz w:val="22"/>
        </w:rPr>
        <w:t>这意味着单向校验后的目标召回及各非目标误入率都不会增加，但总体准确率和 Precision 不具有同样的单调保证。固定融合在拟合集移除 2 张真实目标、3 张假目标；停止集对应为 0 和 4 张。降低误入率必须与真实目标损失一并报告。</w:t>
      </w:r>
    </w:p>
    <w:p>
      <w:r>
        <w:br w:type="page"/>
      </w:r>
    </w:p>
    <w:p>
      <w:pPr>
        <w:pStyle w:val="21"/>
        <w:keepNext/>
        <w:spacing w:before="120" w:after="80"/>
      </w:pPr>
      <w:r>
        <w:rPr>
          <w:rFonts w:ascii="黑体" w:hAnsi="黑体" w:eastAsia="黑体"/>
          <w:b/>
          <w:color w:val="000000"/>
          <w:sz w:val="24"/>
        </w:rPr>
        <w:t>N.3 精确可行区间与路由能力界</w:t>
      </w:r>
    </w:p>
    <w:p>
      <w:pPr>
        <w:spacing w:after="80" w:line="312" w:lineRule="auto"/>
        <w:ind w:firstLine="420"/>
      </w:pPr>
      <w:r>
        <w:rPr>
          <w:rFonts w:ascii="宋体" w:hAnsi="宋体" w:eastAsia="宋体"/>
          <w:b w:val="0"/>
          <w:sz w:val="22"/>
        </w:rPr>
        <w:t>不能只用两端 argmax 的并集判断容量。两个非目标端点若分别偏向不同非目标类别，中间混合仍可能使目标获胜。例如 d=(0.34,0.50,0.08,0.08)、m=(0.34,0.08,0.50,0.08) 的两端都不判为目标，而 g 在约 0.381 至 0.619 之间时目标可以获胜。</w:t>
      </w:r>
    </w:p>
    <w:p>
      <w:pPr>
        <w:keepNext/>
        <w:keepLines/>
        <w:jc w:val="center"/>
      </w:pPr>
      <w:r>
        <w:drawing>
          <wp:inline xmlns:a="http://schemas.openxmlformats.org/drawingml/2006/main" xmlns:pic="http://schemas.openxmlformats.org/drawingml/2006/picture">
            <wp:extent cx="5688000" cy="300808"/>
            <wp:docPr id="78" name="Picture 78"/>
            <wp:cNvGraphicFramePr>
              <a:graphicFrameLocks noChangeAspect="1"/>
            </wp:cNvGraphicFramePr>
            <a:graphic>
              <a:graphicData uri="http://schemas.openxmlformats.org/drawingml/2006/picture">
                <pic:pic>
                  <pic:nvPicPr>
                    <pic:cNvPr id="0" name="capacity_interval.png"/>
                    <pic:cNvPicPr/>
                  </pic:nvPicPr>
                  <pic:blipFill>
                    <a:blip r:embed="rId91"/>
                    <a:stretch>
                      <a:fillRect/>
                    </a:stretch>
                  </pic:blipFill>
                  <pic:spPr>
                    <a:xfrm>
                      <a:off x="0" y="0"/>
                      <a:ext cx="5688000" cy="300808"/>
                    </a:xfrm>
                    <a:prstGeom prst="rect"/>
                  </pic:spPr>
                </pic:pic>
              </a:graphicData>
            </a:graphic>
          </wp:inline>
        </w:drawing>
      </w:r>
    </w:p>
    <w:p>
      <w:pPr>
        <w:spacing w:after="80"/>
        <w:jc w:val="right"/>
      </w:pPr>
      <w:r>
        <w:rPr>
          <w:rFonts w:ascii="Times New Roman" w:hAnsi="Times New Roman" w:eastAsia="Times New Roman"/>
          <w:b w:val="0"/>
          <w:sz w:val="20"/>
        </w:rPr>
        <w:t>(N-4)</w:t>
      </w:r>
    </w:p>
    <w:p>
      <w:pPr>
        <w:spacing w:after="80" w:line="312" w:lineRule="auto"/>
        <w:ind w:firstLine="420"/>
      </w:pPr>
      <w:r>
        <w:rPr>
          <w:rFonts w:ascii="宋体" w:hAnsi="宋体" w:eastAsia="宋体"/>
          <w:b w:val="0"/>
          <w:sz w:val="22"/>
        </w:rPr>
        <w:t>性质 3：目标间隔条件是关于 g 的线性不等式。对每个非目标类别，若 bk&gt;0，则增加下界 (η−ak)/bk；若 bk&lt;0，则降低上界；若 bk=0 且 ak&lt;η，区间为空。与 [0,1] 相交后得到精确闭区间；下界高于上界即为当前两路后验无恢复能力的证书。实现以 float64 计算并检查常数方向。</w:t>
      </w:r>
    </w:p>
    <w:p>
      <w:pPr>
        <w:spacing w:after="80" w:line="312" w:lineRule="auto"/>
        <w:ind w:firstLine="420"/>
      </w:pPr>
      <w:r>
        <w:rPr>
          <w:rFonts w:ascii="宋体" w:hAnsi="宋体" w:eastAsia="宋体"/>
          <w:b w:val="0"/>
          <w:sz w:val="22"/>
        </w:rPr>
        <w:t>q0 为共享校验后的固定平均融合，qφ 为共享校验后的 OOS 门控融合。由性质 1，二者均位于完整校验专家线段上；二者之间的受限线段也必然属于完整线段。定义 Cη 为存在至少 η 目标间隔的图像集合，则得到式 N-5。</w:t>
      </w:r>
    </w:p>
    <w:p>
      <w:pPr>
        <w:keepNext/>
        <w:keepLines/>
        <w:jc w:val="center"/>
      </w:pPr>
      <w:r>
        <w:drawing>
          <wp:inline xmlns:a="http://schemas.openxmlformats.org/drawingml/2006/main" xmlns:pic="http://schemas.openxmlformats.org/drawingml/2006/picture">
            <wp:extent cx="5688000" cy="604630"/>
            <wp:docPr id="79" name="Picture 79"/>
            <wp:cNvGraphicFramePr>
              <a:graphicFrameLocks noChangeAspect="1"/>
            </wp:cNvGraphicFramePr>
            <a:graphic>
              <a:graphicData uri="http://schemas.openxmlformats.org/drawingml/2006/picture">
                <pic:pic>
                  <pic:nvPicPr>
                    <pic:cNvPr id="0" name="capacity_capacity.png"/>
                    <pic:cNvPicPr/>
                  </pic:nvPicPr>
                  <pic:blipFill>
                    <a:blip r:embed="rId92"/>
                    <a:stretch>
                      <a:fillRect/>
                    </a:stretch>
                  </pic:blipFill>
                  <pic:spPr>
                    <a:xfrm>
                      <a:off x="0" y="0"/>
                      <a:ext cx="5688000" cy="604630"/>
                    </a:xfrm>
                    <a:prstGeom prst="rect"/>
                  </pic:spPr>
                </pic:pic>
              </a:graphicData>
            </a:graphic>
          </wp:inline>
        </w:drawing>
      </w:r>
    </w:p>
    <w:p>
      <w:pPr>
        <w:spacing w:after="80"/>
        <w:jc w:val="right"/>
      </w:pPr>
      <w:r>
        <w:rPr>
          <w:rFonts w:ascii="Times New Roman" w:hAnsi="Times New Roman" w:eastAsia="Times New Roman"/>
          <w:b w:val="0"/>
          <w:sz w:val="20"/>
        </w:rPr>
        <w:t>(N-5)</w:t>
      </w:r>
    </w:p>
    <w:p>
      <w:pPr>
        <w:spacing w:after="80" w:line="312" w:lineRule="auto"/>
        <w:ind w:firstLine="420"/>
      </w:pPr>
      <w:r>
        <w:rPr>
          <w:rFonts w:ascii="宋体" w:hAnsi="宋体" w:eastAsia="宋体"/>
          <w:b w:val="0"/>
          <w:sz w:val="22"/>
        </w:rPr>
        <w:t>RecT,η 表示预测目标且类别间隔至少为 η 的真实目标比例。η=0 并采用目标优先平局规则时，对应普通目标召回；本次数值审计使用 η=10⁻⁹，排除极小间隔的数值歧义。容量上界依赖已冻结的两路后验，不能解释为任意神经网络的泛化上界。</w:t>
      </w:r>
    </w:p>
    <w:p>
      <w:pPr>
        <w:spacing w:after="80" w:line="312" w:lineRule="auto"/>
        <w:ind w:firstLine="420"/>
      </w:pPr>
      <w:r>
        <w:rPr>
          <w:rFonts w:ascii="宋体" w:hAnsi="宋体" w:eastAsia="宋体"/>
          <w:b w:val="0"/>
          <w:sz w:val="22"/>
        </w:rPr>
        <w:t>受限校验区间在两个开发子集均没有新增目标恢复空间。完整校验区间在拟合集另有 3 张可达目标，但停止集没有；这不足以支持将双向全区间路由单独作为改进方案。即使校验前放宽完整区间，停止集仍有 21/66 张目标无法恢复，说明部分问题来自专家表示而非门控范围。</w:t>
      </w:r>
    </w:p>
    <w:p>
      <w:pPr>
        <w:spacing w:after="80" w:line="312" w:lineRule="auto"/>
        <w:ind w:firstLine="420"/>
      </w:pPr>
      <w:r>
        <w:rPr>
          <w:rFonts w:ascii="宋体" w:hAnsi="宋体" w:eastAsia="宋体"/>
          <w:b w:val="0"/>
          <w:sz w:val="22"/>
        </w:rPr>
        <w:t>真实数据的等效权重重放最大绝对残差为 2.22e-16，嵌套区间违反数为 0；另以随机种子 20261002 验证 25,000 对 float64 后验，目标集合、区间嵌套及校验间隔约束违反数均为 0。随机数值检查补充代数证明，但不替代分类实验。</w:t>
      </w:r>
    </w:p>
    <w:p>
      <w:r>
        <w:br w:type="page"/>
      </w:r>
    </w:p>
    <w:p>
      <w:pPr>
        <w:pStyle w:val="21"/>
        <w:keepNext/>
        <w:spacing w:before="120" w:after="80"/>
      </w:pPr>
      <w:r>
        <w:rPr>
          <w:rFonts w:ascii="黑体" w:hAnsi="黑体" w:eastAsia="黑体"/>
          <w:b/>
          <w:color w:val="000000"/>
          <w:sz w:val="24"/>
        </w:rPr>
        <w:t>N.4 校验前间隔保护及后续网络研究</w:t>
      </w:r>
    </w:p>
    <w:p>
      <w:pPr>
        <w:spacing w:after="80" w:line="312" w:lineRule="auto"/>
        <w:ind w:firstLine="420"/>
      </w:pPr>
      <w:r>
        <w:rPr>
          <w:rFonts w:ascii="宋体" w:hAnsi="宋体" w:eastAsia="宋体"/>
          <w:b w:val="0"/>
          <w:sz w:val="22"/>
        </w:rPr>
        <w:t>现有 v2 在完整校验之后保护 q0 的锚点，不能直接恢复已被校验抑制的目标。下一阶段可检验将校验可信度与校验前间隔约束耦合。给定候选后验 p，若希望归一化校验后 pT−pk 至少为 δ，整理不等式可得最小尺度条件。</w:t>
      </w:r>
    </w:p>
    <w:p>
      <w:pPr>
        <w:keepNext/>
        <w:keepLines/>
        <w:jc w:val="center"/>
      </w:pPr>
      <w:r>
        <w:drawing>
          <wp:inline xmlns:a="http://schemas.openxmlformats.org/drawingml/2006/main" xmlns:pic="http://schemas.openxmlformats.org/drawingml/2006/picture">
            <wp:extent cx="5688000" cy="517586"/>
            <wp:docPr id="80" name="Picture 80"/>
            <wp:cNvGraphicFramePr>
              <a:graphicFrameLocks noChangeAspect="1"/>
            </wp:cNvGraphicFramePr>
            <a:graphic>
              <a:graphicData uri="http://schemas.openxmlformats.org/drawingml/2006/picture">
                <pic:pic>
                  <pic:nvPicPr>
                    <pic:cNvPr id="0" name="capacity_protected_scale.png"/>
                    <pic:cNvPicPr/>
                  </pic:nvPicPr>
                  <pic:blipFill>
                    <a:blip r:embed="rId93"/>
                    <a:stretch>
                      <a:fillRect/>
                    </a:stretch>
                  </pic:blipFill>
                  <pic:spPr>
                    <a:xfrm>
                      <a:off x="0" y="0"/>
                      <a:ext cx="5688000" cy="517586"/>
                    </a:xfrm>
                    <a:prstGeom prst="rect"/>
                  </pic:spPr>
                </pic:pic>
              </a:graphicData>
            </a:graphic>
          </wp:inline>
        </w:drawing>
      </w:r>
    </w:p>
    <w:p>
      <w:pPr>
        <w:spacing w:after="80"/>
        <w:jc w:val="right"/>
      </w:pPr>
      <w:r>
        <w:rPr>
          <w:rFonts w:ascii="Times New Roman" w:hAnsi="Times New Roman" w:eastAsia="Times New Roman"/>
          <w:b w:val="0"/>
          <w:sz w:val="20"/>
        </w:rPr>
        <w:t>(N-6)</w:t>
      </w:r>
    </w:p>
    <w:p>
      <w:pPr>
        <w:spacing w:after="80" w:line="312" w:lineRule="auto"/>
        <w:ind w:firstLine="420"/>
      </w:pPr>
      <w:r>
        <w:rPr>
          <w:rFonts w:ascii="宋体" w:hAnsi="宋体" w:eastAsia="宋体"/>
          <w:b w:val="0"/>
          <w:sz w:val="22"/>
        </w:rPr>
        <w:t>该条件要求 pT&gt;0、0&lt;δ&lt;1；若 smin&gt;1，则当前候选连不施加校验也不能达到指定间隔。若 smin≤1，可将学习得到的尺度投影至 [smin,1]。这是保持指定预测间隔的解析条件，不保证锚点标签为真；假目标锚点也会被保持。因此不能对所有图像无条件启用保护，更不能把样本级保证等同于真实矿物回收率保证。</w:t>
      </w:r>
    </w:p>
    <w:p>
      <w:pPr>
        <w:spacing w:after="80" w:line="312" w:lineRule="auto"/>
        <w:ind w:firstLine="420"/>
      </w:pPr>
      <w:r>
        <w:rPr>
          <w:rFonts w:ascii="宋体" w:hAnsi="宋体" w:eastAsia="宋体"/>
          <w:b w:val="0"/>
          <w:sz w:val="22"/>
        </w:rPr>
        <w:t>后续实验先固定专家并比较校验关闭、固定强度、开发集标定强度和学习可信度四种对照；确认收益确实来自逐图可信度而非简单减弱校验。只有该对照通过，才结合完整路由与解析可行域开展网络实验，并将预算头、间隔保护和可信度门逐项消融。若专家容量仍不足，则需要学习互补的目标—难负样本残差表示，而不是再叠加仅改变后验混合比例的门。</w:t>
      </w:r>
    </w:p>
    <w:p>
      <w:pPr>
        <w:spacing w:after="80" w:line="312" w:lineRule="auto"/>
        <w:ind w:firstLine="420"/>
      </w:pPr>
      <w:r>
        <w:rPr>
          <w:rFonts w:ascii="宋体" w:hAnsi="宋体" w:eastAsia="宋体"/>
          <w:b w:val="0"/>
          <w:sz w:val="22"/>
        </w:rPr>
        <w:t>方案进入独立确证前，应在 Fold 0 内冻结损失、超参数、锚点选择及失败判据；不得以 Fold 1/2 的结果反复改结构。评价同时包含 Macro F1、NLL、目标召回、两类难负样本误入率、真实及假锚点保持情况、约束激活率和参数量，并与同容量、同预算对照比较。当前方法尚无新模型性能结果。</w:t>
      </w:r>
    </w:p>
    <w:p>
      <w:pPr>
        <w:spacing w:after="80" w:line="312" w:lineRule="auto"/>
        <w:ind w:firstLine="420"/>
      </w:pPr>
      <w:r>
        <w:rPr>
          <w:rFonts w:ascii="宋体" w:hAnsi="宋体" w:eastAsia="宋体"/>
          <w:b w:val="0"/>
          <w:sz w:val="22"/>
        </w:rPr>
        <w:t>理论贡献的定位是将候选可行域、校验的单向性和约束位置统一用于矿物网络的可证伪设计，而非宣称首次提出凸投影、层级学习或代价敏感分类。2026 年 ICML 的 Design Linear Constrained Neural Layers with Implicit Convex Optimization 已研究线性约束神经层；2026 年 CVPR 的 Every Error has Its Magnitude 已研究非对称错误严重程度和层级一致性。本次核验为官方论文摘要级查新，尚未完成与具体实现的全文对照。</w:t>
      </w:r>
    </w:p>
    <w:p>
      <w:pPr>
        <w:spacing w:after="80" w:line="312" w:lineRule="auto"/>
        <w:ind w:firstLine="420"/>
      </w:pPr>
      <w:r>
        <w:rPr>
          <w:rFonts w:ascii="宋体" w:hAnsi="宋体" w:eastAsia="宋体"/>
          <w:b w:val="0"/>
          <w:sz w:val="22"/>
        </w:rPr>
        <w:t>参考入口：Yan 等，ICML 2026，https://proceedings.mlr.press/v306/yan26m.html；Hong 等，CVPR 2026，https://openaccess.thecvf.com/content/CVPR2026/html/Hong_Every_Error_has_Its_Magnitude_Asymmetric_Mistake_Severity_Training_for_CVPR_2026_paper.html。复现证据包括 audit_summary.json、逐图后验、routing_evidence.csv、geometry_properties.json 及图 N-1 的源数据。</w:t>
      </w:r>
    </w:p>
    <w:sectPr w:rsidR="00B8619C" w:rsidSect="00034616">
      <w:headerReference w:type="default" r:id="rId25"/>
      <w:footerReference w:type="default" r:id="rId26"/>
      <w:pgSz w:w="11906" w:h="16838"/>
      <w:pgMar w:top="1304" w:right="1304" w:bottom="1247" w:left="1417" w:header="624"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02870" w14:textId="77777777" w:rsidR="00DE105D" w:rsidRDefault="00DE105D">
      <w:pPr>
        <w:spacing w:after="0" w:line="240" w:lineRule="auto"/>
      </w:pPr>
      <w:r>
        <w:separator/>
      </w:r>
    </w:p>
  </w:endnote>
  <w:endnote w:type="continuationSeparator" w:id="0">
    <w:p w14:paraId="5DB71164" w14:textId="77777777" w:rsidR="00DE105D" w:rsidRDefault="00DE1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9B174" w14:textId="77777777" w:rsidR="00B8619C" w:rsidRDefault="00000000">
    <w:pPr>
      <w:pStyle w:val="a7"/>
      <w:jc w:val="center"/>
    </w:pPr>
    <w:r>
      <w:rPr>
        <w:sz w:val="18"/>
      </w:rPr>
      <w:t>第</w:t>
    </w:r>
    <w:r>
      <w:rPr>
        <w:sz w:val="18"/>
      </w:rPr>
      <w:t xml:space="preserve"> </w:t>
    </w:r>
    <w:r>
      <w:fldChar w:fldCharType="begin"/>
    </w:r>
    <w:r>
      <w:instrText>PAGE</w:instrText>
    </w:r>
    <w:r>
      <w:fldChar w:fldCharType="separate"/>
    </w:r>
    <w:r>
      <w:t>1</w:t>
    </w:r>
    <w:r>
      <w:fldChar w:fldCharType="end"/>
    </w:r>
    <w:r>
      <w:rPr>
        <w:sz w:val="18"/>
      </w:rPr>
      <w:t xml:space="preserve"> </w:t>
    </w:r>
    <w:r>
      <w:rPr>
        <w:sz w:val="18"/>
      </w:rPr>
      <w:t>页</w:t>
    </w:r>
    <w:r>
      <w:rPr>
        <w:sz w:val="18"/>
      </w:rPr>
      <w:t xml:space="preserve"> / </w:t>
    </w:r>
    <w:r>
      <w:rPr>
        <w:sz w:val="18"/>
      </w:rPr>
      <w:t>共</w:t>
    </w:r>
    <w:r>
      <w:rPr>
        <w:sz w:val="18"/>
      </w:rPr>
      <w:t xml:space="preserve"> </w:t>
    </w:r>
    <w:r>
      <w:fldChar w:fldCharType="begin"/>
    </w:r>
    <w:r>
      <w:instrText>NUMPAGES</w:instrText>
    </w:r>
    <w:r>
      <w:fldChar w:fldCharType="separate"/>
    </w:r>
    <w:r>
      <w:t>1</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7D9A6" w14:textId="77777777" w:rsidR="00DE105D" w:rsidRDefault="00DE105D">
      <w:pPr>
        <w:spacing w:after="0" w:line="240" w:lineRule="auto"/>
      </w:pPr>
      <w:r>
        <w:separator/>
      </w:r>
    </w:p>
  </w:footnote>
  <w:footnote w:type="continuationSeparator" w:id="0">
    <w:p w14:paraId="48E54E40" w14:textId="77777777" w:rsidR="00DE105D" w:rsidRDefault="00DE10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6F828" w14:textId="77777777" w:rsidR="00B8619C" w:rsidRDefault="00000000">
    <w:pPr>
      <w:pStyle w:val="a5"/>
      <w:jc w:val="center"/>
    </w:pPr>
    <w:r>
      <w:rPr>
        <w:color w:val="646464"/>
        <w:sz w:val="18"/>
      </w:rPr>
      <w:t>钒钛关键战略材料四川省重点实验室开放项目技术报告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5324300">
    <w:abstractNumId w:val="8"/>
  </w:num>
  <w:num w:numId="2" w16cid:durableId="1244683474">
    <w:abstractNumId w:val="6"/>
  </w:num>
  <w:num w:numId="3" w16cid:durableId="2123063093">
    <w:abstractNumId w:val="5"/>
  </w:num>
  <w:num w:numId="4" w16cid:durableId="2074348796">
    <w:abstractNumId w:val="4"/>
  </w:num>
  <w:num w:numId="5" w16cid:durableId="315187475">
    <w:abstractNumId w:val="7"/>
  </w:num>
  <w:num w:numId="6" w16cid:durableId="1458329061">
    <w:abstractNumId w:val="3"/>
  </w:num>
  <w:num w:numId="7" w16cid:durableId="1454858978">
    <w:abstractNumId w:val="2"/>
  </w:num>
  <w:num w:numId="8" w16cid:durableId="1502162900">
    <w:abstractNumId w:val="1"/>
  </w:num>
  <w:num w:numId="9" w16cid:durableId="1364553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BF2"/>
    <w:rsid w:val="0015074B"/>
    <w:rsid w:val="0029639D"/>
    <w:rsid w:val="00326F90"/>
    <w:rsid w:val="00AA1D8D"/>
    <w:rsid w:val="00B47730"/>
    <w:rsid w:val="00B8619C"/>
    <w:rsid w:val="00CB0664"/>
    <w:rsid w:val="00D2655D"/>
    <w:rsid w:val="00DE10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C83A31"/>
  <w14:defaultImageDpi w14:val="300"/>
  <w15:docId w15:val="{883BA0A2-B4AD-4063-A57E-61F80A1A234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36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120" w:after="80"/>
      <w:outlineLvl w:val="1"/>
    </w:pPr>
    <w:rPr>
      <w:rFonts w:asciiTheme="majorHAnsi" w:eastAsiaTheme="majorEastAsia" w:hAnsiTheme="majorHAnsi" w:cstheme="majorBidi"/>
      <w:b/>
      <w:bCs/>
      <w:color w:val="1F4E79"/>
      <w:sz w:val="27"/>
      <w:szCs w:val="26"/>
    </w:rPr>
  </w:style>
  <w:style w:type="paragraph" w:styleId="31">
    <w:name w:val="heading 3"/>
    <w:basedOn w:val="a1"/>
    <w:next w:val="a1"/>
    <w:link w:val="32"/>
    <w:uiPriority w:val="9"/>
    <w:unhideWhenUsed/>
    <w:qFormat/>
    <w:rsid w:val="00FC693F"/>
    <w:pPr>
      <w:keepNext/>
      <w:keepLines/>
      <w:spacing w:before="120" w:after="80"/>
      <w:outlineLvl w:val="2"/>
    </w:pPr>
    <w:rPr>
      <w:rFonts w:asciiTheme="majorHAnsi" w:eastAsiaTheme="majorEastAsia" w:hAnsiTheme="majorHAnsi" w:cstheme="majorBidi"/>
      <w:b/>
      <w:bCs/>
      <w:color w:val="00000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 Id="rId78" Type="http://schemas.openxmlformats.org/officeDocument/2006/relationships/image" Target="media/image67.png"/><Relationship Id="rId79" Type="http://schemas.openxmlformats.org/officeDocument/2006/relationships/image" Target="media/image68.png"/><Relationship Id="rId80" Type="http://schemas.openxmlformats.org/officeDocument/2006/relationships/image" Target="media/image69.png"/><Relationship Id="rId81" Type="http://schemas.openxmlformats.org/officeDocument/2006/relationships/image" Target="media/image70.png"/><Relationship Id="rId82" Type="http://schemas.openxmlformats.org/officeDocument/2006/relationships/image" Target="media/image71.png"/><Relationship Id="rId83" Type="http://schemas.openxmlformats.org/officeDocument/2006/relationships/image" Target="media/image72.png"/><Relationship Id="rId84" Type="http://schemas.openxmlformats.org/officeDocument/2006/relationships/image" Target="media/image73.png"/><Relationship Id="rId85" Type="http://schemas.openxmlformats.org/officeDocument/2006/relationships/image" Target="media/image74.png"/><Relationship Id="rId86" Type="http://schemas.openxmlformats.org/officeDocument/2006/relationships/image" Target="media/image75.png"/><Relationship Id="rId87" Type="http://schemas.openxmlformats.org/officeDocument/2006/relationships/image" Target="media/image76.png"/><Relationship Id="rId88" Type="http://schemas.openxmlformats.org/officeDocument/2006/relationships/image" Target="media/image77.png"/><Relationship Id="rId89" Type="http://schemas.openxmlformats.org/officeDocument/2006/relationships/image" Target="media/image78.png"/><Relationship Id="rId90" Type="http://schemas.openxmlformats.org/officeDocument/2006/relationships/image" Target="media/image79.png"/><Relationship Id="rId91" Type="http://schemas.openxmlformats.org/officeDocument/2006/relationships/image" Target="media/image80.png"/><Relationship Id="rId92" Type="http://schemas.openxmlformats.org/officeDocument/2006/relationships/image" Target="media/image81.png"/><Relationship Id="rId93"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3590</Words>
  <Characters>20467</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基于深度学习的钒钛矿相关矿物图像识别方法研究——技术报告（修订稿）</dc:title>
  <dc:subject>钒钛矿相关矿物图像识别技术报告</dc:subject>
  <dc:creator>python-docx</dc:creator>
  <cp:keywords/>
  <dc:description>依据代码审查与技术报告评审意见修订：统一KL方向、降调逻辑验证与选择性识别结论、补充研究现状和后续工作。</dc:description>
  <cp:lastModifiedBy>xiaobo wang</cp:lastModifiedBy>
  <cp:revision>2</cp:revision>
  <dcterms:created xsi:type="dcterms:W3CDTF">2013-12-23T23:15:00Z</dcterms:created>
  <dcterms:modified xsi:type="dcterms:W3CDTF">2026-08-02T09:22:00Z</dcterms:modified>
  <cp:category/>
</cp:coreProperties>
</file>