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本次修订把方法贡献限定为相互衔接且可证伪的四层结构：其一，固定种类--角色映射把 17 类矿物种类后验聚合为四角色后验，并限定其只服务于公开标本图像的视觉角色识别；其二，KL 一致性通过 Pinsker 不等式控制直接角色头与种类映射头的分布差异；其三，RSG-HRGV 以直接角色专家和种类映射专家的真实类对数损失差构造软最优门控目标，并以差距权重训练门控。定理 B.1--B.3 分别给出门控误差的路由后悔上界、软目标对硬最优门控的指数逼近和后悔分支的局部梯度隔离。固定测试与摄影者留出确认均支持所定义平均路由后悔下降，但不构成总体分类性能优势；其四，M-RPG 的容量归一化、单调门控和凸融合性质作为理论扩展保留，五随机种子扩展未确认稳定经验增益。来源留出、代理消融及上述负结果共同限定这些结论的适用边界。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p>
      <w:pPr>
        <w:pStyle w:val="1"/>
      </w:pPr>
      <w:r>
        <w:t>附录 G M-RPG-HRGV 五随机种子扩展验证</w:t>
      </w:r>
    </w:p>
    <w:p>
      <w:pPr>
        <w:pStyle w:val="21"/>
      </w:pPr>
      <w:r>
        <w:t>G.1 预注册的两随机种子扩展</w:t>
      </w:r>
    </w:p>
    <w:p>
      <w:pPr>
        <w:spacing w:line="360" w:lineRule="auto"/>
      </w:pPr>
      <w:r>
        <w:rPr>
          <w:rFonts w:ascii="宋体" w:hAnsi="宋体" w:eastAsia="宋体"/>
          <w:sz w:val="21"/>
        </w:rPr>
        <w:t>为检验三随机种子观察到的目标类召回趋势是否稳健，在不改变固定数据划分、ImageNet 预训练 EfficientNet-B0 主干、RSG 残差验证器、优化器、图像增强、训练预算和 M-RPG 公式的前提下，预先登记新增随机种子 20260730 与 20260731。该附录将新增两次训练与原三次正式训练合并为五随机种子比较；它是扩展验证，不替代附录 F 的直接组件消融。</w:t>
      </w:r>
    </w:p>
    <w:tbl>
      <w:tblPr>
        <w:tblStyle w:val="aff1"/>
        <w:tblW w:type="auto" w:w="0"/>
        <w:tblLook w:firstColumn="1" w:firstRow="1" w:lastColumn="0" w:lastRow="0" w:noHBand="0" w:noVBand="1" w:val="04A0"/>
      </w:tblPr>
      <w:tblGrid>
        <w:gridCol w:w="1312"/>
        <w:gridCol w:w="1312"/>
        <w:gridCol w:w="1312"/>
        <w:gridCol w:w="1312"/>
        <w:gridCol w:w="1312"/>
        <w:gridCol w:w="1312"/>
        <w:gridCol w:w="1312"/>
      </w:tblGrid>
      <w:tr>
        <w:tc>
          <w:tcPr>
            <w:tcW w:type="dxa" w:w="1312"/>
          </w:tcPr>
          <w:p>
            <w:pPr>
              <w:jc w:val="center"/>
            </w:pPr>
            <w:r>
              <w:rPr>
                <w:rFonts w:ascii="宋体" w:hAnsi="宋体" w:eastAsia="宋体"/>
                <w:b/>
                <w:sz w:val="17"/>
              </w:rPr>
              <w:t>配置</w:t>
            </w:r>
          </w:p>
        </w:tc>
        <w:tc>
          <w:tcPr>
            <w:tcW w:type="dxa" w:w="1312"/>
          </w:tcPr>
          <w:p>
            <w:pPr>
              <w:jc w:val="center"/>
            </w:pPr>
            <w:r>
              <w:rPr>
                <w:rFonts w:ascii="宋体" w:hAnsi="宋体" w:eastAsia="宋体"/>
                <w:b/>
                <w:sz w:val="17"/>
              </w:rPr>
              <w:t>Macro F1</w:t>
            </w:r>
          </w:p>
        </w:tc>
        <w:tc>
          <w:tcPr>
            <w:tcW w:type="dxa" w:w="1312"/>
          </w:tcPr>
          <w:p>
            <w:pPr>
              <w:jc w:val="center"/>
            </w:pPr>
            <w:r>
              <w:rPr>
                <w:rFonts w:ascii="宋体" w:hAnsi="宋体" w:eastAsia="宋体"/>
                <w:b/>
                <w:sz w:val="17"/>
              </w:rPr>
              <w:t>目标类召回</w:t>
            </w:r>
          </w:p>
        </w:tc>
        <w:tc>
          <w:tcPr>
            <w:tcW w:type="dxa" w:w="1312"/>
          </w:tcPr>
          <w:p>
            <w:pPr>
              <w:jc w:val="center"/>
            </w:pPr>
            <w:r>
              <w:rPr>
                <w:rFonts w:ascii="宋体" w:hAnsi="宋体" w:eastAsia="宋体"/>
                <w:b/>
                <w:sz w:val="17"/>
              </w:rPr>
              <w:t>含钛类误入目标</w:t>
            </w:r>
          </w:p>
        </w:tc>
        <w:tc>
          <w:tcPr>
            <w:tcW w:type="dxa" w:w="1312"/>
          </w:tcPr>
          <w:p>
            <w:pPr>
              <w:jc w:val="center"/>
            </w:pPr>
            <w:r>
              <w:rPr>
                <w:rFonts w:ascii="宋体" w:hAnsi="宋体" w:eastAsia="宋体"/>
                <w:b/>
                <w:sz w:val="17"/>
              </w:rPr>
              <w:t>金属光泽类误入目标</w:t>
            </w:r>
          </w:p>
        </w:tc>
        <w:tc>
          <w:tcPr>
            <w:tcW w:type="dxa" w:w="1312"/>
          </w:tcPr>
          <w:p>
            <w:pPr>
              <w:jc w:val="center"/>
            </w:pPr>
            <w:r>
              <w:rPr>
                <w:rFonts w:ascii="宋体" w:hAnsi="宋体" w:eastAsia="宋体"/>
                <w:b/>
                <w:sz w:val="17"/>
              </w:rPr>
              <w:t>Brier</w:t>
            </w:r>
          </w:p>
        </w:tc>
        <w:tc>
          <w:tcPr>
            <w:tcW w:type="dxa" w:w="1312"/>
          </w:tcPr>
          <w:p>
            <w:pPr>
              <w:jc w:val="center"/>
            </w:pPr>
            <w:r>
              <w:rPr>
                <w:rFonts w:ascii="宋体" w:hAnsi="宋体" w:eastAsia="宋体"/>
                <w:b/>
                <w:sz w:val="17"/>
              </w:rPr>
              <w:t>ECE</w:t>
            </w:r>
          </w:p>
        </w:tc>
      </w:tr>
      <w:tr>
        <w:tc>
          <w:tcPr>
            <w:tcW w:type="dxa" w:w="1312"/>
          </w:tcPr>
          <w:p>
            <w:pPr>
              <w:jc w:val="center"/>
            </w:pPr>
            <w:r>
              <w:rPr>
                <w:rFonts w:ascii="宋体" w:hAnsi="宋体" w:eastAsia="宋体"/>
                <w:b w:val="0"/>
                <w:sz w:val="17"/>
              </w:rPr>
              <w:t>RSG 完整模型</w:t>
            </w:r>
          </w:p>
        </w:tc>
        <w:tc>
          <w:tcPr>
            <w:tcW w:type="dxa" w:w="1312"/>
          </w:tcPr>
          <w:p>
            <w:pPr>
              <w:jc w:val="center"/>
            </w:pPr>
            <w:r>
              <w:rPr>
                <w:rFonts w:ascii="宋体" w:hAnsi="宋体" w:eastAsia="宋体"/>
                <w:b w:val="0"/>
                <w:sz w:val="17"/>
              </w:rPr>
              <w:t>74.01%</w:t>
            </w:r>
          </w:p>
        </w:tc>
        <w:tc>
          <w:tcPr>
            <w:tcW w:type="dxa" w:w="1312"/>
          </w:tcPr>
          <w:p>
            <w:pPr>
              <w:jc w:val="center"/>
            </w:pPr>
            <w:r>
              <w:rPr>
                <w:rFonts w:ascii="宋体" w:hAnsi="宋体" w:eastAsia="宋体"/>
                <w:b w:val="0"/>
                <w:sz w:val="17"/>
              </w:rPr>
              <w:t>72.35%</w:t>
            </w:r>
          </w:p>
        </w:tc>
        <w:tc>
          <w:tcPr>
            <w:tcW w:type="dxa" w:w="1312"/>
          </w:tcPr>
          <w:p>
            <w:pPr>
              <w:jc w:val="center"/>
            </w:pPr>
            <w:r>
              <w:rPr>
                <w:rFonts w:ascii="宋体" w:hAnsi="宋体" w:eastAsia="宋体"/>
                <w:b w:val="0"/>
                <w:sz w:val="17"/>
              </w:rPr>
              <w:t>9.04%</w:t>
            </w:r>
          </w:p>
        </w:tc>
        <w:tc>
          <w:tcPr>
            <w:tcW w:type="dxa" w:w="1312"/>
          </w:tcPr>
          <w:p>
            <w:pPr>
              <w:jc w:val="center"/>
            </w:pPr>
            <w:r>
              <w:rPr>
                <w:rFonts w:ascii="宋体" w:hAnsi="宋体" w:eastAsia="宋体"/>
                <w:b w:val="0"/>
                <w:sz w:val="17"/>
              </w:rPr>
              <w:t>11.82%</w:t>
            </w:r>
          </w:p>
        </w:tc>
        <w:tc>
          <w:tcPr>
            <w:tcW w:type="dxa" w:w="1312"/>
          </w:tcPr>
          <w:p>
            <w:pPr>
              <w:jc w:val="center"/>
            </w:pPr>
            <w:r>
              <w:rPr>
                <w:rFonts w:ascii="宋体" w:hAnsi="宋体" w:eastAsia="宋体"/>
                <w:b w:val="0"/>
                <w:sz w:val="17"/>
              </w:rPr>
              <w:t>37.65%</w:t>
            </w:r>
          </w:p>
        </w:tc>
        <w:tc>
          <w:tcPr>
            <w:tcW w:type="dxa" w:w="1312"/>
          </w:tcPr>
          <w:p>
            <w:pPr>
              <w:jc w:val="center"/>
            </w:pPr>
            <w:r>
              <w:rPr>
                <w:rFonts w:ascii="宋体" w:hAnsi="宋体" w:eastAsia="宋体"/>
                <w:b w:val="0"/>
                <w:sz w:val="17"/>
              </w:rPr>
              <w:t>13.54%</w:t>
            </w:r>
          </w:p>
        </w:tc>
      </w:tr>
      <w:tr>
        <w:tc>
          <w:tcPr>
            <w:tcW w:type="dxa" w:w="1312"/>
          </w:tcPr>
          <w:p>
            <w:pPr>
              <w:jc w:val="center"/>
            </w:pPr>
            <w:r>
              <w:rPr>
                <w:rFonts w:ascii="宋体" w:hAnsi="宋体" w:eastAsia="宋体"/>
                <w:b w:val="0"/>
                <w:sz w:val="17"/>
              </w:rPr>
              <w:t>M-RPG 完整模型</w:t>
            </w:r>
          </w:p>
        </w:tc>
        <w:tc>
          <w:tcPr>
            <w:tcW w:type="dxa" w:w="1312"/>
          </w:tcPr>
          <w:p>
            <w:pPr>
              <w:jc w:val="center"/>
            </w:pPr>
            <w:r>
              <w:rPr>
                <w:rFonts w:ascii="宋体" w:hAnsi="宋体" w:eastAsia="宋体"/>
                <w:b w:val="0"/>
                <w:sz w:val="17"/>
              </w:rPr>
              <w:t>74.03%</w:t>
            </w:r>
          </w:p>
        </w:tc>
        <w:tc>
          <w:tcPr>
            <w:tcW w:type="dxa" w:w="1312"/>
          </w:tcPr>
          <w:p>
            <w:pPr>
              <w:jc w:val="center"/>
            </w:pPr>
            <w:r>
              <w:rPr>
                <w:rFonts w:ascii="宋体" w:hAnsi="宋体" w:eastAsia="宋体"/>
                <w:b w:val="0"/>
                <w:sz w:val="17"/>
              </w:rPr>
              <w:t>73.47%</w:t>
            </w:r>
          </w:p>
        </w:tc>
        <w:tc>
          <w:tcPr>
            <w:tcW w:type="dxa" w:w="1312"/>
          </w:tcPr>
          <w:p>
            <w:pPr>
              <w:jc w:val="center"/>
            </w:pPr>
            <w:r>
              <w:rPr>
                <w:rFonts w:ascii="宋体" w:hAnsi="宋体" w:eastAsia="宋体"/>
                <w:b w:val="0"/>
                <w:sz w:val="17"/>
              </w:rPr>
              <w:t>9.45%</w:t>
            </w:r>
          </w:p>
        </w:tc>
        <w:tc>
          <w:tcPr>
            <w:tcW w:type="dxa" w:w="1312"/>
          </w:tcPr>
          <w:p>
            <w:pPr>
              <w:jc w:val="center"/>
            </w:pPr>
            <w:r>
              <w:rPr>
                <w:rFonts w:ascii="宋体" w:hAnsi="宋体" w:eastAsia="宋体"/>
                <w:b w:val="0"/>
                <w:sz w:val="17"/>
              </w:rPr>
              <w:t>10.34%</w:t>
            </w:r>
          </w:p>
        </w:tc>
        <w:tc>
          <w:tcPr>
            <w:tcW w:type="dxa" w:w="1312"/>
          </w:tcPr>
          <w:p>
            <w:pPr>
              <w:jc w:val="center"/>
            </w:pPr>
            <w:r>
              <w:rPr>
                <w:rFonts w:ascii="宋体" w:hAnsi="宋体" w:eastAsia="宋体"/>
                <w:b w:val="0"/>
                <w:sz w:val="17"/>
              </w:rPr>
              <w:t>37.69%</w:t>
            </w:r>
          </w:p>
        </w:tc>
        <w:tc>
          <w:tcPr>
            <w:tcW w:type="dxa" w:w="1312"/>
          </w:tcPr>
          <w:p>
            <w:pPr>
              <w:jc w:val="center"/>
            </w:pPr>
            <w:r>
              <w:rPr>
                <w:rFonts w:ascii="宋体" w:hAnsi="宋体" w:eastAsia="宋体"/>
                <w:b w:val="0"/>
                <w:sz w:val="17"/>
              </w:rPr>
              <w:t>13.46%</w:t>
            </w:r>
          </w:p>
        </w:tc>
      </w:tr>
    </w:tbl>
    <w:p/>
    <w:p>
      <w:pPr>
        <w:pStyle w:val="21"/>
      </w:pPr>
      <w:r>
        <w:t>G.2 成对区间与证据边界</w:t>
      </w:r>
    </w:p>
    <w:tbl>
      <w:tblPr>
        <w:tblStyle w:val="aff1"/>
        <w:tblW w:type="auto" w:w="0"/>
        <w:tblLook w:firstColumn="1" w:firstRow="1" w:lastColumn="0" w:lastRow="0" w:noHBand="0" w:noVBand="1" w:val="04A0"/>
      </w:tblPr>
      <w:tblGrid>
        <w:gridCol w:w="4592"/>
        <w:gridCol w:w="4592"/>
      </w:tblGrid>
      <w:tr>
        <w:tc>
          <w:tcPr>
            <w:tcW w:type="dxa" w:w="4592"/>
          </w:tcPr>
          <w:p>
            <w:pPr>
              <w:jc w:val="center"/>
            </w:pPr>
            <w:r>
              <w:rPr>
                <w:rFonts w:ascii="宋体" w:hAnsi="宋体" w:eastAsia="宋体"/>
                <w:b/>
                <w:sz w:val="17"/>
              </w:rPr>
              <w:t>M-RPG 减 RSG</w:t>
            </w:r>
          </w:p>
        </w:tc>
        <w:tc>
          <w:tcPr>
            <w:tcW w:type="dxa" w:w="4592"/>
          </w:tcPr>
          <w:p>
            <w:pPr>
              <w:jc w:val="center"/>
            </w:pPr>
            <w:r>
              <w:rPr>
                <w:rFonts w:ascii="宋体" w:hAnsi="宋体" w:eastAsia="宋体"/>
                <w:b/>
                <w:sz w:val="17"/>
              </w:rPr>
              <w:t>差值 [95% CI]</w:t>
            </w:r>
          </w:p>
        </w:tc>
      </w:tr>
      <w:tr>
        <w:tc>
          <w:tcPr>
            <w:tcW w:type="dxa" w:w="4592"/>
          </w:tcPr>
          <w:p>
            <w:pPr>
              <w:jc w:val="center"/>
            </w:pPr>
            <w:r>
              <w:rPr>
                <w:rFonts w:ascii="宋体" w:hAnsi="宋体" w:eastAsia="宋体"/>
                <w:b w:val="0"/>
                <w:sz w:val="17"/>
              </w:rPr>
              <w:t>Macro F1</w:t>
            </w:r>
          </w:p>
        </w:tc>
        <w:tc>
          <w:tcPr>
            <w:tcW w:type="dxa" w:w="4592"/>
          </w:tcPr>
          <w:p>
            <w:pPr>
              <w:jc w:val="center"/>
            </w:pPr>
            <w:r>
              <w:rPr>
                <w:rFonts w:ascii="宋体" w:hAnsi="宋体" w:eastAsia="宋体"/>
                <w:b w:val="0"/>
                <w:sz w:val="17"/>
              </w:rPr>
              <w:t>0.02% [-1.44%, 1.49%]</w:t>
            </w:r>
          </w:p>
        </w:tc>
      </w:tr>
      <w:tr>
        <w:tc>
          <w:tcPr>
            <w:tcW w:type="dxa" w:w="4592"/>
          </w:tcPr>
          <w:p>
            <w:pPr>
              <w:jc w:val="center"/>
            </w:pPr>
            <w:r>
              <w:rPr>
                <w:rFonts w:ascii="宋体" w:hAnsi="宋体" w:eastAsia="宋体"/>
                <w:b w:val="0"/>
                <w:sz w:val="17"/>
              </w:rPr>
              <w:t>目标类召回</w:t>
            </w:r>
          </w:p>
        </w:tc>
        <w:tc>
          <w:tcPr>
            <w:tcW w:type="dxa" w:w="4592"/>
          </w:tcPr>
          <w:p>
            <w:pPr>
              <w:jc w:val="center"/>
            </w:pPr>
            <w:r>
              <w:rPr>
                <w:rFonts w:ascii="宋体" w:hAnsi="宋体" w:eastAsia="宋体"/>
                <w:b w:val="0"/>
                <w:sz w:val="17"/>
              </w:rPr>
              <w:t>1.12% [-1.83%, 3.90%]</w:t>
            </w:r>
          </w:p>
        </w:tc>
      </w:tr>
      <w:tr>
        <w:tc>
          <w:tcPr>
            <w:tcW w:type="dxa" w:w="4592"/>
          </w:tcPr>
          <w:p>
            <w:pPr>
              <w:jc w:val="center"/>
            </w:pPr>
            <w:r>
              <w:rPr>
                <w:rFonts w:ascii="宋体" w:hAnsi="宋体" w:eastAsia="宋体"/>
                <w:b w:val="0"/>
                <w:sz w:val="17"/>
              </w:rPr>
              <w:t>含钛类误入目标</w:t>
            </w:r>
          </w:p>
        </w:tc>
        <w:tc>
          <w:tcPr>
            <w:tcW w:type="dxa" w:w="4592"/>
          </w:tcPr>
          <w:p>
            <w:pPr>
              <w:jc w:val="center"/>
            </w:pPr>
            <w:r>
              <w:rPr>
                <w:rFonts w:ascii="宋体" w:hAnsi="宋体" w:eastAsia="宋体"/>
                <w:b w:val="0"/>
                <w:sz w:val="17"/>
              </w:rPr>
              <w:t>0.41% [-1.79%, 2.81%]</w:t>
            </w:r>
          </w:p>
        </w:tc>
      </w:tr>
      <w:tr>
        <w:tc>
          <w:tcPr>
            <w:tcW w:type="dxa" w:w="4592"/>
          </w:tcPr>
          <w:p>
            <w:pPr>
              <w:jc w:val="center"/>
            </w:pPr>
            <w:r>
              <w:rPr>
                <w:rFonts w:ascii="宋体" w:hAnsi="宋体" w:eastAsia="宋体"/>
                <w:b w:val="0"/>
                <w:sz w:val="17"/>
              </w:rPr>
              <w:t>金属光泽类误入目标</w:t>
            </w:r>
          </w:p>
        </w:tc>
        <w:tc>
          <w:tcPr>
            <w:tcW w:type="dxa" w:w="4592"/>
          </w:tcPr>
          <w:p>
            <w:pPr>
              <w:jc w:val="center"/>
            </w:pPr>
            <w:r>
              <w:rPr>
                <w:rFonts w:ascii="宋体" w:hAnsi="宋体" w:eastAsia="宋体"/>
                <w:b w:val="0"/>
                <w:sz w:val="17"/>
              </w:rPr>
              <w:t>-1.48% [-5.34%, 2.16%]</w:t>
            </w:r>
          </w:p>
        </w:tc>
      </w:tr>
      <w:tr>
        <w:tc>
          <w:tcPr>
            <w:tcW w:type="dxa" w:w="4592"/>
          </w:tcPr>
          <w:p>
            <w:pPr>
              <w:jc w:val="center"/>
            </w:pPr>
            <w:r>
              <w:rPr>
                <w:rFonts w:ascii="宋体" w:hAnsi="宋体" w:eastAsia="宋体"/>
                <w:b w:val="0"/>
                <w:sz w:val="17"/>
              </w:rPr>
              <w:t>Brier</w:t>
            </w:r>
          </w:p>
        </w:tc>
        <w:tc>
          <w:tcPr>
            <w:tcW w:type="dxa" w:w="4592"/>
          </w:tcPr>
          <w:p>
            <w:pPr>
              <w:jc w:val="center"/>
            </w:pPr>
            <w:r>
              <w:rPr>
                <w:rFonts w:ascii="宋体" w:hAnsi="宋体" w:eastAsia="宋体"/>
                <w:b w:val="0"/>
                <w:sz w:val="17"/>
              </w:rPr>
              <w:t>0.04% [-1.94%, 1.94%]</w:t>
            </w:r>
          </w:p>
        </w:tc>
      </w:tr>
      <w:tr>
        <w:tc>
          <w:tcPr>
            <w:tcW w:type="dxa" w:w="4592"/>
          </w:tcPr>
          <w:p>
            <w:pPr>
              <w:jc w:val="center"/>
            </w:pPr>
            <w:r>
              <w:rPr>
                <w:rFonts w:ascii="宋体" w:hAnsi="宋体" w:eastAsia="宋体"/>
                <w:b w:val="0"/>
                <w:sz w:val="17"/>
              </w:rPr>
              <w:t>ECE</w:t>
            </w:r>
          </w:p>
        </w:tc>
        <w:tc>
          <w:tcPr>
            <w:tcW w:type="dxa" w:w="4592"/>
          </w:tcPr>
          <w:p>
            <w:pPr>
              <w:jc w:val="center"/>
            </w:pPr>
            <w:r>
              <w:rPr>
                <w:rFonts w:ascii="宋体" w:hAnsi="宋体" w:eastAsia="宋体"/>
                <w:b w:val="0"/>
                <w:sz w:val="17"/>
              </w:rPr>
              <w:t>-0.08% [-2.32%, 2.08%]</w:t>
            </w:r>
          </w:p>
        </w:tc>
      </w:tr>
    </w:tbl>
    <w:p/>
    <w:p>
      <w:pPr>
        <w:spacing w:line="360" w:lineRule="auto"/>
      </w:pPr>
      <w:r>
        <w:rPr>
          <w:rFonts w:ascii="宋体" w:hAnsi="宋体" w:eastAsia="宋体"/>
          <w:sz w:val="21"/>
        </w:rPr>
        <w:t>差值以 M-RPG 减 RSG 定义；目标类召回的正差值有利，误入目标比例、Brier 和 ECE 的负差值有利。所有区间均以图片 split_group_id 聚类，并在五个随机种子与图片组上进行两阶段重采样的 5,000 次 Bootstrap 得到。扩展后，Macro F1、目标类召回、两类误入目标比例及校准指标的区间均跨零。因此，本研究未观察到 M-RPG 相对 RSG 的稳定经验优势；附录 F 的 M-R1 至 M-R4 仍是公式和计算图的确定性性质，但不能据此替代经验优越性证明。</w:t>
      </w:r>
    </w:p>
    <w:p>
      <w:pPr>
        <w:spacing w:line="360" w:lineRule="auto"/>
      </w:pPr>
      <w:r>
        <w:rPr>
          <w:rFonts w:ascii="宋体" w:hAnsi="宋体" w:eastAsia="宋体"/>
          <w:sz w:val="21"/>
        </w:rPr>
        <w:t>这一扩展验证保留为可复核的反证性结果：理论结构提供了可解释的容量归一化、单调门控和凸融合约束，但在当前公开矿物标本四角色闭集协议下，尚不足以支持总体性能、目标类召回、误入控制或校准性能优于 RSG 的结论。后续需在来源留出或真实外部图像上，结合更多独立重复进一步检验其泛化价值。</w:t>
      </w:r>
    </w:p>
    <w:p>
      <w:pPr>
        <w:pStyle w:val="1"/>
      </w:pPr>
      <w:r>
        <w:t>附录 H RSG-HRGV 理论性质与证据对应图</w:t>
      </w:r>
    </w:p>
    <w:p>
      <w:pPr>
        <w:pStyle w:val="21"/>
      </w:pPr>
      <w:r>
        <w:t>H.1 定理、计算图与实验证据的对应关系</w:t>
      </w:r>
    </w:p>
    <w:p>
      <w:pPr>
        <w:spacing w:line="360" w:lineRule="auto"/>
      </w:pPr>
      <w:r>
        <w:rPr>
          <w:rFonts w:ascii="宋体" w:hAnsi="宋体" w:eastAsia="宋体"/>
          <w:sz w:val="21"/>
        </w:rPr>
        <w:t>图 22 将 RSG-HRGV 的三条可证明性质与其直接对应的经验指标并列呈现。定理 B.1 约束门控偏离真实类概率更优专家时的路由后悔；定理 B.2 描述损失差驱动的软门控对硬最优选择的指数逼近；定理 B.3 限定 stop-gradient 后悔分支的局部梯度范围。它们均为当前公式与计算图的性质，而非总体分类精度的先验保证。</w:t>
      </w:r>
    </w:p>
    <w:p>
      <w:pPr>
        <w:jc w:val="center"/>
      </w:pPr>
      <w:r>
        <w:drawing>
          <wp:inline xmlns:a="http://schemas.openxmlformats.org/drawingml/2006/main" xmlns:pic="http://schemas.openxmlformats.org/drawingml/2006/picture">
            <wp:extent cx="5688000" cy="3000466"/>
            <wp:docPr id="55" name="Picture 55"/>
            <wp:cNvGraphicFramePr>
              <a:graphicFrameLocks noChangeAspect="1"/>
            </wp:cNvGraphicFramePr>
            <a:graphic>
              <a:graphicData uri="http://schemas.openxmlformats.org/drawingml/2006/picture">
                <pic:pic>
                  <pic:nvPicPr>
                    <pic:cNvPr id="0" name="fig_rsg_theory_evidence.png"/>
                    <pic:cNvPicPr/>
                  </pic:nvPicPr>
                  <pic:blipFill>
                    <a:blip r:embed="rId66"/>
                    <a:stretch>
                      <a:fillRect/>
                    </a:stretch>
                  </pic:blipFill>
                  <pic:spPr>
                    <a:xfrm>
                      <a:off x="0" y="0"/>
                      <a:ext cx="5688000" cy="3000466"/>
                    </a:xfrm>
                    <a:prstGeom prst="rect"/>
                  </pic:spPr>
                </pic:pic>
              </a:graphicData>
            </a:graphic>
          </wp:inline>
        </w:drawing>
      </w:r>
    </w:p>
    <w:p>
      <w:pPr>
        <w:pStyle w:val="af7"/>
        <w:jc w:val="center"/>
      </w:pPr>
      <w:r>
        <w:rPr>
          <w:rFonts w:ascii="宋体" w:hAnsi="宋体" w:eastAsia="宋体"/>
          <w:sz w:val="19"/>
        </w:rPr>
        <w:t>图 22 RSG-HRGV 的理论性质与平均路由后悔证据对应关系</w:t>
      </w:r>
    </w:p>
    <w:p>
      <w:pPr>
        <w:spacing w:line="360" w:lineRule="auto"/>
      </w:pPr>
      <w:r>
        <w:rPr>
          <w:rFonts w:ascii="宋体" w:hAnsi="宋体" w:eastAsia="宋体"/>
          <w:sz w:val="21"/>
        </w:rPr>
        <w:t>固定测试的 RSG-HRGV 相对 HRGV 平均路由后悔差为 -1.77 个百分点，95% Bootstrap 区间为 [-2.86, -0.69] 个百分点；摄影者留出确认集对应差值为 -3.53 个百分点，区间为 [-4.75, -2.17] 个百分点。两个预定义区间均低于零，支持在本协议下平均路由后悔下降。该结论不主张总体分类性能优越：Accuracy、Macro F1、目标类召回及两类误入目标比例的成对区间仍存在跨零情况。</w:t>
      </w:r>
    </w:p>
    <w:p>
      <w:pPr>
        <w:spacing w:line="360" w:lineRule="auto"/>
      </w:pPr>
      <w:r>
        <w:rPr>
          <w:rFonts w:ascii="宋体" w:hAnsi="宋体" w:eastAsia="宋体"/>
          <w:sz w:val="21"/>
        </w:rPr>
        <w:t>证据边界：图中的摄影者留出仍来自公开 Mindat 标本图像，不能等同于真实矿石颗粒、现场传送带、工业分选、精矿品位、回收率、元素含量检测、跨矿区泛化或未知矿物拒识。</w:t>
      </w:r>
    </w:p>
    <w:p>
      <w:pPr>
        <w:pStyle w:val="21"/>
      </w:pPr>
      <w:r>
        <w:t>H.2 高精度检查点重放的数值一致性验证</w:t>
      </w:r>
    </w:p>
    <w:tbl>
      <w:tblPr>
        <w:tblStyle w:val="aff1"/>
        <w:tblW w:type="auto" w:w="0"/>
        <w:tblLook w:firstColumn="1" w:firstRow="1" w:lastColumn="0" w:lastRow="0" w:noHBand="0" w:noVBand="1" w:val="04A0"/>
      </w:tblPr>
      <w:tblGrid>
        <w:gridCol w:w="1148"/>
        <w:gridCol w:w="1148"/>
        <w:gridCol w:w="1148"/>
        <w:gridCol w:w="1148"/>
        <w:gridCol w:w="1148"/>
        <w:gridCol w:w="1148"/>
        <w:gridCol w:w="1148"/>
        <w:gridCol w:w="1148"/>
      </w:tblGrid>
      <w:tr>
        <w:tc>
          <w:tcPr>
            <w:tcW w:type="dxa" w:w="1148"/>
          </w:tcPr>
          <w:p>
            <w:pPr>
              <w:jc w:val="center"/>
            </w:pPr>
            <w:r>
              <w:rPr>
                <w:rFonts w:ascii="宋体" w:hAnsi="宋体" w:eastAsia="宋体"/>
                <w:b/>
                <w:sz w:val="17"/>
              </w:rPr>
              <w:t>协议</w:t>
            </w:r>
          </w:p>
        </w:tc>
        <w:tc>
          <w:tcPr>
            <w:tcW w:type="dxa" w:w="1148"/>
          </w:tcPr>
          <w:p>
            <w:pPr>
              <w:jc w:val="center"/>
            </w:pPr>
            <w:r>
              <w:rPr>
                <w:rFonts w:ascii="宋体" w:hAnsi="宋体" w:eastAsia="宋体"/>
                <w:b/>
                <w:sz w:val="17"/>
              </w:rPr>
              <w:t>随机种子</w:t>
            </w:r>
          </w:p>
        </w:tc>
        <w:tc>
          <w:tcPr>
            <w:tcW w:type="dxa" w:w="1148"/>
          </w:tcPr>
          <w:p>
            <w:pPr>
              <w:jc w:val="center"/>
            </w:pPr>
            <w:r>
              <w:rPr>
                <w:rFonts w:ascii="宋体" w:hAnsi="宋体" w:eastAsia="宋体"/>
                <w:b/>
                <w:sz w:val="17"/>
              </w:rPr>
              <w:t>样本数</w:t>
            </w:r>
          </w:p>
        </w:tc>
        <w:tc>
          <w:tcPr>
            <w:tcW w:type="dxa" w:w="1148"/>
          </w:tcPr>
          <w:p>
            <w:pPr>
              <w:jc w:val="center"/>
            </w:pPr>
            <w:r>
              <w:rPr>
                <w:rFonts w:ascii="宋体" w:hAnsi="宋体" w:eastAsia="宋体"/>
                <w:b/>
                <w:sz w:val="17"/>
              </w:rPr>
              <w:t>最小真值概率</w:t>
            </w:r>
          </w:p>
        </w:tc>
        <w:tc>
          <w:tcPr>
            <w:tcW w:type="dxa" w:w="1148"/>
          </w:tcPr>
          <w:p>
            <w:pPr>
              <w:jc w:val="center"/>
            </w:pPr>
            <w:r>
              <w:rPr>
                <w:rFonts w:ascii="宋体" w:hAnsi="宋体" w:eastAsia="宋体"/>
                <w:b/>
                <w:sz w:val="17"/>
              </w:rPr>
              <w:t>B.1 最大残差</w:t>
            </w:r>
          </w:p>
        </w:tc>
        <w:tc>
          <w:tcPr>
            <w:tcW w:type="dxa" w:w="1148"/>
          </w:tcPr>
          <w:p>
            <w:pPr>
              <w:jc w:val="center"/>
            </w:pPr>
            <w:r>
              <w:rPr>
                <w:rFonts w:ascii="宋体" w:hAnsi="宋体" w:eastAsia="宋体"/>
                <w:b/>
                <w:sz w:val="17"/>
              </w:rPr>
              <w:t>B.1 违反数</w:t>
            </w:r>
          </w:p>
        </w:tc>
        <w:tc>
          <w:tcPr>
            <w:tcW w:type="dxa" w:w="1148"/>
          </w:tcPr>
          <w:p>
            <w:pPr>
              <w:jc w:val="center"/>
            </w:pPr>
            <w:r>
              <w:rPr>
                <w:rFonts w:ascii="宋体" w:hAnsi="宋体" w:eastAsia="宋体"/>
                <w:b/>
                <w:sz w:val="17"/>
              </w:rPr>
              <w:t>B.2 最大残差</w:t>
            </w:r>
          </w:p>
        </w:tc>
        <w:tc>
          <w:tcPr>
            <w:tcW w:type="dxa" w:w="1148"/>
          </w:tcPr>
          <w:p>
            <w:pPr>
              <w:jc w:val="center"/>
            </w:pPr>
            <w:r>
              <w:rPr>
                <w:rFonts w:ascii="宋体" w:hAnsi="宋体" w:eastAsia="宋体"/>
                <w:b/>
                <w:sz w:val="17"/>
              </w:rPr>
              <w:t>B.2 违反数</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3.11e-06</w:t>
            </w:r>
          </w:p>
        </w:tc>
        <w:tc>
          <w:tcPr>
            <w:tcW w:type="dxa" w:w="1148"/>
          </w:tcPr>
          <w:p>
            <w:pPr>
              <w:jc w:val="center"/>
            </w:pPr>
            <w:r>
              <w:rPr>
                <w:rFonts w:ascii="宋体" w:hAnsi="宋体" w:eastAsia="宋体"/>
                <w:b w:val="0"/>
                <w:sz w:val="17"/>
              </w:rPr>
              <w:t>-6.09e-01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5.89e-08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20260728</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3.97e-07</w:t>
            </w:r>
          </w:p>
        </w:tc>
        <w:tc>
          <w:tcPr>
            <w:tcW w:type="dxa" w:w="1148"/>
          </w:tcPr>
          <w:p>
            <w:pPr>
              <w:jc w:val="center"/>
            </w:pPr>
            <w:r>
              <w:rPr>
                <w:rFonts w:ascii="宋体" w:hAnsi="宋体" w:eastAsia="宋体"/>
                <w:b w:val="0"/>
                <w:sz w:val="17"/>
              </w:rPr>
              <w:t>-3.35e-01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5.94e-08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固定测试</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1284</w:t>
            </w:r>
          </w:p>
        </w:tc>
        <w:tc>
          <w:tcPr>
            <w:tcW w:type="dxa" w:w="1148"/>
          </w:tcPr>
          <w:p>
            <w:pPr>
              <w:jc w:val="center"/>
            </w:pPr>
            <w:r>
              <w:rPr>
                <w:rFonts w:ascii="宋体" w:hAnsi="宋体" w:eastAsia="宋体"/>
                <w:b w:val="0"/>
                <w:sz w:val="17"/>
              </w:rPr>
              <w:t>6.80e-07</w:t>
            </w:r>
          </w:p>
        </w:tc>
        <w:tc>
          <w:tcPr>
            <w:tcW w:type="dxa" w:w="1148"/>
          </w:tcPr>
          <w:p>
            <w:pPr>
              <w:jc w:val="center"/>
            </w:pPr>
            <w:r>
              <w:rPr>
                <w:rFonts w:ascii="宋体" w:hAnsi="宋体" w:eastAsia="宋体"/>
                <w:b w:val="0"/>
                <w:sz w:val="17"/>
              </w:rPr>
              <w:t>-5.96e-08</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4.35e-08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20260727</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7.30e-07</w:t>
            </w:r>
          </w:p>
        </w:tc>
        <w:tc>
          <w:tcPr>
            <w:tcW w:type="dxa" w:w="1148"/>
          </w:tcPr>
          <w:p>
            <w:pPr>
              <w:jc w:val="center"/>
            </w:pPr>
            <w:r>
              <w:rPr>
                <w:rFonts w:ascii="宋体" w:hAnsi="宋体" w:eastAsia="宋体"/>
                <w:b w:val="0"/>
                <w:sz w:val="17"/>
              </w:rPr>
              <w:t>-4.90e-01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3.95e-08</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20260729</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3.10e-05</w:t>
            </w:r>
          </w:p>
        </w:tc>
        <w:tc>
          <w:tcPr>
            <w:tcW w:type="dxa" w:w="1148"/>
          </w:tcPr>
          <w:p>
            <w:pPr>
              <w:jc w:val="center"/>
            </w:pPr>
            <w:r>
              <w:rPr>
                <w:rFonts w:ascii="宋体" w:hAnsi="宋体" w:eastAsia="宋体"/>
                <w:b w:val="0"/>
                <w:sz w:val="17"/>
              </w:rPr>
              <w:t>-2.65e+01</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-8.69e-09</w:t>
            </w:r>
          </w:p>
        </w:tc>
        <w:tc>
          <w:tcPr>
            <w:tcW w:type="dxa" w:w="1148"/>
          </w:tcPr>
          <w:p>
            <w:pPr>
              <w:jc w:val="center"/>
            </w:pPr>
            <w:r>
              <w:rPr>
                <w:rFonts w:ascii="宋体" w:hAnsi="宋体" w:eastAsia="宋体"/>
                <w:b w:val="0"/>
                <w:sz w:val="17"/>
              </w:rPr>
              <w:t>0</w:t>
            </w:r>
          </w:p>
        </w:tc>
      </w:tr>
      <w:tr>
        <w:tc>
          <w:tcPr>
            <w:tcW w:type="dxa" w:w="1148"/>
          </w:tcPr>
          <w:p>
            <w:pPr>
              <w:jc w:val="center"/>
            </w:pPr>
            <w:r>
              <w:rPr>
                <w:rFonts w:ascii="宋体" w:hAnsi="宋体" w:eastAsia="宋体"/>
                <w:b w:val="0"/>
                <w:sz w:val="17"/>
              </w:rPr>
              <w:t>摄影者留出</w:t>
            </w:r>
          </w:p>
        </w:tc>
        <w:tc>
          <w:tcPr>
            <w:tcW w:type="dxa" w:w="1148"/>
          </w:tcPr>
          <w:p>
            <w:pPr>
              <w:jc w:val="center"/>
            </w:pPr>
            <w:r>
              <w:rPr>
                <w:rFonts w:ascii="宋体" w:hAnsi="宋体" w:eastAsia="宋体"/>
                <w:b w:val="0"/>
                <w:sz w:val="17"/>
              </w:rPr>
              <w:t>20260730</w:t>
            </w:r>
          </w:p>
        </w:tc>
        <w:tc>
          <w:tcPr>
            <w:tcW w:type="dxa" w:w="1148"/>
          </w:tcPr>
          <w:p>
            <w:pPr>
              <w:jc w:val="center"/>
            </w:pPr>
            <w:r>
              <w:rPr>
                <w:rFonts w:ascii="宋体" w:hAnsi="宋体" w:eastAsia="宋体"/>
                <w:b w:val="0"/>
                <w:sz w:val="17"/>
              </w:rPr>
              <w:t>846</w:t>
            </w:r>
          </w:p>
        </w:tc>
        <w:tc>
          <w:tcPr>
            <w:tcW w:type="dxa" w:w="1148"/>
          </w:tcPr>
          <w:p>
            <w:pPr>
              <w:jc w:val="center"/>
            </w:pPr>
            <w:r>
              <w:rPr>
                <w:rFonts w:ascii="宋体" w:hAnsi="宋体" w:eastAsia="宋体"/>
                <w:b w:val="0"/>
                <w:sz w:val="17"/>
              </w:rPr>
              <w:t>1.13e-05</w:t>
            </w:r>
          </w:p>
        </w:tc>
        <w:tc>
          <w:tcPr>
            <w:tcW w:type="dxa" w:w="1148"/>
          </w:tcPr>
          <w:p>
            <w:pPr>
              <w:jc w:val="center"/>
            </w:pPr>
            <w:r>
              <w:rPr>
                <w:rFonts w:ascii="宋体" w:hAnsi="宋体" w:eastAsia="宋体"/>
                <w:b w:val="0"/>
                <w:sz w:val="17"/>
              </w:rPr>
              <w:t>-1.31e+00</w:t>
            </w:r>
          </w:p>
        </w:tc>
        <w:tc>
          <w:tcPr>
            <w:tcW w:type="dxa" w:w="1148"/>
          </w:tcPr>
          <w:p>
            <w:pPr>
              <w:jc w:val="center"/>
            </w:pPr>
            <w:r>
              <w:rPr>
                <w:rFonts w:ascii="宋体" w:hAnsi="宋体" w:eastAsia="宋体"/>
                <w:b w:val="0"/>
                <w:sz w:val="17"/>
              </w:rPr>
              <w:t>0</w:t>
            </w:r>
          </w:p>
        </w:tc>
        <w:tc>
          <w:tcPr>
            <w:tcW w:type="dxa" w:w="1148"/>
          </w:tcPr>
          <w:p>
            <w:pPr>
              <w:jc w:val="center"/>
            </w:pPr>
            <w:r>
              <w:rPr>
                <w:rFonts w:ascii="宋体" w:hAnsi="宋体" w:eastAsia="宋体"/>
                <w:b w:val="0"/>
                <w:sz w:val="17"/>
              </w:rPr>
              <w:t>3.50e-08</w:t>
            </w:r>
          </w:p>
        </w:tc>
        <w:tc>
          <w:tcPr>
            <w:tcW w:type="dxa" w:w="1148"/>
          </w:tcPr>
          <w:p>
            <w:pPr>
              <w:jc w:val="center"/>
            </w:pPr>
            <w:r>
              <w:rPr>
                <w:rFonts w:ascii="宋体" w:hAnsi="宋体" w:eastAsia="宋体"/>
                <w:b w:val="0"/>
                <w:sz w:val="17"/>
              </w:rPr>
              <w:t>0</w:t>
            </w:r>
          </w:p>
        </w:tc>
      </w:tr>
    </w:tbl>
    <w:p/>
    <w:p>
      <w:pPr>
        <w:spacing w:line="360" w:lineRule="auto"/>
      </w:pPr>
      <w:r>
        <w:rPr>
          <w:rFonts w:ascii="宋体" w:hAnsi="宋体" w:eastAsia="宋体"/>
          <w:sz w:val="21"/>
        </w:rPr>
        <w:t>为避免原始逐图 CSV 六位小数导出把极小概率写为零，使用保存的最佳检查点对固定测试三种子和摄影者留出三种子重新执行只读推理，以 15 位小数导出门控及两路真值概率。共 6 次、6390 张图像；采用 float32 概率下界 1.19e-07、数值容差 2.00e-06。定理 B.1 最大残差为 -5.96e-08、违反数为 0；定理 B.2 最大残差为 5.94e-08、违反数为 0。因此，高精度检查点重放支持当前 RSG-HRGV 公式在已训练模型输出上的数值一致性验证。</w:t>
      </w:r>
    </w:p>
    <w:p>
      <w:pPr>
        <w:spacing w:line="360" w:lineRule="auto"/>
      </w:pPr>
      <w:r>
        <w:rPr>
          <w:rFonts w:ascii="宋体" w:hAnsi="宋体" w:eastAsia="宋体"/>
          <w:sz w:val="21"/>
        </w:rPr>
        <w:t>该验证仅检查定理 B.1 与 B.2 所用概率、门控和软目标在实现中的数值关系；不构成新的分类性能实验，也不支持工业分选、品位、回收率、元素含量、外部泛化或未知矿物拒识结论。</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