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p>
      <w:pPr>
        <w:pStyle w:val="21"/>
      </w:pPr>
      <w:r>
        <w:t>H.7 凸融合路由后悔的理论曲线</w:t>
      </w:r>
    </w:p>
    <w:p>
      <w:pPr>
        <w:spacing w:line="360" w:lineRule="auto"/>
      </w:pPr>
      <w:r>
        <w:rPr>
          <w:rFonts w:ascii="宋体" w:hAnsi="宋体" w:eastAsia="宋体"/>
          <w:sz w:val="21"/>
        </w:rPr>
        <w:t>为将 H.6 的逐图残差验证与公式机制对应起来，图 25 直接绘制两专家凸融合的解析理论曲线。令 u=delta d/M，其中 M=max(a,b)、d=|a-b|、delta=|g-g_o|，则路由后悔严格满足 r=-log(1-delta d/M)= -log(1-u)。因此，在当前两专家概率凸融合下，门控相对硬最优的偏离和专家真值类概率差距以乘积方式共同决定后悔；当 u 接近 0 时，r 与 u 近似线性，当 u 增大时对数变换使后悔加速上升。</w:t>
      </w:r>
    </w:p>
    <w:p>
      <w:pPr>
        <w:jc w:val="center"/>
      </w:pPr>
      <w:r>
        <w:drawing>
          <wp:inline xmlns:a="http://schemas.openxmlformats.org/drawingml/2006/main" xmlns:pic="http://schemas.openxmlformats.org/drawingml/2006/picture">
            <wp:extent cx="5688000" cy="3132582"/>
            <wp:docPr id="58" name="Picture 58"/>
            <wp:cNvGraphicFramePr>
              <a:graphicFrameLocks noChangeAspect="1"/>
            </wp:cNvGraphicFramePr>
            <a:graphic>
              <a:graphicData uri="http://schemas.openxmlformats.org/drawingml/2006/picture">
                <pic:pic>
                  <pic:nvPicPr>
                    <pic:cNvPr id="0" name="fig_rsg_exact_regret_decomposition.png"/>
                    <pic:cNvPicPr/>
                  </pic:nvPicPr>
                  <pic:blipFill>
                    <a:blip r:embed="rId69"/>
                    <a:stretch>
                      <a:fillRect/>
                    </a:stretch>
                  </pic:blipFill>
                  <pic:spPr>
                    <a:xfrm>
                      <a:off x="0" y="0"/>
                      <a:ext cx="5688000" cy="3132582"/>
                    </a:xfrm>
                    <a:prstGeom prst="rect"/>
                  </pic:spPr>
                </pic:pic>
              </a:graphicData>
            </a:graphic>
          </wp:inline>
        </w:drawing>
      </w:r>
    </w:p>
    <w:p>
      <w:pPr>
        <w:pStyle w:val="af7"/>
        <w:jc w:val="center"/>
      </w:pPr>
      <w:r>
        <w:rPr>
          <w:rFonts w:ascii="宋体" w:hAnsi="宋体" w:eastAsia="宋体"/>
          <w:sz w:val="19"/>
        </w:rPr>
        <w:t>图 25 两专家凸融合路由后悔的解析理论曲线与数值一致性注记</w:t>
      </w:r>
    </w:p>
    <w:p>
      <w:pPr>
        <w:spacing w:line="360" w:lineRule="auto"/>
      </w:pPr>
      <w:r>
        <w:rPr>
          <w:rFonts w:ascii="宋体" w:hAnsi="宋体" w:eastAsia="宋体"/>
          <w:sz w:val="21"/>
        </w:rPr>
        <w:t>图中的曲线为解析理论曲线，不是由分类指标拟合得到。脚注对应冻结检查点的高精度回放：9 次、10,242 张图像的精确分解最大绝对残差为 8.44e-07，低于预设容差 2.0e-06，违反数为 0。因此，这张图与 H.6 共同构成“公式推导--数值实现--可视化解释”的证据链。</w:t>
      </w:r>
    </w:p>
    <w:p>
      <w:pPr>
        <w:spacing w:line="360" w:lineRule="auto"/>
      </w:pPr>
      <w:r>
        <w:rPr>
          <w:rFonts w:ascii="宋体" w:hAnsi="宋体" w:eastAsia="宋体"/>
          <w:sz w:val="21"/>
        </w:rPr>
        <w:t>证据边界：该图仅解释 RSG-HRGV 预定义路由后悔的解析结构和有限精度下的容差内一致性，不构成新的分类性能实验，不能据此推出 Accuracy、Macro F1、工业分选、品位、回收率、元素含量、真实外部泛化或未知矿物拒识能力的提升。</w:t>
      </w:r>
    </w:p>
    <w:p>
      <w:pPr>
        <w:pStyle w:val="21"/>
      </w:pPr>
      <w:r>
        <w:t>H.8 跨粒度双专家互补性诊断</w:t>
      </w:r>
    </w:p>
    <w:p>
      <w:pPr>
        <w:spacing w:line="360" w:lineRule="auto"/>
      </w:pPr>
      <w:r>
        <w:rPr>
          <w:rFonts w:ascii="宋体" w:hAnsi="宋体" w:eastAsia="宋体"/>
          <w:sz w:val="21"/>
        </w:rPr>
        <w:t>门控只有在直接角色专家与种类映射专家提供不同证据时才可能发挥作用。为避免仅从平均路由后悔反推这一前提，本节从冻结的完整 RSG-HRGV 三随机种子汇总中直接报告双专家准确率、预测分歧、一对一错样本比例和条件门控选对率。逐图 oracle 按真实角色选择更优专家，仅用于诊断当前双专家互补性的理论上限，实际部署不可获得。</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直接角色</w:t>
            </w:r>
          </w:p>
        </w:tc>
        <w:tc>
          <w:tcPr>
            <w:tcW w:type="dxa" w:w="1148"/>
          </w:tcPr>
          <w:p>
            <w:pPr>
              <w:jc w:val="center"/>
            </w:pPr>
            <w:r>
              <w:rPr>
                <w:rFonts w:ascii="宋体" w:hAnsi="宋体" w:eastAsia="宋体"/>
                <w:b/>
                <w:sz w:val="17"/>
              </w:rPr>
              <w:t>种类映射</w:t>
            </w:r>
          </w:p>
        </w:tc>
        <w:tc>
          <w:tcPr>
            <w:tcW w:type="dxa" w:w="1148"/>
          </w:tcPr>
          <w:p>
            <w:pPr>
              <w:jc w:val="center"/>
            </w:pPr>
            <w:r>
              <w:rPr>
                <w:rFonts w:ascii="宋体" w:hAnsi="宋体" w:eastAsia="宋体"/>
                <w:b/>
                <w:sz w:val="17"/>
              </w:rPr>
              <w:t>融合</w:t>
            </w:r>
          </w:p>
        </w:tc>
        <w:tc>
          <w:tcPr>
            <w:tcW w:type="dxa" w:w="1148"/>
          </w:tcPr>
          <w:p>
            <w:pPr>
              <w:jc w:val="center"/>
            </w:pPr>
            <w:r>
              <w:rPr>
                <w:rFonts w:ascii="宋体" w:hAnsi="宋体" w:eastAsia="宋体"/>
                <w:b/>
                <w:sz w:val="17"/>
              </w:rPr>
              <w:t>真值 oracle</w:t>
            </w:r>
          </w:p>
        </w:tc>
        <w:tc>
          <w:tcPr>
            <w:tcW w:type="dxa" w:w="1148"/>
          </w:tcPr>
          <w:p>
            <w:pPr>
              <w:jc w:val="center"/>
            </w:pPr>
            <w:r>
              <w:rPr>
                <w:rFonts w:ascii="宋体" w:hAnsi="宋体" w:eastAsia="宋体"/>
                <w:b/>
                <w:sz w:val="17"/>
              </w:rPr>
              <w:t>预测分歧</w:t>
            </w:r>
          </w:p>
        </w:tc>
        <w:tc>
          <w:tcPr>
            <w:tcW w:type="dxa" w:w="1148"/>
          </w:tcPr>
          <w:p>
            <w:pPr>
              <w:jc w:val="center"/>
            </w:pPr>
            <w:r>
              <w:rPr>
                <w:rFonts w:ascii="宋体" w:hAnsi="宋体" w:eastAsia="宋体"/>
                <w:b/>
                <w:sz w:val="17"/>
              </w:rPr>
              <w:t>一对一错</w:t>
            </w:r>
          </w:p>
        </w:tc>
        <w:tc>
          <w:tcPr>
            <w:tcW w:type="dxa" w:w="1148"/>
          </w:tcPr>
          <w:p>
            <w:pPr>
              <w:jc w:val="center"/>
            </w:pPr>
            <w:r>
              <w:rPr>
                <w:rFonts w:ascii="宋体" w:hAnsi="宋体" w:eastAsia="宋体"/>
                <w:b/>
                <w:sz w:val="17"/>
              </w:rPr>
              <w:t>门控选对</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75.96%</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76.45%</w:t>
            </w:r>
          </w:p>
        </w:tc>
        <w:tc>
          <w:tcPr>
            <w:tcW w:type="dxa" w:w="1148"/>
          </w:tcPr>
          <w:p>
            <w:pPr>
              <w:jc w:val="center"/>
            </w:pPr>
            <w:r>
              <w:rPr>
                <w:rFonts w:ascii="宋体" w:hAnsi="宋体" w:eastAsia="宋体"/>
                <w:b w:val="0"/>
                <w:sz w:val="17"/>
              </w:rPr>
              <w:t>78.71%</w:t>
            </w:r>
          </w:p>
        </w:tc>
        <w:tc>
          <w:tcPr>
            <w:tcW w:type="dxa" w:w="1148"/>
          </w:tcPr>
          <w:p>
            <w:pPr>
              <w:jc w:val="center"/>
            </w:pPr>
            <w:r>
              <w:rPr>
                <w:rFonts w:ascii="宋体" w:hAnsi="宋体" w:eastAsia="宋体"/>
                <w:b w:val="0"/>
                <w:sz w:val="17"/>
              </w:rPr>
              <w:t>5.61%</w:t>
            </w:r>
          </w:p>
        </w:tc>
        <w:tc>
          <w:tcPr>
            <w:tcW w:type="dxa" w:w="1148"/>
          </w:tcPr>
          <w:p>
            <w:pPr>
              <w:jc w:val="center"/>
            </w:pPr>
            <w:r>
              <w:rPr>
                <w:rFonts w:ascii="宋体" w:hAnsi="宋体" w:eastAsia="宋体"/>
                <w:b w:val="0"/>
                <w:sz w:val="17"/>
              </w:rPr>
              <w:t>4.83%</w:t>
            </w:r>
          </w:p>
        </w:tc>
        <w:tc>
          <w:tcPr>
            <w:tcW w:type="dxa" w:w="1148"/>
          </w:tcPr>
          <w:p>
            <w:pPr>
              <w:jc w:val="center"/>
            </w:pPr>
            <w:r>
              <w:rPr>
                <w:rFonts w:ascii="宋体" w:hAnsi="宋体" w:eastAsia="宋体"/>
                <w:b w:val="0"/>
                <w:sz w:val="17"/>
              </w:rPr>
              <w:t>58.01%</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71.16%</w:t>
            </w:r>
          </w:p>
        </w:tc>
        <w:tc>
          <w:tcPr>
            <w:tcW w:type="dxa" w:w="1148"/>
          </w:tcPr>
          <w:p>
            <w:pPr>
              <w:jc w:val="center"/>
            </w:pPr>
            <w:r>
              <w:rPr>
                <w:rFonts w:ascii="宋体" w:hAnsi="宋体" w:eastAsia="宋体"/>
                <w:b w:val="0"/>
                <w:sz w:val="17"/>
              </w:rPr>
              <w:t>71.55%</w:t>
            </w:r>
          </w:p>
        </w:tc>
        <w:tc>
          <w:tcPr>
            <w:tcW w:type="dxa" w:w="1148"/>
          </w:tcPr>
          <w:p>
            <w:pPr>
              <w:jc w:val="center"/>
            </w:pPr>
            <w:r>
              <w:rPr>
                <w:rFonts w:ascii="宋体" w:hAnsi="宋体" w:eastAsia="宋体"/>
                <w:b w:val="0"/>
                <w:sz w:val="17"/>
              </w:rPr>
              <w:t>71.47%</w:t>
            </w:r>
          </w:p>
        </w:tc>
        <w:tc>
          <w:tcPr>
            <w:tcW w:type="dxa" w:w="1148"/>
          </w:tcPr>
          <w:p>
            <w:pPr>
              <w:jc w:val="center"/>
            </w:pPr>
            <w:r>
              <w:rPr>
                <w:rFonts w:ascii="宋体" w:hAnsi="宋体" w:eastAsia="宋体"/>
                <w:b w:val="0"/>
                <w:sz w:val="17"/>
              </w:rPr>
              <w:t>73.76%</w:t>
            </w:r>
          </w:p>
        </w:tc>
        <w:tc>
          <w:tcPr>
            <w:tcW w:type="dxa" w:w="1148"/>
          </w:tcPr>
          <w:p>
            <w:pPr>
              <w:jc w:val="center"/>
            </w:pPr>
            <w:r>
              <w:rPr>
                <w:rFonts w:ascii="宋体" w:hAnsi="宋体" w:eastAsia="宋体"/>
                <w:b w:val="0"/>
                <w:sz w:val="17"/>
              </w:rPr>
              <w:t>6.11%</w:t>
            </w:r>
          </w:p>
        </w:tc>
        <w:tc>
          <w:tcPr>
            <w:tcW w:type="dxa" w:w="1148"/>
          </w:tcPr>
          <w:p>
            <w:pPr>
              <w:jc w:val="center"/>
            </w:pPr>
            <w:r>
              <w:rPr>
                <w:rFonts w:ascii="宋体" w:hAnsi="宋体" w:eastAsia="宋体"/>
                <w:b w:val="0"/>
                <w:sz w:val="17"/>
              </w:rPr>
              <w:t>4.81%</w:t>
            </w:r>
          </w:p>
        </w:tc>
        <w:tc>
          <w:tcPr>
            <w:tcW w:type="dxa" w:w="1148"/>
          </w:tcPr>
          <w:p>
            <w:pPr>
              <w:jc w:val="center"/>
            </w:pPr>
            <w:r>
              <w:rPr>
                <w:rFonts w:ascii="宋体" w:hAnsi="宋体" w:eastAsia="宋体"/>
                <w:b w:val="0"/>
                <w:sz w:val="17"/>
              </w:rPr>
              <w:t>53.69%</w:t>
            </w:r>
          </w:p>
        </w:tc>
      </w:tr>
      <w:tr>
        <w:tc>
          <w:tcPr>
            <w:tcW w:type="dxa" w:w="1148"/>
          </w:tcPr>
          <w:p>
            <w:pPr>
              <w:jc w:val="center"/>
            </w:pPr>
            <w:r>
              <w:rPr>
                <w:rFonts w:ascii="宋体" w:hAnsi="宋体" w:eastAsia="宋体"/>
                <w:b w:val="0"/>
                <w:sz w:val="17"/>
              </w:rPr>
              <w:t>ResNet50 跨主干</w:t>
            </w:r>
          </w:p>
        </w:tc>
        <w:tc>
          <w:tcPr>
            <w:tcW w:type="dxa" w:w="1148"/>
          </w:tcPr>
          <w:p>
            <w:pPr>
              <w:jc w:val="center"/>
            </w:pPr>
            <w:r>
              <w:rPr>
                <w:rFonts w:ascii="宋体" w:hAnsi="宋体" w:eastAsia="宋体"/>
                <w:b w:val="0"/>
                <w:sz w:val="17"/>
              </w:rPr>
              <w:t>76.30%</w:t>
            </w:r>
          </w:p>
        </w:tc>
        <w:tc>
          <w:tcPr>
            <w:tcW w:type="dxa" w:w="1148"/>
          </w:tcPr>
          <w:p>
            <w:pPr>
              <w:jc w:val="center"/>
            </w:pPr>
            <w:r>
              <w:rPr>
                <w:rFonts w:ascii="宋体" w:hAnsi="宋体" w:eastAsia="宋体"/>
                <w:b w:val="0"/>
                <w:sz w:val="17"/>
              </w:rPr>
              <w:t>76.43%</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78.35%</w:t>
            </w:r>
          </w:p>
        </w:tc>
        <w:tc>
          <w:tcPr>
            <w:tcW w:type="dxa" w:w="1148"/>
          </w:tcPr>
          <w:p>
            <w:pPr>
              <w:jc w:val="center"/>
            </w:pPr>
            <w:r>
              <w:rPr>
                <w:rFonts w:ascii="宋体" w:hAnsi="宋体" w:eastAsia="宋体"/>
                <w:b w:val="0"/>
                <w:sz w:val="17"/>
              </w:rPr>
              <w:t>4.88%</w:t>
            </w:r>
          </w:p>
        </w:tc>
        <w:tc>
          <w:tcPr>
            <w:tcW w:type="dxa" w:w="1148"/>
          </w:tcPr>
          <w:p>
            <w:pPr>
              <w:jc w:val="center"/>
            </w:pPr>
            <w:r>
              <w:rPr>
                <w:rFonts w:ascii="宋体" w:hAnsi="宋体" w:eastAsia="宋体"/>
                <w:b w:val="0"/>
                <w:sz w:val="17"/>
              </w:rPr>
              <w:t>3.97%</w:t>
            </w:r>
          </w:p>
        </w:tc>
        <w:tc>
          <w:tcPr>
            <w:tcW w:type="dxa" w:w="1148"/>
          </w:tcPr>
          <w:p>
            <w:pPr>
              <w:jc w:val="center"/>
            </w:pPr>
            <w:r>
              <w:rPr>
                <w:rFonts w:ascii="宋体" w:hAnsi="宋体" w:eastAsia="宋体"/>
                <w:b w:val="0"/>
                <w:sz w:val="17"/>
              </w:rPr>
              <w:t>51.98%</w:t>
            </w:r>
          </w:p>
        </w:tc>
      </w:tr>
    </w:tbl>
    <w:p/>
    <w:p>
      <w:pPr>
        <w:jc w:val="center"/>
      </w:pPr>
      <w:r>
        <w:drawing>
          <wp:inline xmlns:a="http://schemas.openxmlformats.org/drawingml/2006/main" xmlns:pic="http://schemas.openxmlformats.org/drawingml/2006/picture">
            <wp:extent cx="5688000" cy="3090224"/>
            <wp:docPr id="59" name="Picture 59"/>
            <wp:cNvGraphicFramePr>
              <a:graphicFrameLocks noChangeAspect="1"/>
            </wp:cNvGraphicFramePr>
            <a:graphic>
              <a:graphicData uri="http://schemas.openxmlformats.org/drawingml/2006/picture">
                <pic:pic>
                  <pic:nvPicPr>
                    <pic:cNvPr id="0" name="fig_rsg_expert_complementarity.png"/>
                    <pic:cNvPicPr/>
                  </pic:nvPicPr>
                  <pic:blipFill>
                    <a:blip r:embed="rId70"/>
                    <a:stretch>
                      <a:fillRect/>
                    </a:stretch>
                  </pic:blipFill>
                  <pic:spPr>
                    <a:xfrm>
                      <a:off x="0" y="0"/>
                      <a:ext cx="5688000" cy="3090224"/>
                    </a:xfrm>
                    <a:prstGeom prst="rect"/>
                  </pic:spPr>
                </pic:pic>
              </a:graphicData>
            </a:graphic>
          </wp:inline>
        </w:drawing>
      </w:r>
    </w:p>
    <w:p>
      <w:pPr>
        <w:pStyle w:val="af7"/>
        <w:jc w:val="center"/>
      </w:pPr>
      <w:r>
        <w:rPr>
          <w:rFonts w:ascii="宋体" w:hAnsi="宋体" w:eastAsia="宋体"/>
          <w:sz w:val="19"/>
        </w:rPr>
        <w:t>图 26 RSG-HRGV 跨粒度双专家的互补性与可路由子集诊断</w:t>
      </w:r>
    </w:p>
    <w:p>
      <w:pPr>
        <w:spacing w:line="360" w:lineRule="auto"/>
      </w:pPr>
      <w:r>
        <w:rPr>
          <w:rFonts w:ascii="宋体" w:hAnsi="宋体" w:eastAsia="宋体"/>
          <w:sz w:val="21"/>
        </w:rPr>
        <w:t>三个协议中，两位专家均存在约 4%--6% 的预测分歧和约 4%--5% 的一对一错子集，说明直接角色证据与种类映射证据并非完全冗余。完整 RSG 门控在该条件子集上的选对率为 51.98%--58.01%，与前述平均路由后悔下降共同支持存在有限的可路由空间；融合 Accuracy 仍低于依赖真值的 oracle 诊断上限，因而不应把 oracle 差距解释为可直接部署的性能潜力。</w:t>
      </w:r>
    </w:p>
    <w:p>
      <w:pPr>
        <w:spacing w:line="360" w:lineRule="auto"/>
      </w:pPr>
      <w:r>
        <w:rPr>
          <w:rFonts w:ascii="宋体" w:hAnsi="宋体" w:eastAsia="宋体"/>
          <w:sz w:val="21"/>
        </w:rPr>
        <w:t>证据边界：本节仅量化现有冻结模型中两路证据的互补结构，不构成总体分类性能优越、一般化 MoE 优势、未知矿物拒识、工业分选、品位、回收率或元素含量的结论。</w:t>
      </w:r>
    </w:p>
    <w:p>
      <w:r>
        <w:br w:type="page"/>
      </w:r>
    </w:p>
    <w:p>
      <w:pPr>
        <w:pStyle w:val="1"/>
        <w:keepNext/>
      </w:pPr>
      <w:r>
        <w:rPr>
          <w:rFonts w:ascii="黑体" w:hAnsi="黑体" w:eastAsia="黑体"/>
          <w:b/>
          <w:sz w:val="28"/>
        </w:rPr>
        <w:t>附录 I 候选网络扩展：成对困难负样本遗憾路由（PHR）</w:t>
      </w:r>
    </w:p>
    <w:p>
      <w:pPr>
        <w:spacing w:after="100" w:line="336" w:lineRule="auto"/>
        <w:ind w:firstLine="420"/>
      </w:pPr>
      <w:r>
        <w:rPr>
          <w:rFonts w:ascii="宋体" w:hAnsi="宋体" w:eastAsia="宋体"/>
          <w:b w:val="0"/>
          <w:sz w:val="22"/>
        </w:rPr>
        <w:t>本附录记录后续论文补实验所采用的候选网络扩展。PHR 的目标不是以未经证实的方式替代当前 RSG-HRGV 主模型，而是针对已观察到的两条高风险混淆边界，即目标矿物与含钛干扰矿物、目标矿物与金属光泽干扰矿物，分别学习路由门控并施加最小范数的成对边界修正。以下公式、结构图与数值性质核验为预注册实验提供可复现定义；在验证集筛选和正式三随机种子测试完成前，本附录不作任何性能提升结论。</w:t>
      </w:r>
    </w:p>
    <w:p>
      <w:pPr>
        <w:pStyle w:val="21"/>
        <w:keepNext/>
      </w:pPr>
      <w:r>
        <w:rPr>
          <w:rFonts w:ascii="黑体" w:hAnsi="黑体" w:eastAsia="黑体"/>
          <w:b/>
          <w:sz w:val="24"/>
        </w:rPr>
        <w:t>I.1 成对边界的概率、对数几率与融合门控</w:t>
      </w:r>
    </w:p>
    <w:p>
      <w:pPr>
        <w:spacing w:after="100" w:line="336" w:lineRule="auto"/>
        <w:ind w:firstLine="420"/>
      </w:pPr>
      <w:r>
        <w:rPr>
          <w:rFonts w:ascii="宋体" w:hAnsi="宋体" w:eastAsia="宋体"/>
          <w:b w:val="0"/>
          <w:sz w:val="22"/>
        </w:rPr>
        <w:t>设 T、I、G、M 分别表示目标矿物、含钛干扰、脉石和金属光泽干扰；p_d 与 p_m 分别为直接角色头和种类概率映射后的角色后验。对 q∈{I,M}，PHR 不直接重写四分类标签，而是在两条预定义边界上计算目标相对负类的对数几率。</w:t>
      </w:r>
    </w:p>
    <w:p>
      <w:pPr>
        <w:spacing w:before="40" w:after="80" w:line="264" w:lineRule="auto"/>
        <w:jc w:val="center"/>
      </w:pPr>
      <w:r>
        <w:rPr>
          <w:rFonts w:ascii="Cambria Math" w:hAnsi="Cambria Math" w:eastAsia="Cambria Math"/>
          <w:b w:val="0"/>
          <w:sz w:val="22"/>
        </w:rPr>
        <w:t>m_(d,q)=log(p_(d,T)/p_(d,q)),   m_(m,q)=log(p_(m,T)/p_(m,q))</w:t>
      </w:r>
      <w:r>
        <w:t xml:space="preserve">    </w:t>
      </w:r>
      <w:r>
        <w:rPr>
          <w:rFonts w:ascii="Times New Roman" w:hAnsi="Times New Roman" w:eastAsia="Times New Roman"/>
          <w:b w:val="0"/>
          <w:sz w:val="21"/>
        </w:rPr>
        <w:t>(1)</w:t>
      </w:r>
    </w:p>
    <w:p>
      <w:pPr>
        <w:spacing w:before="40" w:after="80" w:line="264" w:lineRule="auto"/>
        <w:jc w:val="center"/>
      </w:pPr>
      <w:r>
        <w:rPr>
          <w:rFonts w:ascii="Cambria Math" w:hAnsi="Cambria Math" w:eastAsia="Cambria Math"/>
          <w:b w:val="0"/>
          <w:sz w:val="22"/>
        </w:rPr>
        <w:t>m_(f,q)=g_q m_(d,q)+(1-g_q)m_(m,q),   g_q=sigma(phi_q([f,m_(d,q),m_(m,q)]))</w:t>
      </w:r>
      <w:r>
        <w:t xml:space="preserve">    </w:t>
      </w:r>
      <w:r>
        <w:rPr>
          <w:rFonts w:ascii="Times New Roman" w:hAnsi="Times New Roman" w:eastAsia="Times New Roman"/>
          <w:b w:val="0"/>
          <w:sz w:val="21"/>
        </w:rPr>
        <w:t>(2)</w:t>
      </w:r>
    </w:p>
    <w:p>
      <w:pPr>
        <w:spacing w:after="100" w:line="336" w:lineRule="auto"/>
        <w:ind w:firstLine="420"/>
      </w:pPr>
      <w:r>
        <w:rPr>
          <w:rFonts w:ascii="宋体" w:hAnsi="宋体" w:eastAsia="宋体"/>
          <w:b w:val="0"/>
          <w:sz w:val="22"/>
        </w:rPr>
        <w:t>其中 f 为共享骨干的视觉特征，g_q∈[0,1] 是第 q 条边界的路由门控，sigma 为 Sigmoid 函数。两条门控互不强制相等，因此可分别处理‘目标—含钛干扰’与‘目标—金属光泽干扰’的视觉证据差异。</w:t>
      </w:r>
    </w:p>
    <w:p>
      <w:pPr>
        <w:pStyle w:val="21"/>
        <w:keepNext/>
      </w:pPr>
      <w:r>
        <w:rPr>
          <w:rFonts w:ascii="黑体" w:hAnsi="黑体" w:eastAsia="黑体"/>
          <w:b/>
          <w:sz w:val="24"/>
        </w:rPr>
        <w:t>I.2 软专家与遗憾目标</w:t>
      </w:r>
    </w:p>
    <w:p>
      <w:pPr>
        <w:spacing w:after="100" w:line="336" w:lineRule="auto"/>
        <w:ind w:firstLine="420"/>
      </w:pPr>
      <w:r>
        <w:rPr>
          <w:rFonts w:ascii="宋体" w:hAnsi="宋体" w:eastAsia="宋体"/>
          <w:b w:val="0"/>
          <w:sz w:val="22"/>
        </w:rPr>
        <w:t>对训练样本，只在真实角色属于当前成对边界的情形启用该边界。设 Delta_q 为直接角色证据与种类映射证据在第 q 条边界上的有向差异，使用温度 tau 构造软专家门控目标；其对应的精确边际遗憾定义如下。</w:t>
      </w:r>
    </w:p>
    <w:p>
      <w:pPr>
        <w:spacing w:before="40" w:after="80" w:line="264" w:lineRule="auto"/>
        <w:jc w:val="center"/>
      </w:pPr>
      <w:r>
        <w:rPr>
          <w:rFonts w:ascii="Cambria Math" w:hAnsi="Cambria Math" w:eastAsia="Cambria Math"/>
          <w:b w:val="0"/>
          <w:sz w:val="22"/>
        </w:rPr>
        <w:t>g_(o,q)=sigma(Delta_q/tau),   r_q=|g_q-g_(o,q)| |Delta_q|</w:t>
      </w:r>
      <w:r>
        <w:t xml:space="preserve">    </w:t>
      </w:r>
      <w:r>
        <w:rPr>
          <w:rFonts w:ascii="Times New Roman" w:hAnsi="Times New Roman" w:eastAsia="Times New Roman"/>
          <w:b w:val="0"/>
          <w:sz w:val="21"/>
        </w:rPr>
        <w:t>(3)</w:t>
      </w:r>
    </w:p>
    <w:p>
      <w:pPr>
        <w:spacing w:before="40" w:after="80" w:line="264" w:lineRule="auto"/>
        <w:jc w:val="center"/>
      </w:pPr>
      <w:r>
        <w:rPr>
          <w:rFonts w:ascii="Cambria Math" w:hAnsi="Cambria Math" w:eastAsia="Cambria Math"/>
          <w:b w:val="0"/>
          <w:sz w:val="22"/>
        </w:rPr>
        <w:t>L_PHR=(sum_(q in {I,M}) w_q r_q)/(sum_(q in {I,M}) w_q 1[eligible_q])</w:t>
      </w:r>
      <w:r>
        <w:t xml:space="preserve">    </w:t>
      </w:r>
      <w:r>
        <w:rPr>
          <w:rFonts w:ascii="Times New Roman" w:hAnsi="Times New Roman" w:eastAsia="Times New Roman"/>
          <w:b w:val="0"/>
          <w:sz w:val="21"/>
        </w:rPr>
        <w:t>(4)</w:t>
      </w:r>
    </w:p>
    <w:p>
      <w:pPr>
        <w:spacing w:after="100" w:line="336" w:lineRule="auto"/>
        <w:ind w:firstLine="420"/>
      </w:pPr>
      <w:r>
        <w:rPr>
          <w:rFonts w:ascii="宋体" w:hAnsi="宋体" w:eastAsia="宋体"/>
          <w:b w:val="0"/>
          <w:sz w:val="22"/>
        </w:rPr>
        <w:t>在二元对数损失下，门控偏离软专家所造成的边际损失超额可由 r_q 上界；这一结论只针对预定义的成对对数几率边界，不推出四分类 Macro F1、外部泛化或工业分选指标必然提升。数值实现以 10,000 组 float64 合成样本核验遗憾恒等式、损失上界和符号保持条件，结果仅用于公式实现自检。</w:t>
      </w:r>
    </w:p>
    <w:p>
      <w:pPr>
        <w:pStyle w:val="21"/>
        <w:keepNext/>
      </w:pPr>
      <w:r>
        <w:rPr>
          <w:rFonts w:ascii="黑体" w:hAnsi="黑体" w:eastAsia="黑体"/>
          <w:b/>
          <w:sz w:val="24"/>
        </w:rPr>
        <w:t>I.3 最小范数耦合修正与性质边界</w:t>
      </w:r>
    </w:p>
    <w:p>
      <w:pPr>
        <w:spacing w:after="100" w:line="336" w:lineRule="auto"/>
        <w:ind w:firstLine="420"/>
      </w:pPr>
      <w:r>
        <w:rPr>
          <w:rFonts w:ascii="宋体" w:hAnsi="宋体" w:eastAsia="宋体"/>
          <w:b w:val="0"/>
          <w:sz w:val="22"/>
        </w:rPr>
        <w:t>PHR 将两条成对边界的修正量同时投影到四类 logit，以最小二范数改变满足约束。令 delta_I=m_(f,I)-m_(0,I)、delta_M=m_(f,M)-m_(0,M)，其中 m_0 为 RSG-HRGV 融合后的基线边际，则一组闭式修正为：</w:t>
      </w:r>
    </w:p>
    <w:p>
      <w:pPr>
        <w:spacing w:before="40" w:after="80" w:line="264" w:lineRule="auto"/>
        <w:jc w:val="center"/>
      </w:pPr>
      <w:r>
        <w:rPr>
          <w:rFonts w:ascii="Cambria Math" w:hAnsi="Cambria Math" w:eastAsia="Cambria Math"/>
          <w:b w:val="0"/>
          <w:sz w:val="22"/>
        </w:rPr>
        <w:t>a_T=(delta_I+delta_M)/3,   a_I=(delta_M-2delta_I)/3,   a_M=(delta_I-2delta_M)/3,   a_G=0</w:t>
      </w:r>
      <w:r>
        <w:t xml:space="preserve">    </w:t>
      </w:r>
      <w:r>
        <w:rPr>
          <w:rFonts w:ascii="Times New Roman" w:hAnsi="Times New Roman" w:eastAsia="Times New Roman"/>
          <w:b w:val="0"/>
          <w:sz w:val="21"/>
        </w:rPr>
        <w:t>(5)</w:t>
      </w:r>
    </w:p>
    <w:p>
      <w:pPr>
        <w:spacing w:before="40" w:after="80" w:line="264" w:lineRule="auto"/>
        <w:jc w:val="center"/>
      </w:pPr>
      <w:r>
        <w:rPr>
          <w:rFonts w:ascii="Cambria Math" w:hAnsi="Cambria Math" w:eastAsia="Cambria Math"/>
          <w:b w:val="0"/>
          <w:sz w:val="22"/>
        </w:rPr>
        <w:t>ell_PHR=ell_0+(a_T,a_I,a_G,a_M)</w:t>
      </w:r>
      <w:r>
        <w:t xml:space="preserve">    </w:t>
      </w:r>
      <w:r>
        <w:rPr>
          <w:rFonts w:ascii="Times New Roman" w:hAnsi="Times New Roman" w:eastAsia="Times New Roman"/>
          <w:b w:val="0"/>
          <w:sz w:val="21"/>
        </w:rPr>
        <w:t>(6)</w:t>
      </w:r>
    </w:p>
    <w:p>
      <w:pPr>
        <w:spacing w:after="100" w:line="336" w:lineRule="auto"/>
        <w:ind w:firstLine="420"/>
      </w:pPr>
      <w:r>
        <w:rPr>
          <w:rFonts w:ascii="宋体" w:hAnsi="宋体" w:eastAsia="宋体"/>
          <w:b w:val="0"/>
          <w:sz w:val="22"/>
        </w:rPr>
        <w:t>该投影满足目标—含钛干扰和目标—金属光泽干扰的指定边际变化，并在所有满足约束的 logit 修正中具有最小二范数。需特别说明：a_G=0 只表示脉石 logit 不变；Softmax 归一化后，脉石概率仍可能变化。因此，局部成对边际改善不等价于全局四分类风险、校准误差或 Macro F1 的必然改善。</w:t>
      </w:r>
    </w:p>
    <w:p>
      <w:pPr>
        <w:pStyle w:val="21"/>
        <w:keepNext/>
      </w:pPr>
      <w:r>
        <w:rPr>
          <w:rFonts w:ascii="黑体" w:hAnsi="黑体" w:eastAsia="黑体"/>
          <w:b/>
          <w:sz w:val="24"/>
        </w:rPr>
        <w:t>I.4 网络结构与可审计验证方案</w:t>
      </w:r>
    </w:p>
    <w:p>
      <w:pPr>
        <w:jc w:val="center"/>
      </w:pPr>
      <w:r>
        <w:drawing>
          <wp:inline xmlns:a="http://schemas.openxmlformats.org/drawingml/2006/main" xmlns:pic="http://schemas.openxmlformats.org/drawingml/2006/picture">
            <wp:extent cx="5472000" cy="3172719"/>
            <wp:docPr id="60" name="Picture 60"/>
            <wp:cNvGraphicFramePr>
              <a:graphicFrameLocks noChangeAspect="1"/>
            </wp:cNvGraphicFramePr>
            <a:graphic>
              <a:graphicData uri="http://schemas.openxmlformats.org/drawingml/2006/picture">
                <pic:pic>
                  <pic:nvPicPr>
                    <pic:cNvPr id="0" name="fig_phr_routing_architecture.png"/>
                    <pic:cNvPicPr/>
                  </pic:nvPicPr>
                  <pic:blipFill>
                    <a:blip r:embed="rId71"/>
                    <a:stretch>
                      <a:fillRect/>
                    </a:stretch>
                  </pic:blipFill>
                  <pic:spPr>
                    <a:xfrm>
                      <a:off x="0" y="0"/>
                      <a:ext cx="5472000" cy="3172719"/>
                    </a:xfrm>
                    <a:prstGeom prst="rect"/>
                  </pic:spPr>
                </pic:pic>
              </a:graphicData>
            </a:graphic>
          </wp:inline>
        </w:drawing>
      </w:r>
    </w:p>
    <w:p>
      <w:pPr>
        <w:pStyle w:val="af7"/>
        <w:spacing w:after="100"/>
        <w:jc w:val="center"/>
      </w:pPr>
      <w:r>
        <w:rPr>
          <w:rFonts w:ascii="宋体" w:hAnsi="宋体" w:eastAsia="宋体"/>
          <w:b w:val="0"/>
          <w:sz w:val="21"/>
        </w:rPr>
        <w:t>图 27 PHR 候选网络扩展：两条成对边界的门控、遗憾监督与最小范数修正。虚线部分仅在训练期使用。</w:t>
      </w:r>
    </w:p>
    <w:p>
      <w:pPr>
        <w:spacing w:after="100" w:line="336" w:lineRule="auto"/>
        <w:ind w:firstLine="420"/>
      </w:pPr>
      <w:r>
        <w:rPr>
          <w:rFonts w:ascii="宋体" w:hAnsi="宋体" w:eastAsia="宋体"/>
          <w:b w:val="0"/>
          <w:sz w:val="22"/>
        </w:rPr>
        <w:t>筛选阶段固定数据清单，仅使用验证集，并预注册八组设置：RSG 参考、完整 PHR、固定 0.5 门控、硬门控目标、非加权损失、耦合特征、仅含钛边界和仅金属光泽边界。完整 PHR 只有满足预先定义的 Macro F1、成对遗憾或风险取舍准则之一时，才会晋级至三随机种子的锁定测试集比较。正式分析同时核验清单哈希、脚本哈希、运行状态、验证集晋级决定和逐图预测，避免把旧试跑、测试集调参或不完整运行写入结论。</w:t>
      </w:r>
    </w:p>
    <w:p>
      <w:pPr>
        <w:pStyle w:val="21"/>
        <w:keepNext/>
      </w:pPr>
      <w:r>
        <w:rPr>
          <w:rFonts w:ascii="黑体" w:hAnsi="黑体" w:eastAsia="黑体"/>
          <w:b/>
          <w:sz w:val="24"/>
        </w:rPr>
        <w:t>I.5 与本报告主线的关系</w:t>
      </w:r>
    </w:p>
    <w:p>
      <w:pPr>
        <w:spacing w:after="100" w:line="336" w:lineRule="auto"/>
        <w:ind w:firstLine="420"/>
      </w:pPr>
      <w:r>
        <w:rPr>
          <w:rFonts w:ascii="宋体" w:hAnsi="宋体" w:eastAsia="宋体"/>
          <w:b w:val="0"/>
          <w:sz w:val="22"/>
        </w:rPr>
        <w:t>当前技术报告的已完成主线仍为角色感知分层一致性与困难负样本学习。PHR 作为可检验的网络创新候选，补足了‘两类困难干扰具有不同边界、应分别路由’的形式化定义与可复现实验协议。若后续正式实验未通过验证集晋级或未在锁定测试上形成可信证据，应将其保留为负结果或后续工作，而不能写入本报告的已取得性能成果。</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