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提出层级风险门控验证网络（HRGV-Net）。网络以 EfficientNet-B0 为共享主干，设置直接角色专家和矿物种类专家；后者经固定映射矩阵 A 聚合为角色后验。可靠性门控根据共享特征、两个专家的熵及 Jensen-Shannon 分歧进行逐图融合，随后由“目标—含钛干扰”和“目标—金属光泽干扰”两个验证器对目标后验进行中性区残差校正。 本方法仍是公开矿物标本图像上的视觉代理任务，不等同于工业分选回收率验证。</w:t>
      </w:r>
    </w:p>
    <w:p>
      <w:pPr>
        <w:keepNext/>
        <w:jc w:val="center"/>
      </w:pPr>
      <w:r>
        <w:drawing>
          <wp:inline xmlns:a="http://schemas.openxmlformats.org/drawingml/2006/main" xmlns:pic="http://schemas.openxmlformats.org/drawingml/2006/picture">
            <wp:extent cx="5832000" cy="3424735"/>
            <wp:docPr id="28" name="Picture 28"/>
            <wp:cNvGraphicFramePr>
              <a:graphicFrameLocks noChangeAspect="1"/>
            </wp:cNvGraphicFramePr>
            <a:graphic>
              <a:graphicData uri="http://schemas.openxmlformats.org/drawingml/2006/picture">
                <pic:pic>
                  <pic:nvPicPr>
                    <pic:cNvPr id="0" name="fig_hrgv_architecture.png"/>
                    <pic:cNvPicPr/>
                  </pic:nvPicPr>
                  <pic:blipFill>
                    <a:blip r:embed="rId39"/>
                    <a:stretch>
                      <a:fillRect/>
                    </a:stretch>
                  </pic:blipFill>
                  <pic:spPr>
                    <a:xfrm>
                      <a:off x="0" y="0"/>
                      <a:ext cx="5832000" cy="3424735"/>
                    </a:xfrm>
                    <a:prstGeom prst="rect"/>
                  </pic:spPr>
                </pic:pic>
              </a:graphicData>
            </a:graphic>
          </wp:inline>
        </w:drawing>
      </w:r>
    </w:p>
    <w:p>
      <w:pPr>
        <w:pStyle w:val="af7"/>
        <w:jc w:val="center"/>
      </w:pPr>
      <w:r>
        <w:rPr>
          <w:rFonts w:ascii="宋体" w:hAnsi="宋体" w:eastAsia="宋体"/>
          <w:sz w:val="19"/>
        </w:rPr>
        <w:t>图 5 HRGV-Net 的层级证据融合与困难负样本风险验证结构</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14:paraId="35530D39" w14:textId="77777777" w:rsidR="00B8619C" w:rsidRDefault="00000000">
      <w:pPr>
        <w:pStyle w:val="21"/>
        <w:spacing w:line="360" w:lineRule="auto"/>
      </w:pPr>
      <w:r>
        <w:rPr>
          <w:rFonts w:ascii="宋体" w:hAnsi="宋体" w:eastAsia="宋体"/>
          <w:sz w:val="21"/>
        </w:rPr>
        <w:t>5.18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26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27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after="80"/>
      </w:pPr>
      <w:r>
        <w:rPr>
          <w:rFonts w:ascii="宋体" w:hAnsi="宋体" w:eastAsia="宋体"/>
          <w:sz w:val="21"/>
        </w:rPr>
        <w:t>12.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