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keepNext/>
        <w:jc w:val="center"/>
      </w:pPr>
      <w:r>
        <w:drawing>
          <wp:inline xmlns:a="http://schemas.openxmlformats.org/drawingml/2006/main" xmlns:pic="http://schemas.openxmlformats.org/drawingml/2006/picture">
            <wp:extent cx="5760000" cy="3360000"/>
            <wp:docPr id="25" name="Picture 25"/>
            <wp:cNvGraphicFramePr>
              <a:graphicFrameLocks noChangeAspect="1"/>
            </wp:cNvGraphicFramePr>
            <a:graphic>
              <a:graphicData uri="http://schemas.openxmlformats.org/drawingml/2006/picture">
                <pic:pic>
                  <pic:nvPicPr>
                    <pic:cNvPr id="0" name="fig_theory_aware_architecture_v2.png"/>
                    <pic:cNvPicPr/>
                  </pic:nvPicPr>
                  <pic:blipFill>
                    <a:blip r:embed="rId36"/>
                    <a:stretch>
                      <a:fillRect/>
                    </a:stretch>
                  </pic:blipFill>
                  <pic:spPr>
                    <a:xfrm>
                      <a:off x="0" y="0"/>
                      <a:ext cx="5760000" cy="3360000"/>
                    </a:xfrm>
                    <a:prstGeom prst="rect"/>
                  </pic:spPr>
                </pic:pic>
              </a:graphicData>
            </a:graphic>
          </wp:inline>
        </w:drawing>
      </w:r>
    </w:p>
    <w:p>
      <w:pPr>
        <w:pStyle w:val="af7"/>
        <w:jc w:val="center"/>
      </w:pPr>
      <w:r>
        <w:rPr>
          <w:rFonts w:ascii="宋体" w:hAnsi="宋体" w:eastAsia="宋体"/>
          <w:sz w:val="19"/>
        </w:rPr>
        <w:t>图 5 理论感知的分层网络、校准与风险认证结构（修订）</w:t>
      </w:r>
    </w:p>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14:paraId="498E2798" w14:textId="77777777" w:rsidR="00B8619C" w:rsidRDefault="00000000">
      <w:pPr>
        <w:pStyle w:val="21"/>
      </w:pPr>
      <w:r>
        <w:t xml:space="preserve">4.6 </w:t>
      </w:r>
      <w:r>
        <w:t>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pPr>
      <w:r>
        <w:t xml:space="preserve">4.7 </w:t>
      </w:r>
      <w:r>
        <w:t>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14:paraId="35530D39" w14:textId="77777777" w:rsidR="00B8619C" w:rsidRDefault="00000000">
      <w:pPr>
        <w:pStyle w:val="21"/>
        <w:spacing w:line="360" w:lineRule="auto"/>
      </w:pPr>
      <w:r>
        <w:rPr>
          <w:rFonts w:ascii="宋体" w:hAnsi="宋体" w:eastAsia="宋体"/>
          <w:sz w:val="21"/>
        </w:rPr>
        <w:t>5.16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24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25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ind w:firstLine="420"/>
        <w:jc w:val="both"/>
      </w:pPr>
      <w:r>
        <w:t>采集由专家或化验确认的真实钒钛矿颗粒图像，建立独立外部测试集；建立独立未知矿物图像集，比较最大</w:t>
      </w:r>
      <w:r>
        <w:t xml:space="preserve"> Softmax</w:t>
      </w:r>
      <w:r>
        <w:t>、预测熵、</w:t>
      </w:r>
      <w:r>
        <w:t xml:space="preserve">Energy Score </w:t>
      </w:r>
      <w:r>
        <w:t>等开放集方法；在取得真实流程阶段、品位</w:t>
      </w:r>
      <w:r>
        <w:t>/</w:t>
      </w:r>
      <w:r>
        <w:t>回收率、动作代价和检查成本后，再研究阶段条件化选矿决策与多模态确认。</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after="80"/>
      </w:pPr>
      <w:r>
        <w:rPr>
          <w:rFonts w:ascii="宋体" w:hAnsi="宋体" w:eastAsia="宋体"/>
          <w:sz w:val="21"/>
        </w:rPr>
        <w:t>10.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outputs/paper_experiments_v2/training_summaries/；新增论文图位于 outputs/paper_figures_v2/。</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