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给定真实条件后验 q、已知错误代价矩阵 C，且拒识后的总损失为常数 crej 时，逐图比较所有直接动作的最小条件风险与 crej，可得贝叶斯最优选择性决策。使用网络估计后验时，该规则仅最小化估计后验下的风险；概率校准本身不足以保证真实条件风险最优。若拒识意味着送检，其风险还应包含检测后的残余决策损失。本研究仅验证公开标本图像上的选择性识别，不声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设门控输入 z 包含共享特征、两专家熵与专家分歧。只有对完整输入 z、软目标 g* 和权重 w 同时停止梯度，且门控参数与专家参数不共享时，后悔监督关于共享主干和专家参数的梯度才严格为零，门控自身参数梯度仍可非零。仅停止目标与权重的梯度不足以切断经门控输入反传的路径。实现中的 detach_gate_features=True 切断该路径。结论仅限 Lreg 分支，不中断角色、种类、验证器和对比损失对共享主干的训练。</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p>
      <w:pPr>
        <w:pStyle w:val="1"/>
      </w:pPr>
      <w:r>
        <w:t>附录 H RSG-HRGV 理论性质与证据对应图</w:t>
      </w:r>
    </w:p>
    <w:p>
      <w:pPr>
        <w:pStyle w:val="21"/>
      </w:pPr>
      <w:r>
        <w:t>H.1 定理、计算图与实验证据的对应关系</w:t>
      </w:r>
    </w:p>
    <w:p>
      <w:pPr>
        <w:spacing w:line="360" w:lineRule="auto"/>
      </w:pPr>
      <w:r>
        <w:rPr>
          <w:rFonts w:ascii="宋体" w:hAnsi="宋体" w:eastAsia="宋体"/>
          <w:sz w:val="21"/>
        </w:rPr>
        <w:t>图 22 将 RSG-HRGV 的三条可证明性质与其直接对应的经验指标并列呈现。定理 B.1 约束门控偏离真实类概率更优专家时的路由后悔；定理 B.2 描述损失差驱动的软门控对硬最优选择的指数逼近；定理 B.3 限定 stop-gradient 后悔分支的局部梯度范围。它们均为当前公式与计算图的性质，而非总体分类精度的先验保证。</w:t>
      </w:r>
    </w:p>
    <w:p>
      <w:pPr>
        <w:jc w:val="center"/>
      </w:pPr>
      <w:r>
        <w:drawing>
          <wp:inline xmlns:a="http://schemas.openxmlformats.org/drawingml/2006/main" xmlns:pic="http://schemas.openxmlformats.org/drawingml/2006/picture">
            <wp:extent cx="5688000" cy="3000466"/>
            <wp:docPr id="55" name="Picture 55"/>
            <wp:cNvGraphicFramePr>
              <a:graphicFrameLocks noChangeAspect="1"/>
            </wp:cNvGraphicFramePr>
            <a:graphic>
              <a:graphicData uri="http://schemas.openxmlformats.org/drawingml/2006/picture">
                <pic:pic>
                  <pic:nvPicPr>
                    <pic:cNvPr id="0" name="fig_rsg_theory_evidence.png"/>
                    <pic:cNvPicPr/>
                  </pic:nvPicPr>
                  <pic:blipFill>
                    <a:blip r:embed="rId66"/>
                    <a:stretch>
                      <a:fillRect/>
                    </a:stretch>
                  </pic:blipFill>
                  <pic:spPr>
                    <a:xfrm>
                      <a:off x="0" y="0"/>
                      <a:ext cx="5688000" cy="3000466"/>
                    </a:xfrm>
                    <a:prstGeom prst="rect"/>
                  </pic:spPr>
                </pic:pic>
              </a:graphicData>
            </a:graphic>
          </wp:inline>
        </w:drawing>
      </w:r>
    </w:p>
    <w:p>
      <w:pPr>
        <w:pStyle w:val="af7"/>
        <w:jc w:val="center"/>
      </w:pPr>
      <w:r>
        <w:rPr>
          <w:rFonts w:ascii="宋体" w:hAnsi="宋体" w:eastAsia="宋体"/>
          <w:sz w:val="19"/>
        </w:rPr>
        <w:t>图 22 RSG-HRGV 的理论性质与平均路由后悔证据对应关系</w:t>
      </w:r>
    </w:p>
    <w:p>
      <w:pPr>
        <w:spacing w:line="360" w:lineRule="auto"/>
      </w:pPr>
      <w:r>
        <w:rPr>
          <w:rFonts w:ascii="宋体" w:hAnsi="宋体" w:eastAsia="宋体"/>
          <w:sz w:val="21"/>
        </w:rPr>
        <w:t>固定测试的 RSG-HRGV 相对 HRGV 平均路由后悔差为 -1.77 个百分点，95% Bootstrap 区间为 [-2.86, -0.69] 个百分点；摄影者留出确认集对应差值为 -3.53 个百分点，区间为 [-4.75, -2.17] 个百分点。两个预定义区间均低于零，支持在本协议下平均路由后悔下降。该结论不主张总体分类性能优越：Accuracy、Macro F1、目标类召回及两类误入目标比例的成对区间仍存在跨零情况。</w:t>
      </w:r>
    </w:p>
    <w:p>
      <w:pPr>
        <w:spacing w:line="360" w:lineRule="auto"/>
      </w:pPr>
      <w:r>
        <w:rPr>
          <w:rFonts w:ascii="宋体" w:hAnsi="宋体" w:eastAsia="宋体"/>
          <w:sz w:val="21"/>
        </w:rPr>
        <w:t>证据边界：图中的摄影者留出仍来自公开 Mindat 标本图像，不能等同于真实矿石颗粒、现场传送带、工业分选、精矿品位、回收率、元素含量检测、跨矿区泛化或未知矿物拒识。</w:t>
      </w:r>
    </w:p>
    <w:p>
      <w:pPr>
        <w:pStyle w:val="21"/>
      </w:pPr>
      <w:r>
        <w:t>H.2 高精度检查点重放的数值一致性验证</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随机种子</w:t>
            </w:r>
          </w:p>
        </w:tc>
        <w:tc>
          <w:tcPr>
            <w:tcW w:type="dxa" w:w="1148"/>
          </w:tcPr>
          <w:p>
            <w:pPr>
              <w:jc w:val="center"/>
            </w:pPr>
            <w:r>
              <w:rPr>
                <w:rFonts w:ascii="宋体" w:hAnsi="宋体" w:eastAsia="宋体"/>
                <w:b/>
                <w:sz w:val="17"/>
              </w:rPr>
              <w:t>样本数</w:t>
            </w:r>
          </w:p>
        </w:tc>
        <w:tc>
          <w:tcPr>
            <w:tcW w:type="dxa" w:w="1148"/>
          </w:tcPr>
          <w:p>
            <w:pPr>
              <w:jc w:val="center"/>
            </w:pPr>
            <w:r>
              <w:rPr>
                <w:rFonts w:ascii="宋体" w:hAnsi="宋体" w:eastAsia="宋体"/>
                <w:b/>
                <w:sz w:val="17"/>
              </w:rPr>
              <w:t>最小真值概率</w:t>
            </w:r>
          </w:p>
        </w:tc>
        <w:tc>
          <w:tcPr>
            <w:tcW w:type="dxa" w:w="1148"/>
          </w:tcPr>
          <w:p>
            <w:pPr>
              <w:jc w:val="center"/>
            </w:pPr>
            <w:r>
              <w:rPr>
                <w:rFonts w:ascii="宋体" w:hAnsi="宋体" w:eastAsia="宋体"/>
                <w:b/>
                <w:sz w:val="17"/>
              </w:rPr>
              <w:t>B.1 最大残差</w:t>
            </w:r>
          </w:p>
        </w:tc>
        <w:tc>
          <w:tcPr>
            <w:tcW w:type="dxa" w:w="1148"/>
          </w:tcPr>
          <w:p>
            <w:pPr>
              <w:jc w:val="center"/>
            </w:pPr>
            <w:r>
              <w:rPr>
                <w:rFonts w:ascii="宋体" w:hAnsi="宋体" w:eastAsia="宋体"/>
                <w:b/>
                <w:sz w:val="17"/>
              </w:rPr>
              <w:t>B.1 违反数</w:t>
            </w:r>
          </w:p>
        </w:tc>
        <w:tc>
          <w:tcPr>
            <w:tcW w:type="dxa" w:w="1148"/>
          </w:tcPr>
          <w:p>
            <w:pPr>
              <w:jc w:val="center"/>
            </w:pPr>
            <w:r>
              <w:rPr>
                <w:rFonts w:ascii="宋体" w:hAnsi="宋体" w:eastAsia="宋体"/>
                <w:b/>
                <w:sz w:val="17"/>
              </w:rPr>
              <w:t>B.2 最大残差</w:t>
            </w:r>
          </w:p>
        </w:tc>
        <w:tc>
          <w:tcPr>
            <w:tcW w:type="dxa" w:w="1148"/>
          </w:tcPr>
          <w:p>
            <w:pPr>
              <w:jc w:val="center"/>
            </w:pPr>
            <w:r>
              <w:rPr>
                <w:rFonts w:ascii="宋体" w:hAnsi="宋体" w:eastAsia="宋体"/>
                <w:b/>
                <w:sz w:val="17"/>
              </w:rPr>
              <w:t>B.2 违反数</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3.11e-06</w:t>
            </w:r>
          </w:p>
        </w:tc>
        <w:tc>
          <w:tcPr>
            <w:tcW w:type="dxa" w:w="1148"/>
          </w:tcPr>
          <w:p>
            <w:pPr>
              <w:jc w:val="center"/>
            </w:pPr>
            <w:r>
              <w:rPr>
                <w:rFonts w:ascii="宋体" w:hAnsi="宋体" w:eastAsia="宋体"/>
                <w:b w:val="0"/>
                <w:sz w:val="17"/>
              </w:rPr>
              <w:t>-6.09e-01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5.89e-08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20260728</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3.97e-07</w:t>
            </w:r>
          </w:p>
        </w:tc>
        <w:tc>
          <w:tcPr>
            <w:tcW w:type="dxa" w:w="1148"/>
          </w:tcPr>
          <w:p>
            <w:pPr>
              <w:jc w:val="center"/>
            </w:pPr>
            <w:r>
              <w:rPr>
                <w:rFonts w:ascii="宋体" w:hAnsi="宋体" w:eastAsia="宋体"/>
                <w:b w:val="0"/>
                <w:sz w:val="17"/>
              </w:rPr>
              <w:t>-3.35e-01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5.94e-08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6.80e-07</w:t>
            </w:r>
          </w:p>
        </w:tc>
        <w:tc>
          <w:tcPr>
            <w:tcW w:type="dxa" w:w="1148"/>
          </w:tcPr>
          <w:p>
            <w:pPr>
              <w:jc w:val="center"/>
            </w:pPr>
            <w:r>
              <w:rPr>
                <w:rFonts w:ascii="宋体" w:hAnsi="宋体" w:eastAsia="宋体"/>
                <w:b w:val="0"/>
                <w:sz w:val="17"/>
              </w:rPr>
              <w:t>-5.96e-08</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4.35e-08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7.30e-07</w:t>
            </w:r>
          </w:p>
        </w:tc>
        <w:tc>
          <w:tcPr>
            <w:tcW w:type="dxa" w:w="1148"/>
          </w:tcPr>
          <w:p>
            <w:pPr>
              <w:jc w:val="center"/>
            </w:pPr>
            <w:r>
              <w:rPr>
                <w:rFonts w:ascii="宋体" w:hAnsi="宋体" w:eastAsia="宋体"/>
                <w:b w:val="0"/>
                <w:sz w:val="17"/>
              </w:rPr>
              <w:t>-4.90e-01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3.95e-08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3.10e-05</w:t>
            </w:r>
          </w:p>
        </w:tc>
        <w:tc>
          <w:tcPr>
            <w:tcW w:type="dxa" w:w="1148"/>
          </w:tcPr>
          <w:p>
            <w:pPr>
              <w:jc w:val="center"/>
            </w:pPr>
            <w:r>
              <w:rPr>
                <w:rFonts w:ascii="宋体" w:hAnsi="宋体" w:eastAsia="宋体"/>
                <w:b w:val="0"/>
                <w:sz w:val="17"/>
              </w:rPr>
              <w:t>-2.65e+01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-8.69e-09</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20260730</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1.13e-05</w:t>
            </w:r>
          </w:p>
        </w:tc>
        <w:tc>
          <w:tcPr>
            <w:tcW w:type="dxa" w:w="1148"/>
          </w:tcPr>
          <w:p>
            <w:pPr>
              <w:jc w:val="center"/>
            </w:pPr>
            <w:r>
              <w:rPr>
                <w:rFonts w:ascii="宋体" w:hAnsi="宋体" w:eastAsia="宋体"/>
                <w:b w:val="0"/>
                <w:sz w:val="17"/>
              </w:rPr>
              <w:t>-1.31e+00</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3.50e-08</w:t>
            </w:r>
          </w:p>
        </w:tc>
        <w:tc>
          <w:tcPr>
            <w:tcW w:type="dxa" w:w="1148"/>
          </w:tcPr>
          <w:p>
            <w:pPr>
              <w:jc w:val="center"/>
            </w:pPr>
            <w:r>
              <w:rPr>
                <w:rFonts w:ascii="宋体" w:hAnsi="宋体" w:eastAsia="宋体"/>
                <w:b w:val="0"/>
                <w:sz w:val="17"/>
              </w:rPr>
              <w:t>0</w:t>
            </w:r>
          </w:p>
        </w:tc>
      </w:tr>
    </w:tbl>
    <w:p/>
    <w:p>
      <w:pPr>
        <w:spacing w:line="360" w:lineRule="auto"/>
      </w:pPr>
      <w:r>
        <w:rPr>
          <w:rFonts w:ascii="宋体" w:hAnsi="宋体" w:eastAsia="宋体"/>
          <w:sz w:val="21"/>
        </w:rPr>
        <w:t>为避免原始逐图 CSV 六位小数导出把极小概率写为零，使用保存的最佳检查点对固定测试三种子和摄影者留出三种子重新执行只读推理，以 15 位小数导出门控及两路真值概率。共 6 次、6390 张图像；采用 float32 概率下界 1.19e-07、数值容差 2.00e-06。定理 B.1 最大残差为 -5.96e-08、违反数为 0；定理 B.2 最大残差为 5.94e-08、违反数为 0。因此，高精度检查点重放支持当前 RSG-HRGV 公式在已训练模型输出上的数值一致性验证。</w:t>
      </w:r>
    </w:p>
    <w:p>
      <w:pPr>
        <w:spacing w:line="360" w:lineRule="auto"/>
      </w:pPr>
      <w:r>
        <w:rPr>
          <w:rFonts w:ascii="宋体" w:hAnsi="宋体" w:eastAsia="宋体"/>
          <w:sz w:val="21"/>
        </w:rPr>
        <w:t>该验证仅检查定理 B.1 与 B.2 所用概率、门控和软目标在实现中的数值关系；不构成新的分类性能实验，也不支持工业分选、品位、回收率、元素含量、外部泛化或未知矿物拒识结论。</w:t>
      </w:r>
    </w:p>
    <w:p>
      <w:pPr>
        <w:pStyle w:val="21"/>
      </w:pPr>
      <w:r>
        <w:t>H.3 主干替换不变性与 ResNet50 跨主干确认</w:t>
      </w:r>
    </w:p>
    <w:p>
      <w:pPr>
        <w:spacing w:line="360" w:lineRule="auto"/>
      </w:pPr>
      <w:r>
        <w:rPr>
          <w:rFonts w:ascii="宋体" w:hAnsi="宋体" w:eastAsia="宋体"/>
          <w:sz w:val="21"/>
        </w:rPr>
        <w:t>主干替换不变性命题是融合层的条件性结论：只要不同视觉主干经两位专家输出合法概率分布，并保持同一凸门控、软后悔目标和 stop-gradient 计算图，定理 B.1--B.3 的推导不依赖卷积或残差模块的具体形式。该命题不等同于任意主干具有相同或更高的分类性能，因此以 ImageNet 预训练 ResNet50 在完全匹配的数据划分、训练预算、随机种子和比较配置下进行三随机种子确认。</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ResNet50 配置</w:t>
            </w:r>
          </w:p>
        </w:tc>
        <w:tc>
          <w:tcPr>
            <w:tcW w:type="dxa" w:w="2296"/>
          </w:tcPr>
          <w:p>
            <w:pPr>
              <w:jc w:val="center"/>
            </w:pPr>
            <w:r>
              <w:rPr>
                <w:rFonts w:ascii="宋体" w:hAnsi="宋体" w:eastAsia="宋体"/>
                <w:b/>
                <w:sz w:val="17"/>
              </w:rPr>
              <w:t>Accuracy</w:t>
            </w:r>
          </w:p>
        </w:tc>
        <w:tc>
          <w:tcPr>
            <w:tcW w:type="dxa" w:w="2296"/>
          </w:tcPr>
          <w:p>
            <w:pPr>
              <w:jc w:val="center"/>
            </w:pPr>
            <w:r>
              <w:rPr>
                <w:rFonts w:ascii="宋体" w:hAnsi="宋体" w:eastAsia="宋体"/>
                <w:b/>
                <w:sz w:val="17"/>
              </w:rPr>
              <w:t>Macro F1</w:t>
            </w:r>
          </w:p>
        </w:tc>
        <w:tc>
          <w:tcPr>
            <w:tcW w:type="dxa" w:w="2296"/>
          </w:tcPr>
          <w:p>
            <w:pPr>
              <w:jc w:val="center"/>
            </w:pPr>
            <w:r>
              <w:rPr>
                <w:rFonts w:ascii="宋体" w:hAnsi="宋体" w:eastAsia="宋体"/>
                <w:b/>
                <w:sz w:val="17"/>
              </w:rPr>
              <w:t>平均路由后悔</w:t>
            </w:r>
          </w:p>
        </w:tc>
      </w:tr>
      <w:tr>
        <w:tc>
          <w:tcPr>
            <w:tcW w:type="dxa" w:w="2296"/>
          </w:tcPr>
          <w:p>
            <w:pPr>
              <w:jc w:val="center"/>
            </w:pPr>
            <w:r>
              <w:rPr>
                <w:rFonts w:ascii="宋体" w:hAnsi="宋体" w:eastAsia="宋体"/>
                <w:b w:val="0"/>
                <w:sz w:val="17"/>
              </w:rPr>
              <w:t>HRGV 参考模型</w:t>
            </w:r>
          </w:p>
        </w:tc>
        <w:tc>
          <w:tcPr>
            <w:tcW w:type="dxa" w:w="2296"/>
          </w:tcPr>
          <w:p>
            <w:pPr>
              <w:jc w:val="center"/>
            </w:pPr>
            <w:r>
              <w:rPr>
                <w:rFonts w:ascii="宋体" w:hAnsi="宋体" w:eastAsia="宋体"/>
                <w:b w:val="0"/>
                <w:sz w:val="17"/>
              </w:rPr>
              <w:t>75.36%</w:t>
            </w:r>
          </w:p>
        </w:tc>
        <w:tc>
          <w:tcPr>
            <w:tcW w:type="dxa" w:w="2296"/>
          </w:tcPr>
          <w:p>
            <w:pPr>
              <w:jc w:val="center"/>
            </w:pPr>
            <w:r>
              <w:rPr>
                <w:rFonts w:ascii="宋体" w:hAnsi="宋体" w:eastAsia="宋体"/>
                <w:b w:val="0"/>
                <w:sz w:val="17"/>
              </w:rPr>
              <w:t>73.29%</w:t>
            </w:r>
          </w:p>
        </w:tc>
        <w:tc>
          <w:tcPr>
            <w:tcW w:type="dxa" w:w="2296"/>
          </w:tcPr>
          <w:p>
            <w:pPr>
              <w:jc w:val="center"/>
            </w:pPr>
            <w:r>
              <w:rPr>
                <w:rFonts w:ascii="宋体" w:hAnsi="宋体" w:eastAsia="宋体"/>
                <w:b w:val="0"/>
                <w:sz w:val="17"/>
              </w:rPr>
              <w:t>11.84%</w:t>
            </w:r>
          </w:p>
        </w:tc>
      </w:tr>
      <w:tr>
        <w:tc>
          <w:tcPr>
            <w:tcW w:type="dxa" w:w="2296"/>
          </w:tcPr>
          <w:p>
            <w:pPr>
              <w:jc w:val="center"/>
            </w:pPr>
            <w:r>
              <w:rPr>
                <w:rFonts w:ascii="宋体" w:hAnsi="宋体" w:eastAsia="宋体"/>
                <w:b w:val="0"/>
                <w:sz w:val="17"/>
              </w:rPr>
              <w:t>RSG-HRGV</w:t>
            </w:r>
          </w:p>
        </w:tc>
        <w:tc>
          <w:tcPr>
            <w:tcW w:type="dxa" w:w="2296"/>
          </w:tcPr>
          <w:p>
            <w:pPr>
              <w:jc w:val="center"/>
            </w:pPr>
            <w:r>
              <w:rPr>
                <w:rFonts w:ascii="宋体" w:hAnsi="宋体" w:eastAsia="宋体"/>
                <w:b w:val="0"/>
                <w:sz w:val="17"/>
              </w:rPr>
              <w:t>76.64%</w:t>
            </w:r>
          </w:p>
        </w:tc>
        <w:tc>
          <w:tcPr>
            <w:tcW w:type="dxa" w:w="2296"/>
          </w:tcPr>
          <w:p>
            <w:pPr>
              <w:jc w:val="center"/>
            </w:pPr>
            <w:r>
              <w:rPr>
                <w:rFonts w:ascii="宋体" w:hAnsi="宋体" w:eastAsia="宋体"/>
                <w:b w:val="0"/>
                <w:sz w:val="17"/>
              </w:rPr>
              <w:t>74.28%</w:t>
            </w:r>
          </w:p>
        </w:tc>
        <w:tc>
          <w:tcPr>
            <w:tcW w:type="dxa" w:w="2296"/>
          </w:tcPr>
          <w:p>
            <w:pPr>
              <w:jc w:val="center"/>
            </w:pPr>
            <w:r>
              <w:rPr>
                <w:rFonts w:ascii="宋体" w:hAnsi="宋体" w:eastAsia="宋体"/>
                <w:b w:val="0"/>
                <w:sz w:val="17"/>
              </w:rPr>
              <w:t>8.51%</w:t>
            </w:r>
          </w:p>
        </w:tc>
      </w:tr>
    </w:tbl>
    <w:p/>
    <w:p>
      <w:pPr>
        <w:spacing w:line="360" w:lineRule="auto"/>
      </w:pPr>
      <w:r>
        <w:rPr>
          <w:rFonts w:ascii="宋体" w:hAnsi="宋体" w:eastAsia="宋体"/>
          <w:sz w:val="21"/>
        </w:rPr>
        <w:t>RSG-HRGV 减 HRGV 的平均路由后悔差为 -3.33%，95% Bootstrap 区间为 [-4.86%, -1.98%]。若该区间低于零，则支持在 ResNet50 协议下复现所定义的路由后悔下降；否则只记录为未复现的边界结果。</w:t>
      </w:r>
    </w:p>
    <w:p>
      <w:pPr>
        <w:spacing w:line="360" w:lineRule="auto"/>
      </w:pPr>
      <w:r>
        <w:rPr>
          <w:rFonts w:ascii="宋体" w:hAnsi="宋体" w:eastAsia="宋体"/>
          <w:sz w:val="21"/>
        </w:rPr>
        <w:t>图 23 将固定 EfficientNet-B0 证据、摄影者留出证据和 ResNet50 跨主干确认并列。Macro F1 和 Accuracy 的成对区间均未显示稳定差异，故本节不主张分类性能优越。</w:t>
      </w:r>
    </w:p>
    <w:p>
      <w:pPr>
        <w:jc w:val="center"/>
      </w:pPr>
      <w:r>
        <w:drawing>
          <wp:inline xmlns:a="http://schemas.openxmlformats.org/drawingml/2006/main" xmlns:pic="http://schemas.openxmlformats.org/drawingml/2006/picture">
            <wp:extent cx="5688000" cy="2996426"/>
            <wp:docPr id="56" name="Picture 56"/>
            <wp:cNvGraphicFramePr>
              <a:graphicFrameLocks noChangeAspect="1"/>
            </wp:cNvGraphicFramePr>
            <a:graphic>
              <a:graphicData uri="http://schemas.openxmlformats.org/drawingml/2006/picture">
                <pic:pic>
                  <pic:nvPicPr>
                    <pic:cNvPr id="0" name="fig_rsg_theory_evidence_portability.png"/>
                    <pic:cNvPicPr/>
                  </pic:nvPicPr>
                  <pic:blipFill>
                    <a:blip r:embed="rId67"/>
                    <a:stretch>
                      <a:fillRect/>
                    </a:stretch>
                  </pic:blipFill>
                  <pic:spPr>
                    <a:xfrm>
                      <a:off x="0" y="0"/>
                      <a:ext cx="5688000" cy="2996426"/>
                    </a:xfrm>
                    <a:prstGeom prst="rect"/>
                  </pic:spPr>
                </pic:pic>
              </a:graphicData>
            </a:graphic>
          </wp:inline>
        </w:drawing>
      </w:r>
    </w:p>
    <w:p>
      <w:pPr>
        <w:pStyle w:val="af7"/>
        <w:jc w:val="center"/>
      </w:pPr>
      <w:r>
        <w:rPr>
          <w:rFonts w:ascii="宋体" w:hAnsi="宋体" w:eastAsia="宋体"/>
          <w:sz w:val="19"/>
        </w:rPr>
        <w:t>图 23 RSG-HRGV 理论证据与 ResNet50 跨主干确认</w:t>
      </w:r>
    </w:p>
    <w:p>
      <w:pPr>
        <w:spacing w:line="360" w:lineRule="auto"/>
      </w:pPr>
      <w:r>
        <w:rPr>
          <w:rFonts w:ascii="宋体" w:hAnsi="宋体" w:eastAsia="宋体"/>
          <w:sz w:val="21"/>
        </w:rPr>
        <w:t>证据边界：该跨主干检查验证的是 RSG 融合层公式在 ResNet50 输出契约下的经验一致性，不等同于主干性能优越，也不构成工业分选、品位、回收率、元素含量、真实外部泛化或未知矿物拒识结论。</w:t>
      </w:r>
    </w:p>
    <w:p>
      <w:pPr>
        <w:pStyle w:val="21"/>
      </w:pPr>
      <w:r>
        <w:t>H.4 ResNet50 跨主干高精度重放</w:t>
      </w:r>
    </w:p>
    <w:p>
      <w:pPr>
        <w:spacing w:line="360" w:lineRule="auto"/>
      </w:pPr>
      <w:r>
        <w:rPr>
          <w:rFonts w:ascii="宋体" w:hAnsi="宋体" w:eastAsia="宋体"/>
          <w:sz w:val="21"/>
        </w:rPr>
        <w:t>为排除常规逐图 CSV 概率舍入对跨主干公式检查的影响，使用 ResNet50 三个正式 RSG-HRGV 最佳检查点重新执行只读测试推理，并以 15 位小数导出门控和两路真值概率。该重放不更新任何权重，也不改变主干替换实验的分类结果。</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ResNet50 种子</w:t>
            </w:r>
          </w:p>
        </w:tc>
        <w:tc>
          <w:tcPr>
            <w:tcW w:type="dxa" w:w="1312"/>
          </w:tcPr>
          <w:p>
            <w:pPr>
              <w:jc w:val="center"/>
            </w:pPr>
            <w:r>
              <w:rPr>
                <w:rFonts w:ascii="宋体" w:hAnsi="宋体" w:eastAsia="宋体"/>
                <w:b/>
                <w:sz w:val="17"/>
              </w:rPr>
              <w:t>样本数</w:t>
            </w:r>
          </w:p>
        </w:tc>
        <w:tc>
          <w:tcPr>
            <w:tcW w:type="dxa" w:w="1312"/>
          </w:tcPr>
          <w:p>
            <w:pPr>
              <w:jc w:val="center"/>
            </w:pPr>
            <w:r>
              <w:rPr>
                <w:rFonts w:ascii="宋体" w:hAnsi="宋体" w:eastAsia="宋体"/>
                <w:b/>
                <w:sz w:val="17"/>
              </w:rPr>
              <w:t>最小真值概率</w:t>
            </w:r>
          </w:p>
        </w:tc>
        <w:tc>
          <w:tcPr>
            <w:tcW w:type="dxa" w:w="1312"/>
          </w:tcPr>
          <w:p>
            <w:pPr>
              <w:jc w:val="center"/>
            </w:pPr>
            <w:r>
              <w:rPr>
                <w:rFonts w:ascii="宋体" w:hAnsi="宋体" w:eastAsia="宋体"/>
                <w:b/>
                <w:sz w:val="17"/>
              </w:rPr>
              <w:t>B.1 最大残差</w:t>
            </w:r>
          </w:p>
        </w:tc>
        <w:tc>
          <w:tcPr>
            <w:tcW w:type="dxa" w:w="1312"/>
          </w:tcPr>
          <w:p>
            <w:pPr>
              <w:jc w:val="center"/>
            </w:pPr>
            <w:r>
              <w:rPr>
                <w:rFonts w:ascii="宋体" w:hAnsi="宋体" w:eastAsia="宋体"/>
                <w:b/>
                <w:sz w:val="17"/>
              </w:rPr>
              <w:t>B.1 违反数</w:t>
            </w:r>
          </w:p>
        </w:tc>
        <w:tc>
          <w:tcPr>
            <w:tcW w:type="dxa" w:w="1312"/>
          </w:tcPr>
          <w:p>
            <w:pPr>
              <w:jc w:val="center"/>
            </w:pPr>
            <w:r>
              <w:rPr>
                <w:rFonts w:ascii="宋体" w:hAnsi="宋体" w:eastAsia="宋体"/>
                <w:b/>
                <w:sz w:val="17"/>
              </w:rPr>
              <w:t>B.2 最大残差</w:t>
            </w:r>
          </w:p>
        </w:tc>
        <w:tc>
          <w:tcPr>
            <w:tcW w:type="dxa" w:w="1312"/>
          </w:tcPr>
          <w:p>
            <w:pPr>
              <w:jc w:val="center"/>
            </w:pPr>
            <w:r>
              <w:rPr>
                <w:rFonts w:ascii="宋体" w:hAnsi="宋体" w:eastAsia="宋体"/>
                <w:b/>
                <w:sz w:val="17"/>
              </w:rPr>
              <w:t>B.2 违反数</w:t>
            </w:r>
          </w:p>
        </w:tc>
      </w:tr>
      <w:tr>
        <w:tc>
          <w:tcPr>
            <w:tcW w:type="dxa" w:w="1312"/>
          </w:tcPr>
          <w:p>
            <w:pPr>
              <w:jc w:val="center"/>
            </w:pPr>
            <w:r>
              <w:rPr>
                <w:rFonts w:ascii="宋体" w:hAnsi="宋体" w:eastAsia="宋体"/>
                <w:b w:val="0"/>
                <w:sz w:val="17"/>
              </w:rPr>
              <w:t>20260727</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1.14e-06</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2.98e-08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20260728</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1.19e-07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5.67e-08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20260729</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1.31e-07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5.24e-08</w:t>
            </w:r>
          </w:p>
        </w:tc>
        <w:tc>
          <w:tcPr>
            <w:tcW w:type="dxa" w:w="1312"/>
          </w:tcPr>
          <w:p>
            <w:pPr>
              <w:jc w:val="center"/>
            </w:pPr>
            <w:r>
              <w:rPr>
                <w:rFonts w:ascii="宋体" w:hAnsi="宋体" w:eastAsia="宋体"/>
                <w:b w:val="0"/>
                <w:sz w:val="17"/>
              </w:rPr>
              <w:t>0</w:t>
            </w:r>
          </w:p>
        </w:tc>
      </w:tr>
    </w:tbl>
    <w:p/>
    <w:p>
      <w:pPr>
        <w:spacing w:line="360" w:lineRule="auto"/>
      </w:pPr>
      <w:r>
        <w:rPr>
          <w:rFonts w:ascii="宋体" w:hAnsi="宋体" w:eastAsia="宋体"/>
          <w:sz w:val="21"/>
        </w:rPr>
        <w:t>共 3 次、3852 张图像；采用 float32 概率下界 1.19e-07 和数值容差 2.00e-06。B.1 最大残差为 0.00e+00、B.1 违反数为 0；B.2 最大残差为 5.67e-08、B.2 违反数为 0。这说明 B.1 与 B.2 的数值关系也在 ResNet50 的高精度输出上成立。</w:t>
      </w:r>
    </w:p>
    <w:p>
      <w:pPr>
        <w:spacing w:line="360" w:lineRule="auto"/>
      </w:pPr>
      <w:r>
        <w:rPr>
          <w:rFonts w:ascii="宋体" w:hAnsi="宋体" w:eastAsia="宋体"/>
          <w:sz w:val="21"/>
        </w:rPr>
        <w:t>该结果补强的是主干替换不变性命题的公式实现证据，不构成新的分类性能实验，不推出任意视觉主干上的性能提升，也不构成工业分选、品位、回收率、元素含量、外部泛化或未知矿物拒识结论。</w:t>
      </w:r>
    </w:p>
    <w:p>
      <w:pPr>
        <w:pStyle w:val="21"/>
      </w:pPr>
      <w:r>
        <w:t>H.5 门控可靠性分层诊断</w:t>
      </w:r>
    </w:p>
    <w:p>
      <w:pPr>
        <w:spacing w:line="360" w:lineRule="auto"/>
      </w:pPr>
      <w:r>
        <w:rPr>
          <w:rFonts w:ascii="宋体" w:hAnsi="宋体" w:eastAsia="宋体"/>
          <w:sz w:val="21"/>
        </w:rPr>
        <w:t>在定理 B.1 中，对每张图像取局部下界 epsilon_i=min(a_i,b_i)，即可得到不弱于统一 float32 下界的逐图推论：路由后悔不超过 |g_i-g_{o,i}| |a_i-b_i| / epsilon_i。为避免把这一推论仅作为符号公式，本节按该局部上界的排序三分位数汇总实际路由后悔；同时按专家真值概率对数差 |log a_i-log b_i| 的排序三分位数汇总 B.2 的软目标偏差及其指数界。</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协议</w:t>
            </w:r>
          </w:p>
        </w:tc>
        <w:tc>
          <w:tcPr>
            <w:tcW w:type="dxa" w:w="1312"/>
          </w:tcPr>
          <w:p>
            <w:pPr>
              <w:jc w:val="center"/>
            </w:pPr>
            <w:r>
              <w:rPr>
                <w:rFonts w:ascii="宋体" w:hAnsi="宋体" w:eastAsia="宋体"/>
                <w:b/>
                <w:sz w:val="17"/>
              </w:rPr>
              <w:t>图像数</w:t>
            </w:r>
          </w:p>
        </w:tc>
        <w:tc>
          <w:tcPr>
            <w:tcW w:type="dxa" w:w="1312"/>
          </w:tcPr>
          <w:p>
            <w:pPr>
              <w:jc w:val="center"/>
            </w:pPr>
            <w:r>
              <w:rPr>
                <w:rFonts w:ascii="宋体" w:hAnsi="宋体" w:eastAsia="宋体"/>
                <w:b/>
                <w:sz w:val="17"/>
              </w:rPr>
              <w:t>平均路由后悔</w:t>
            </w:r>
          </w:p>
        </w:tc>
        <w:tc>
          <w:tcPr>
            <w:tcW w:type="dxa" w:w="1312"/>
          </w:tcPr>
          <w:p>
            <w:pPr>
              <w:jc w:val="center"/>
            </w:pPr>
            <w:r>
              <w:rPr>
                <w:rFonts w:ascii="宋体" w:hAnsi="宋体" w:eastAsia="宋体"/>
                <w:b/>
                <w:sz w:val="17"/>
              </w:rPr>
              <w:t>平均局部 B.1 上界</w:t>
            </w:r>
          </w:p>
        </w:tc>
        <w:tc>
          <w:tcPr>
            <w:tcW w:type="dxa" w:w="1312"/>
          </w:tcPr>
          <w:p>
            <w:pPr>
              <w:jc w:val="center"/>
            </w:pPr>
            <w:r>
              <w:rPr>
                <w:rFonts w:ascii="宋体" w:hAnsi="宋体" w:eastAsia="宋体"/>
                <w:b/>
                <w:sz w:val="17"/>
              </w:rPr>
              <w:t>平均软硬偏差</w:t>
            </w:r>
          </w:p>
        </w:tc>
        <w:tc>
          <w:tcPr>
            <w:tcW w:type="dxa" w:w="1312"/>
          </w:tcPr>
          <w:p>
            <w:pPr>
              <w:jc w:val="center"/>
            </w:pPr>
            <w:r>
              <w:rPr>
                <w:rFonts w:ascii="宋体" w:hAnsi="宋体" w:eastAsia="宋体"/>
                <w:b/>
                <w:sz w:val="17"/>
              </w:rPr>
              <w:t>平均 B.2 指数界</w:t>
            </w:r>
          </w:p>
        </w:tc>
        <w:tc>
          <w:tcPr>
            <w:tcW w:type="dxa" w:w="1312"/>
          </w:tcPr>
          <w:p>
            <w:pPr>
              <w:jc w:val="center"/>
            </w:pPr>
            <w:r>
              <w:rPr>
                <w:rFonts w:ascii="宋体" w:hAnsi="宋体" w:eastAsia="宋体"/>
                <w:b/>
                <w:sz w:val="17"/>
              </w:rPr>
              <w:t>B.1 / B.2 违反数</w:t>
            </w:r>
          </w:p>
        </w:tc>
      </w:tr>
      <w:tr>
        <w:tc>
          <w:tcPr>
            <w:tcW w:type="dxa" w:w="1312"/>
          </w:tcPr>
          <w:p>
            <w:pPr>
              <w:jc w:val="center"/>
            </w:pPr>
            <w:r>
              <w:rPr>
                <w:rFonts w:ascii="宋体" w:hAnsi="宋体" w:eastAsia="宋体"/>
                <w:b w:val="0"/>
                <w:sz w:val="17"/>
              </w:rPr>
              <w:t>固定测试</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8.09%</w:t>
            </w:r>
          </w:p>
        </w:tc>
        <w:tc>
          <w:tcPr>
            <w:tcW w:type="dxa" w:w="1312"/>
          </w:tcPr>
          <w:p>
            <w:pPr>
              <w:jc w:val="center"/>
            </w:pPr>
            <w:r>
              <w:rPr>
                <w:rFonts w:ascii="宋体" w:hAnsi="宋体" w:eastAsia="宋体"/>
                <w:b w:val="0"/>
                <w:sz w:val="17"/>
              </w:rPr>
              <w:t>23.33%</w:t>
            </w:r>
          </w:p>
        </w:tc>
        <w:tc>
          <w:tcPr>
            <w:tcW w:type="dxa" w:w="1312"/>
          </w:tcPr>
          <w:p>
            <w:pPr>
              <w:jc w:val="center"/>
            </w:pPr>
            <w:r>
              <w:rPr>
                <w:rFonts w:ascii="宋体" w:hAnsi="宋体" w:eastAsia="宋体"/>
                <w:b w:val="0"/>
                <w:sz w:val="17"/>
              </w:rPr>
              <w:t>0.366</w:t>
            </w:r>
          </w:p>
        </w:tc>
        <w:tc>
          <w:tcPr>
            <w:tcW w:type="dxa" w:w="1312"/>
          </w:tcPr>
          <w:p>
            <w:pPr>
              <w:jc w:val="center"/>
            </w:pPr>
            <w:r>
              <w:rPr>
                <w:rFonts w:ascii="宋体" w:hAnsi="宋体" w:eastAsia="宋体"/>
                <w:b w:val="0"/>
                <w:sz w:val="17"/>
              </w:rPr>
              <w:t>0.681</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摄影者留出</w:t>
            </w:r>
          </w:p>
        </w:tc>
        <w:tc>
          <w:tcPr>
            <w:tcW w:type="dxa" w:w="1312"/>
          </w:tcPr>
          <w:p>
            <w:pPr>
              <w:jc w:val="center"/>
            </w:pPr>
            <w:r>
              <w:rPr>
                <w:rFonts w:ascii="宋体" w:hAnsi="宋体" w:eastAsia="宋体"/>
                <w:b w:val="0"/>
                <w:sz w:val="17"/>
              </w:rPr>
              <w:t>2538</w:t>
            </w:r>
          </w:p>
        </w:tc>
        <w:tc>
          <w:tcPr>
            <w:tcW w:type="dxa" w:w="1312"/>
          </w:tcPr>
          <w:p>
            <w:pPr>
              <w:jc w:val="center"/>
            </w:pPr>
            <w:r>
              <w:rPr>
                <w:rFonts w:ascii="宋体" w:hAnsi="宋体" w:eastAsia="宋体"/>
                <w:b w:val="0"/>
                <w:sz w:val="17"/>
              </w:rPr>
              <w:t>8.24%</w:t>
            </w:r>
          </w:p>
        </w:tc>
        <w:tc>
          <w:tcPr>
            <w:tcW w:type="dxa" w:w="1312"/>
          </w:tcPr>
          <w:p>
            <w:pPr>
              <w:jc w:val="center"/>
            </w:pPr>
            <w:r>
              <w:rPr>
                <w:rFonts w:ascii="宋体" w:hAnsi="宋体" w:eastAsia="宋体"/>
                <w:b w:val="0"/>
                <w:sz w:val="17"/>
              </w:rPr>
              <w:t>20.69%</w:t>
            </w:r>
          </w:p>
        </w:tc>
        <w:tc>
          <w:tcPr>
            <w:tcW w:type="dxa" w:w="1312"/>
          </w:tcPr>
          <w:p>
            <w:pPr>
              <w:jc w:val="center"/>
            </w:pPr>
            <w:r>
              <w:rPr>
                <w:rFonts w:ascii="宋体" w:hAnsi="宋体" w:eastAsia="宋体"/>
                <w:b w:val="0"/>
                <w:sz w:val="17"/>
              </w:rPr>
              <w:t>0.355</w:t>
            </w:r>
          </w:p>
        </w:tc>
        <w:tc>
          <w:tcPr>
            <w:tcW w:type="dxa" w:w="1312"/>
          </w:tcPr>
          <w:p>
            <w:pPr>
              <w:jc w:val="center"/>
            </w:pPr>
            <w:r>
              <w:rPr>
                <w:rFonts w:ascii="宋体" w:hAnsi="宋体" w:eastAsia="宋体"/>
                <w:b w:val="0"/>
                <w:sz w:val="17"/>
              </w:rPr>
              <w:t>0.645</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ResNet50 跨主干</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8.51%</w:t>
            </w:r>
          </w:p>
        </w:tc>
        <w:tc>
          <w:tcPr>
            <w:tcW w:type="dxa" w:w="1312"/>
          </w:tcPr>
          <w:p>
            <w:pPr>
              <w:jc w:val="center"/>
            </w:pPr>
            <w:r>
              <w:rPr>
                <w:rFonts w:ascii="宋体" w:hAnsi="宋体" w:eastAsia="宋体"/>
                <w:b w:val="0"/>
                <w:sz w:val="17"/>
              </w:rPr>
              <w:t>36.07%</w:t>
            </w:r>
          </w:p>
        </w:tc>
        <w:tc>
          <w:tcPr>
            <w:tcW w:type="dxa" w:w="1312"/>
          </w:tcPr>
          <w:p>
            <w:pPr>
              <w:jc w:val="center"/>
            </w:pPr>
            <w:r>
              <w:rPr>
                <w:rFonts w:ascii="宋体" w:hAnsi="宋体" w:eastAsia="宋体"/>
                <w:b w:val="0"/>
                <w:sz w:val="17"/>
              </w:rPr>
              <w:t>0.373</w:t>
            </w:r>
          </w:p>
        </w:tc>
        <w:tc>
          <w:tcPr>
            <w:tcW w:type="dxa" w:w="1312"/>
          </w:tcPr>
          <w:p>
            <w:pPr>
              <w:jc w:val="center"/>
            </w:pPr>
            <w:r>
              <w:rPr>
                <w:rFonts w:ascii="宋体" w:hAnsi="宋体" w:eastAsia="宋体"/>
                <w:b w:val="0"/>
                <w:sz w:val="17"/>
              </w:rPr>
              <w:t>0.706</w:t>
            </w:r>
          </w:p>
        </w:tc>
        <w:tc>
          <w:tcPr>
            <w:tcW w:type="dxa" w:w="1312"/>
          </w:tcPr>
          <w:p>
            <w:pPr>
              <w:jc w:val="center"/>
            </w:pPr>
            <w:r>
              <w:rPr>
                <w:rFonts w:ascii="宋体" w:hAnsi="宋体" w:eastAsia="宋体"/>
                <w:b w:val="0"/>
                <w:sz w:val="17"/>
              </w:rPr>
              <w:t>0 / 0</w:t>
            </w:r>
          </w:p>
        </w:tc>
      </w:tr>
    </w:tbl>
    <w:p/>
    <w:p>
      <w:pPr>
        <w:jc w:val="center"/>
      </w:pPr>
      <w:r>
        <w:drawing>
          <wp:inline xmlns:a="http://schemas.openxmlformats.org/drawingml/2006/main" xmlns:pic="http://schemas.openxmlformats.org/drawingml/2006/picture">
            <wp:extent cx="5688000" cy="2687111"/>
            <wp:docPr id="57" name="Picture 57"/>
            <wp:cNvGraphicFramePr>
              <a:graphicFrameLocks noChangeAspect="1"/>
            </wp:cNvGraphicFramePr>
            <a:graphic>
              <a:graphicData uri="http://schemas.openxmlformats.org/drawingml/2006/picture">
                <pic:pic>
                  <pic:nvPicPr>
                    <pic:cNvPr id="0" name="fig_rsg_gate_reliability.png"/>
                    <pic:cNvPicPr/>
                  </pic:nvPicPr>
                  <pic:blipFill>
                    <a:blip r:embed="rId68"/>
                    <a:stretch>
                      <a:fillRect/>
                    </a:stretch>
                  </pic:blipFill>
                  <pic:spPr>
                    <a:xfrm>
                      <a:off x="0" y="0"/>
                      <a:ext cx="5688000" cy="2687111"/>
                    </a:xfrm>
                    <a:prstGeom prst="rect"/>
                  </pic:spPr>
                </pic:pic>
              </a:graphicData>
            </a:graphic>
          </wp:inline>
        </w:drawing>
      </w:r>
    </w:p>
    <w:p>
      <w:pPr>
        <w:pStyle w:val="af7"/>
        <w:jc w:val="center"/>
      </w:pPr>
      <w:r>
        <w:rPr>
          <w:rFonts w:ascii="宋体" w:hAnsi="宋体" w:eastAsia="宋体"/>
          <w:sz w:val="19"/>
        </w:rPr>
        <w:t>图 24 RSG-HRGV 门控可靠性分层诊断：局部 B.1 上界与 B.2 指数界</w:t>
      </w:r>
    </w:p>
    <w:p>
      <w:pPr>
        <w:spacing w:line="360" w:lineRule="auto"/>
      </w:pPr>
      <w:r>
        <w:rPr>
          <w:rFonts w:ascii="宋体" w:hAnsi="宋体" w:eastAsia="宋体"/>
          <w:sz w:val="21"/>
        </w:rPr>
        <w:t>高精度重放共覆盖 9 次、10,242 张图像。三种协议中，按局部 B.1 上界从低到高分层后，平均路由后悔同步升高；按专家证据差距从低到高分层后，软目标对硬最优门控的平均偏差下降，且各层 B.1 与 B.2 的违反数均为 0。这些现象与定理的条件性方向一致，但本节只是机制诊断，不替代 Accuracy、Macro F1 或工业指标的比较。</w:t>
      </w:r>
    </w:p>
    <w:p>
      <w:pPr>
        <w:spacing w:line="360" w:lineRule="auto"/>
      </w:pPr>
      <w:r>
        <w:rPr>
          <w:rFonts w:ascii="宋体" w:hAnsi="宋体" w:eastAsia="宋体"/>
          <w:sz w:val="21"/>
        </w:rPr>
        <w:t>证据边界：局部 epsilon_i 推论和分层曲线用于解释已训练模型的门控行为，不构成新增训练或新的分类性能实验；不得据此宣称工业分选、品位、回收率、元素含量、真实外部泛化或未知矿物拒识能力。</w:t>
      </w:r>
    </w:p>
    <w:p>
      <w:pPr>
        <w:pStyle w:val="21"/>
      </w:pPr>
      <w:r>
        <w:t>H.6 凸融合路由后悔精确分解的数值验证</w:t>
      </w:r>
    </w:p>
    <w:p>
      <w:pPr>
        <w:spacing w:line="360" w:lineRule="auto"/>
      </w:pPr>
      <w:r>
        <w:rPr>
          <w:rFonts w:ascii="宋体" w:hAnsi="宋体" w:eastAsia="宋体"/>
          <w:sz w:val="21"/>
        </w:rPr>
        <w:t>令 a、b 分别为直接角色专家和种类映射专家在真实角色上的概率，M=max(a,b)，d=|a-b|，delta=|g-g_o|。在两专家凸融合下，融合真值类概率与路由后悔满足 p_g=M-delta d 和 r=-log(1-delta d/M)。这是一条针对当前计算图的精确恒等式：门控偏离和专家概率差距的乘积给出相对更优专家的概率损失，随后经对数变换得到路由后悔。</w:t>
      </w:r>
    </w:p>
    <w:tbl>
      <w:tblPr>
        <w:tblStyle w:val="aff1"/>
        <w:tblW w:type="auto" w:w="0"/>
        <w:tblLook w:firstColumn="1" w:firstRow="1" w:lastColumn="0" w:lastRow="0" w:noHBand="0" w:noVBand="1" w:val="04A0"/>
      </w:tblPr>
      <w:tblGrid>
        <w:gridCol w:w="1837"/>
        <w:gridCol w:w="1837"/>
        <w:gridCol w:w="1837"/>
        <w:gridCol w:w="1837"/>
        <w:gridCol w:w="1837"/>
      </w:tblGrid>
      <w:tr>
        <w:tc>
          <w:tcPr>
            <w:tcW w:type="dxa" w:w="1837"/>
          </w:tcPr>
          <w:p>
            <w:pPr>
              <w:jc w:val="center"/>
            </w:pPr>
            <w:r>
              <w:rPr>
                <w:rFonts w:ascii="宋体" w:hAnsi="宋体" w:eastAsia="宋体"/>
                <w:b/>
                <w:sz w:val="17"/>
              </w:rPr>
              <w:t>协议</w:t>
            </w:r>
          </w:p>
        </w:tc>
        <w:tc>
          <w:tcPr>
            <w:tcW w:type="dxa" w:w="1837"/>
          </w:tcPr>
          <w:p>
            <w:pPr>
              <w:jc w:val="center"/>
            </w:pPr>
            <w:r>
              <w:rPr>
                <w:rFonts w:ascii="宋体" w:hAnsi="宋体" w:eastAsia="宋体"/>
                <w:b/>
                <w:sz w:val="17"/>
              </w:rPr>
              <w:t>图像数</w:t>
            </w:r>
          </w:p>
        </w:tc>
        <w:tc>
          <w:tcPr>
            <w:tcW w:type="dxa" w:w="1837"/>
          </w:tcPr>
          <w:p>
            <w:pPr>
              <w:jc w:val="center"/>
            </w:pPr>
            <w:r>
              <w:rPr>
                <w:rFonts w:ascii="宋体" w:hAnsi="宋体" w:eastAsia="宋体"/>
                <w:b/>
                <w:sz w:val="17"/>
              </w:rPr>
              <w:t>平均绝对残差</w:t>
            </w:r>
          </w:p>
        </w:tc>
        <w:tc>
          <w:tcPr>
            <w:tcW w:type="dxa" w:w="1837"/>
          </w:tcPr>
          <w:p>
            <w:pPr>
              <w:jc w:val="center"/>
            </w:pPr>
            <w:r>
              <w:rPr>
                <w:rFonts w:ascii="宋体" w:hAnsi="宋体" w:eastAsia="宋体"/>
                <w:b/>
                <w:sz w:val="17"/>
              </w:rPr>
              <w:t>最大绝对残差</w:t>
            </w:r>
          </w:p>
        </w:tc>
        <w:tc>
          <w:tcPr>
            <w:tcW w:type="dxa" w:w="1837"/>
          </w:tcPr>
          <w:p>
            <w:pPr>
              <w:jc w:val="center"/>
            </w:pPr>
            <w:r>
              <w:rPr>
                <w:rFonts w:ascii="宋体" w:hAnsi="宋体" w:eastAsia="宋体"/>
                <w:b/>
                <w:sz w:val="17"/>
              </w:rPr>
              <w:t>违反数</w:t>
            </w:r>
          </w:p>
        </w:tc>
      </w:tr>
      <w:tr>
        <w:tc>
          <w:tcPr>
            <w:tcW w:type="dxa" w:w="1837"/>
          </w:tcPr>
          <w:p>
            <w:pPr>
              <w:jc w:val="center"/>
            </w:pPr>
            <w:r>
              <w:rPr>
                <w:rFonts w:ascii="宋体" w:hAnsi="宋体" w:eastAsia="宋体"/>
                <w:b w:val="0"/>
                <w:sz w:val="17"/>
              </w:rPr>
              <w:t>固定测试</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4.59e-08</w:t>
            </w:r>
          </w:p>
        </w:tc>
        <w:tc>
          <w:tcPr>
            <w:tcW w:type="dxa" w:w="1837"/>
          </w:tcPr>
          <w:p>
            <w:pPr>
              <w:jc w:val="center"/>
            </w:pPr>
            <w:r>
              <w:rPr>
                <w:rFonts w:ascii="宋体" w:hAnsi="宋体" w:eastAsia="宋体"/>
                <w:b w:val="0"/>
                <w:sz w:val="17"/>
              </w:rPr>
              <w:t>7.79e-07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摄影者留出</w:t>
            </w:r>
          </w:p>
        </w:tc>
        <w:tc>
          <w:tcPr>
            <w:tcW w:type="dxa" w:w="1837"/>
          </w:tcPr>
          <w:p>
            <w:pPr>
              <w:jc w:val="center"/>
            </w:pPr>
            <w:r>
              <w:rPr>
                <w:rFonts w:ascii="宋体" w:hAnsi="宋体" w:eastAsia="宋体"/>
                <w:b w:val="0"/>
                <w:sz w:val="17"/>
              </w:rPr>
              <w:t>2538</w:t>
            </w:r>
          </w:p>
        </w:tc>
        <w:tc>
          <w:tcPr>
            <w:tcW w:type="dxa" w:w="1837"/>
          </w:tcPr>
          <w:p>
            <w:pPr>
              <w:jc w:val="center"/>
            </w:pPr>
            <w:r>
              <w:rPr>
                <w:rFonts w:ascii="宋体" w:hAnsi="宋体" w:eastAsia="宋体"/>
                <w:b w:val="0"/>
                <w:sz w:val="17"/>
              </w:rPr>
              <w:t>4.61e-08</w:t>
            </w:r>
          </w:p>
        </w:tc>
        <w:tc>
          <w:tcPr>
            <w:tcW w:type="dxa" w:w="1837"/>
          </w:tcPr>
          <w:p>
            <w:pPr>
              <w:jc w:val="center"/>
            </w:pPr>
            <w:r>
              <w:rPr>
                <w:rFonts w:ascii="宋体" w:hAnsi="宋体" w:eastAsia="宋体"/>
                <w:b w:val="0"/>
                <w:sz w:val="17"/>
              </w:rPr>
              <w:t>7.67e-07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ResNet50 跨主干</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4.96e-08</w:t>
            </w:r>
          </w:p>
        </w:tc>
        <w:tc>
          <w:tcPr>
            <w:tcW w:type="dxa" w:w="1837"/>
          </w:tcPr>
          <w:p>
            <w:pPr>
              <w:jc w:val="center"/>
            </w:pPr>
            <w:r>
              <w:rPr>
                <w:rFonts w:ascii="宋体" w:hAnsi="宋体" w:eastAsia="宋体"/>
                <w:b w:val="0"/>
                <w:sz w:val="17"/>
              </w:rPr>
              <w:t>8.44e-07</w:t>
            </w:r>
          </w:p>
        </w:tc>
        <w:tc>
          <w:tcPr>
            <w:tcW w:type="dxa" w:w="1837"/>
          </w:tcPr>
          <w:p>
            <w:pPr>
              <w:jc w:val="center"/>
            </w:pPr>
            <w:r>
              <w:rPr>
                <w:rFonts w:ascii="宋体" w:hAnsi="宋体" w:eastAsia="宋体"/>
                <w:b w:val="0"/>
                <w:sz w:val="17"/>
              </w:rPr>
              <w:t>0</w:t>
            </w:r>
          </w:p>
        </w:tc>
      </w:tr>
    </w:tbl>
    <w:p/>
    <w:p>
      <w:pPr>
        <w:spacing w:line="360" w:lineRule="auto"/>
      </w:pPr>
      <w:r>
        <w:rPr>
          <w:rFonts w:ascii="宋体" w:hAnsi="宋体" w:eastAsia="宋体"/>
          <w:sz w:val="21"/>
        </w:rPr>
        <w:t>三种协议共覆盖 9 次、10,242 张图像。以 2.00e-06 为预设容差，精确分解的最大绝对残差为 8.44e-07，违反数为 0。非零残差来自 float32 概率和后悔值保存、再以十进制导出的有限精度，故这里的结论是容差内数值一致，而非数学意义上的零误差。</w:t>
      </w:r>
    </w:p>
    <w:p>
      <w:pPr>
        <w:spacing w:line="360" w:lineRule="auto"/>
      </w:pPr>
      <w:r>
        <w:rPr>
          <w:rFonts w:ascii="宋体" w:hAnsi="宋体" w:eastAsia="宋体"/>
          <w:sz w:val="21"/>
        </w:rPr>
        <w:t>该章节验证的是现有 RSG-HRGV 两专家凸融合的公式实现，不改变既有分类结果，也不构成 Accuracy、Macro F1、工业分选、品位、回收率、元素含量、真实外部泛化或未知矿物拒识能力的新增结论。</w:t>
      </w:r>
    </w:p>
    <w:p>
      <w:pPr>
        <w:pStyle w:val="21"/>
      </w:pPr>
      <w:r>
        <w:t>H.7 凸融合路由后悔的理论曲线</w:t>
      </w:r>
    </w:p>
    <w:p>
      <w:pPr>
        <w:spacing w:line="360" w:lineRule="auto"/>
      </w:pPr>
      <w:r>
        <w:rPr>
          <w:rFonts w:ascii="宋体" w:hAnsi="宋体" w:eastAsia="宋体"/>
          <w:sz w:val="21"/>
        </w:rPr>
        <w:t>为将 H.6 的逐图残差验证与公式机制对应起来，图 25 直接绘制两专家凸融合的解析理论曲线。令 u=delta d/M，其中 M=max(a,b)、d=|a-b|、delta=|g-g_o|，则路由后悔严格满足 r=-log(1-delta d/M)= -log(1-u)。因此，在当前两专家概率凸融合下，门控相对硬最优的偏离和专家真值类概率差距以乘积方式共同决定后悔；当 u 接近 0 时，r 与 u 近似线性，当 u 增大时对数变换使后悔加速上升。</w:t>
      </w:r>
    </w:p>
    <w:p>
      <w:pPr>
        <w:jc w:val="center"/>
      </w:pPr>
      <w:r>
        <w:drawing>
          <wp:inline xmlns:a="http://schemas.openxmlformats.org/drawingml/2006/main" xmlns:pic="http://schemas.openxmlformats.org/drawingml/2006/picture">
            <wp:extent cx="5688000" cy="3132582"/>
            <wp:docPr id="58" name="Picture 58"/>
            <wp:cNvGraphicFramePr>
              <a:graphicFrameLocks noChangeAspect="1"/>
            </wp:cNvGraphicFramePr>
            <a:graphic>
              <a:graphicData uri="http://schemas.openxmlformats.org/drawingml/2006/picture">
                <pic:pic>
                  <pic:nvPicPr>
                    <pic:cNvPr id="0" name="fig_rsg_exact_regret_decomposition.png"/>
                    <pic:cNvPicPr/>
                  </pic:nvPicPr>
                  <pic:blipFill>
                    <a:blip r:embed="rId69"/>
                    <a:stretch>
                      <a:fillRect/>
                    </a:stretch>
                  </pic:blipFill>
                  <pic:spPr>
                    <a:xfrm>
                      <a:off x="0" y="0"/>
                      <a:ext cx="5688000" cy="3132582"/>
                    </a:xfrm>
                    <a:prstGeom prst="rect"/>
                  </pic:spPr>
                </pic:pic>
              </a:graphicData>
            </a:graphic>
          </wp:inline>
        </w:drawing>
      </w:r>
    </w:p>
    <w:p>
      <w:pPr>
        <w:pStyle w:val="af7"/>
        <w:jc w:val="center"/>
      </w:pPr>
      <w:r>
        <w:rPr>
          <w:rFonts w:ascii="宋体" w:hAnsi="宋体" w:eastAsia="宋体"/>
          <w:sz w:val="19"/>
        </w:rPr>
        <w:t>图 25 两专家凸融合路由后悔的解析理论曲线与数值一致性注记</w:t>
      </w:r>
    </w:p>
    <w:p>
      <w:pPr>
        <w:spacing w:line="360" w:lineRule="auto"/>
      </w:pPr>
      <w:r>
        <w:rPr>
          <w:rFonts w:ascii="宋体" w:hAnsi="宋体" w:eastAsia="宋体"/>
          <w:sz w:val="21"/>
        </w:rPr>
        <w:t>图中的曲线为解析理论曲线，不是由分类指标拟合得到。脚注对应冻结检查点的高精度回放：9 次、10,242 张图像的精确分解最大绝对残差为 8.44e-07，低于预设容差 2.0e-06，违反数为 0。因此，这张图与 H.6 共同构成“公式推导--数值实现--可视化解释”的证据链。</w:t>
      </w:r>
    </w:p>
    <w:p>
      <w:pPr>
        <w:spacing w:line="360" w:lineRule="auto"/>
      </w:pPr>
      <w:r>
        <w:rPr>
          <w:rFonts w:ascii="宋体" w:hAnsi="宋体" w:eastAsia="宋体"/>
          <w:sz w:val="21"/>
        </w:rPr>
        <w:t>证据边界：该图仅解释 RSG-HRGV 预定义路由后悔的解析结构和有限精度下的容差内一致性，不构成新的分类性能实验，不能据此推出 Accuracy、Macro F1、工业分选、品位、回收率、元素含量、真实外部泛化或未知矿物拒识能力的提升。</w:t>
      </w:r>
    </w:p>
    <w:p>
      <w:pPr>
        <w:pStyle w:val="21"/>
      </w:pPr>
      <w:r>
        <w:t>H.8 跨粒度双专家互补性诊断</w:t>
      </w:r>
    </w:p>
    <w:p>
      <w:pPr>
        <w:spacing w:line="360" w:lineRule="auto"/>
      </w:pPr>
      <w:r>
        <w:rPr>
          <w:rFonts w:ascii="宋体" w:hAnsi="宋体" w:eastAsia="宋体"/>
          <w:sz w:val="21"/>
        </w:rPr>
        <w:t>门控只有在直接角色专家与种类映射专家提供不同证据时才可能发挥作用。为避免仅从平均路由后悔反推这一前提，本节从冻结的完整 RSG-HRGV 三随机种子汇总中直接报告双专家准确率、预测分歧、一对一错样本比例和条件门控选对率。逐图 oracle 按真实角色选择更优专家，仅用于诊断当前双专家互补性的理论上限，实际部署不可获得。</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直接角色</w:t>
            </w:r>
          </w:p>
        </w:tc>
        <w:tc>
          <w:tcPr>
            <w:tcW w:type="dxa" w:w="1148"/>
          </w:tcPr>
          <w:p>
            <w:pPr>
              <w:jc w:val="center"/>
            </w:pPr>
            <w:r>
              <w:rPr>
                <w:rFonts w:ascii="宋体" w:hAnsi="宋体" w:eastAsia="宋体"/>
                <w:b/>
                <w:sz w:val="17"/>
              </w:rPr>
              <w:t>种类映射</w:t>
            </w:r>
          </w:p>
        </w:tc>
        <w:tc>
          <w:tcPr>
            <w:tcW w:type="dxa" w:w="1148"/>
          </w:tcPr>
          <w:p>
            <w:pPr>
              <w:jc w:val="center"/>
            </w:pPr>
            <w:r>
              <w:rPr>
                <w:rFonts w:ascii="宋体" w:hAnsi="宋体" w:eastAsia="宋体"/>
                <w:b/>
                <w:sz w:val="17"/>
              </w:rPr>
              <w:t>融合</w:t>
            </w:r>
          </w:p>
        </w:tc>
        <w:tc>
          <w:tcPr>
            <w:tcW w:type="dxa" w:w="1148"/>
          </w:tcPr>
          <w:p>
            <w:pPr>
              <w:jc w:val="center"/>
            </w:pPr>
            <w:r>
              <w:rPr>
                <w:rFonts w:ascii="宋体" w:hAnsi="宋体" w:eastAsia="宋体"/>
                <w:b/>
                <w:sz w:val="17"/>
              </w:rPr>
              <w:t>真值 oracle</w:t>
            </w:r>
          </w:p>
        </w:tc>
        <w:tc>
          <w:tcPr>
            <w:tcW w:type="dxa" w:w="1148"/>
          </w:tcPr>
          <w:p>
            <w:pPr>
              <w:jc w:val="center"/>
            </w:pPr>
            <w:r>
              <w:rPr>
                <w:rFonts w:ascii="宋体" w:hAnsi="宋体" w:eastAsia="宋体"/>
                <w:b/>
                <w:sz w:val="17"/>
              </w:rPr>
              <w:t>预测分歧</w:t>
            </w:r>
          </w:p>
        </w:tc>
        <w:tc>
          <w:tcPr>
            <w:tcW w:type="dxa" w:w="1148"/>
          </w:tcPr>
          <w:p>
            <w:pPr>
              <w:jc w:val="center"/>
            </w:pPr>
            <w:r>
              <w:rPr>
                <w:rFonts w:ascii="宋体" w:hAnsi="宋体" w:eastAsia="宋体"/>
                <w:b/>
                <w:sz w:val="17"/>
              </w:rPr>
              <w:t>一对一错</w:t>
            </w:r>
          </w:p>
        </w:tc>
        <w:tc>
          <w:tcPr>
            <w:tcW w:type="dxa" w:w="1148"/>
          </w:tcPr>
          <w:p>
            <w:pPr>
              <w:jc w:val="center"/>
            </w:pPr>
            <w:r>
              <w:rPr>
                <w:rFonts w:ascii="宋体" w:hAnsi="宋体" w:eastAsia="宋体"/>
                <w:b/>
                <w:sz w:val="17"/>
              </w:rPr>
              <w:t>门控选对</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75.96%</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76.45%</w:t>
            </w:r>
          </w:p>
        </w:tc>
        <w:tc>
          <w:tcPr>
            <w:tcW w:type="dxa" w:w="1148"/>
          </w:tcPr>
          <w:p>
            <w:pPr>
              <w:jc w:val="center"/>
            </w:pPr>
            <w:r>
              <w:rPr>
                <w:rFonts w:ascii="宋体" w:hAnsi="宋体" w:eastAsia="宋体"/>
                <w:b w:val="0"/>
                <w:sz w:val="17"/>
              </w:rPr>
              <w:t>78.71%</w:t>
            </w:r>
          </w:p>
        </w:tc>
        <w:tc>
          <w:tcPr>
            <w:tcW w:type="dxa" w:w="1148"/>
          </w:tcPr>
          <w:p>
            <w:pPr>
              <w:jc w:val="center"/>
            </w:pPr>
            <w:r>
              <w:rPr>
                <w:rFonts w:ascii="宋体" w:hAnsi="宋体" w:eastAsia="宋体"/>
                <w:b w:val="0"/>
                <w:sz w:val="17"/>
              </w:rPr>
              <w:t>5.61%</w:t>
            </w:r>
          </w:p>
        </w:tc>
        <w:tc>
          <w:tcPr>
            <w:tcW w:type="dxa" w:w="1148"/>
          </w:tcPr>
          <w:p>
            <w:pPr>
              <w:jc w:val="center"/>
            </w:pPr>
            <w:r>
              <w:rPr>
                <w:rFonts w:ascii="宋体" w:hAnsi="宋体" w:eastAsia="宋体"/>
                <w:b w:val="0"/>
                <w:sz w:val="17"/>
              </w:rPr>
              <w:t>4.83%</w:t>
            </w:r>
          </w:p>
        </w:tc>
        <w:tc>
          <w:tcPr>
            <w:tcW w:type="dxa" w:w="1148"/>
          </w:tcPr>
          <w:p>
            <w:pPr>
              <w:jc w:val="center"/>
            </w:pPr>
            <w:r>
              <w:rPr>
                <w:rFonts w:ascii="宋体" w:hAnsi="宋体" w:eastAsia="宋体"/>
                <w:b w:val="0"/>
                <w:sz w:val="17"/>
              </w:rPr>
              <w:t>58.01%</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71.16%</w:t>
            </w:r>
          </w:p>
        </w:tc>
        <w:tc>
          <w:tcPr>
            <w:tcW w:type="dxa" w:w="1148"/>
          </w:tcPr>
          <w:p>
            <w:pPr>
              <w:jc w:val="center"/>
            </w:pPr>
            <w:r>
              <w:rPr>
                <w:rFonts w:ascii="宋体" w:hAnsi="宋体" w:eastAsia="宋体"/>
                <w:b w:val="0"/>
                <w:sz w:val="17"/>
              </w:rPr>
              <w:t>71.55%</w:t>
            </w:r>
          </w:p>
        </w:tc>
        <w:tc>
          <w:tcPr>
            <w:tcW w:type="dxa" w:w="1148"/>
          </w:tcPr>
          <w:p>
            <w:pPr>
              <w:jc w:val="center"/>
            </w:pPr>
            <w:r>
              <w:rPr>
                <w:rFonts w:ascii="宋体" w:hAnsi="宋体" w:eastAsia="宋体"/>
                <w:b w:val="0"/>
                <w:sz w:val="17"/>
              </w:rPr>
              <w:t>71.47%</w:t>
            </w:r>
          </w:p>
        </w:tc>
        <w:tc>
          <w:tcPr>
            <w:tcW w:type="dxa" w:w="1148"/>
          </w:tcPr>
          <w:p>
            <w:pPr>
              <w:jc w:val="center"/>
            </w:pPr>
            <w:r>
              <w:rPr>
                <w:rFonts w:ascii="宋体" w:hAnsi="宋体" w:eastAsia="宋体"/>
                <w:b w:val="0"/>
                <w:sz w:val="17"/>
              </w:rPr>
              <w:t>73.76%</w:t>
            </w:r>
          </w:p>
        </w:tc>
        <w:tc>
          <w:tcPr>
            <w:tcW w:type="dxa" w:w="1148"/>
          </w:tcPr>
          <w:p>
            <w:pPr>
              <w:jc w:val="center"/>
            </w:pPr>
            <w:r>
              <w:rPr>
                <w:rFonts w:ascii="宋体" w:hAnsi="宋体" w:eastAsia="宋体"/>
                <w:b w:val="0"/>
                <w:sz w:val="17"/>
              </w:rPr>
              <w:t>6.11%</w:t>
            </w:r>
          </w:p>
        </w:tc>
        <w:tc>
          <w:tcPr>
            <w:tcW w:type="dxa" w:w="1148"/>
          </w:tcPr>
          <w:p>
            <w:pPr>
              <w:jc w:val="center"/>
            </w:pPr>
            <w:r>
              <w:rPr>
                <w:rFonts w:ascii="宋体" w:hAnsi="宋体" w:eastAsia="宋体"/>
                <w:b w:val="0"/>
                <w:sz w:val="17"/>
              </w:rPr>
              <w:t>4.81%</w:t>
            </w:r>
          </w:p>
        </w:tc>
        <w:tc>
          <w:tcPr>
            <w:tcW w:type="dxa" w:w="1148"/>
          </w:tcPr>
          <w:p>
            <w:pPr>
              <w:jc w:val="center"/>
            </w:pPr>
            <w:r>
              <w:rPr>
                <w:rFonts w:ascii="宋体" w:hAnsi="宋体" w:eastAsia="宋体"/>
                <w:b w:val="0"/>
                <w:sz w:val="17"/>
              </w:rPr>
              <w:t>53.69%</w:t>
            </w:r>
          </w:p>
        </w:tc>
      </w:tr>
      <w:tr>
        <w:tc>
          <w:tcPr>
            <w:tcW w:type="dxa" w:w="1148"/>
          </w:tcPr>
          <w:p>
            <w:pPr>
              <w:jc w:val="center"/>
            </w:pPr>
            <w:r>
              <w:rPr>
                <w:rFonts w:ascii="宋体" w:hAnsi="宋体" w:eastAsia="宋体"/>
                <w:b w:val="0"/>
                <w:sz w:val="17"/>
              </w:rPr>
              <w:t>ResNet50 跨主干</w:t>
            </w:r>
          </w:p>
        </w:tc>
        <w:tc>
          <w:tcPr>
            <w:tcW w:type="dxa" w:w="1148"/>
          </w:tcPr>
          <w:p>
            <w:pPr>
              <w:jc w:val="center"/>
            </w:pPr>
            <w:r>
              <w:rPr>
                <w:rFonts w:ascii="宋体" w:hAnsi="宋体" w:eastAsia="宋体"/>
                <w:b w:val="0"/>
                <w:sz w:val="17"/>
              </w:rPr>
              <w:t>76.30%</w:t>
            </w:r>
          </w:p>
        </w:tc>
        <w:tc>
          <w:tcPr>
            <w:tcW w:type="dxa" w:w="1148"/>
          </w:tcPr>
          <w:p>
            <w:pPr>
              <w:jc w:val="center"/>
            </w:pPr>
            <w:r>
              <w:rPr>
                <w:rFonts w:ascii="宋体" w:hAnsi="宋体" w:eastAsia="宋体"/>
                <w:b w:val="0"/>
                <w:sz w:val="17"/>
              </w:rPr>
              <w:t>76.43%</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78.35%</w:t>
            </w:r>
          </w:p>
        </w:tc>
        <w:tc>
          <w:tcPr>
            <w:tcW w:type="dxa" w:w="1148"/>
          </w:tcPr>
          <w:p>
            <w:pPr>
              <w:jc w:val="center"/>
            </w:pPr>
            <w:r>
              <w:rPr>
                <w:rFonts w:ascii="宋体" w:hAnsi="宋体" w:eastAsia="宋体"/>
                <w:b w:val="0"/>
                <w:sz w:val="17"/>
              </w:rPr>
              <w:t>4.88%</w:t>
            </w:r>
          </w:p>
        </w:tc>
        <w:tc>
          <w:tcPr>
            <w:tcW w:type="dxa" w:w="1148"/>
          </w:tcPr>
          <w:p>
            <w:pPr>
              <w:jc w:val="center"/>
            </w:pPr>
            <w:r>
              <w:rPr>
                <w:rFonts w:ascii="宋体" w:hAnsi="宋体" w:eastAsia="宋体"/>
                <w:b w:val="0"/>
                <w:sz w:val="17"/>
              </w:rPr>
              <w:t>3.97%</w:t>
            </w:r>
          </w:p>
        </w:tc>
        <w:tc>
          <w:tcPr>
            <w:tcW w:type="dxa" w:w="1148"/>
          </w:tcPr>
          <w:p>
            <w:pPr>
              <w:jc w:val="center"/>
            </w:pPr>
            <w:r>
              <w:rPr>
                <w:rFonts w:ascii="宋体" w:hAnsi="宋体" w:eastAsia="宋体"/>
                <w:b w:val="0"/>
                <w:sz w:val="17"/>
              </w:rPr>
              <w:t>51.98%</w:t>
            </w:r>
          </w:p>
        </w:tc>
      </w:tr>
    </w:tbl>
    <w:p/>
    <w:p>
      <w:pPr>
        <w:jc w:val="center"/>
      </w:pPr>
      <w:r>
        <w:drawing>
          <wp:inline xmlns:a="http://schemas.openxmlformats.org/drawingml/2006/main" xmlns:pic="http://schemas.openxmlformats.org/drawingml/2006/picture">
            <wp:extent cx="5688000" cy="3090224"/>
            <wp:docPr id="59" name="Picture 59"/>
            <wp:cNvGraphicFramePr>
              <a:graphicFrameLocks noChangeAspect="1"/>
            </wp:cNvGraphicFramePr>
            <a:graphic>
              <a:graphicData uri="http://schemas.openxmlformats.org/drawingml/2006/picture">
                <pic:pic>
                  <pic:nvPicPr>
                    <pic:cNvPr id="0" name="fig_rsg_expert_complementarity.png"/>
                    <pic:cNvPicPr/>
                  </pic:nvPicPr>
                  <pic:blipFill>
                    <a:blip r:embed="rId70"/>
                    <a:stretch>
                      <a:fillRect/>
                    </a:stretch>
                  </pic:blipFill>
                  <pic:spPr>
                    <a:xfrm>
                      <a:off x="0" y="0"/>
                      <a:ext cx="5688000" cy="3090224"/>
                    </a:xfrm>
                    <a:prstGeom prst="rect"/>
                  </pic:spPr>
                </pic:pic>
              </a:graphicData>
            </a:graphic>
          </wp:inline>
        </w:drawing>
      </w:r>
    </w:p>
    <w:p>
      <w:pPr>
        <w:pStyle w:val="af7"/>
        <w:jc w:val="center"/>
      </w:pPr>
      <w:r>
        <w:rPr>
          <w:rFonts w:ascii="宋体" w:hAnsi="宋体" w:eastAsia="宋体"/>
          <w:sz w:val="19"/>
        </w:rPr>
        <w:t>图 26 RSG-HRGV 跨粒度双专家的互补性与可路由子集诊断</w:t>
      </w:r>
    </w:p>
    <w:p>
      <w:pPr>
        <w:spacing w:line="360" w:lineRule="auto"/>
      </w:pPr>
      <w:r>
        <w:rPr>
          <w:rFonts w:ascii="宋体" w:hAnsi="宋体" w:eastAsia="宋体"/>
          <w:sz w:val="21"/>
        </w:rPr>
        <w:t>三个协议中，两位专家均存在约 4%--6% 的预测分歧和约 4%--5% 的一对一错子集，说明直接角色证据与种类映射证据并非完全冗余。完整 RSG 门控在该条件子集上的选对率为 51.98%--58.01%，与前述平均路由后悔下降共同支持存在有限的可路由空间；融合 Accuracy 仍低于依赖真值的 oracle 诊断上限，因而不应把 oracle 差距解释为可直接部署的性能潜力。</w:t>
      </w:r>
    </w:p>
    <w:p>
      <w:pPr>
        <w:spacing w:line="360" w:lineRule="auto"/>
      </w:pPr>
      <w:r>
        <w:rPr>
          <w:rFonts w:ascii="宋体" w:hAnsi="宋体" w:eastAsia="宋体"/>
          <w:sz w:val="21"/>
        </w:rPr>
        <w:t>证据边界：本节仅量化现有冻结模型中两路证据的互补结构，不构成总体分类性能优越、一般化 MoE 优势、未知矿物拒识、工业分选、品位、回收率或元素含量的结论。</w:t>
      </w:r>
    </w:p>
    <w:p>
      <w:r>
        <w:br w:type="page"/>
      </w:r>
    </w:p>
    <w:p>
      <w:pPr>
        <w:pStyle w:val="1"/>
        <w:keepNext/>
      </w:pPr>
      <w:r>
        <w:rPr>
          <w:rFonts w:ascii="黑体" w:hAnsi="黑体" w:eastAsia="黑体"/>
          <w:b/>
          <w:sz w:val="28"/>
        </w:rPr>
        <w:t>附录 I 候选网络扩展：成对困难负样本遗憾路由（PHR）</w:t>
      </w:r>
    </w:p>
    <w:p>
      <w:pPr>
        <w:spacing w:after="100" w:line="336" w:lineRule="auto"/>
        <w:ind w:firstLine="420"/>
      </w:pPr>
      <w:r>
        <w:rPr>
          <w:rFonts w:ascii="宋体" w:hAnsi="宋体" w:eastAsia="宋体"/>
          <w:b w:val="0"/>
          <w:sz w:val="22"/>
        </w:rPr>
        <w:t>本附录记录后续论文补实验所采用的候选网络扩展。PHR 的目标不是以未经证实的方式替代当前 RSG-HRGV 主模型，而是针对已观察到的两条高风险混淆边界，即目标矿物与含钛干扰矿物、目标矿物与金属光泽干扰矿物，分别学习路由门控并施加最小范数的成对边界修正。以下公式、结构图与数值性质核验为预注册实验提供可复现定义；在验证集筛选和正式三随机种子测试完成前，本附录不作任何性能提升结论。</w:t>
      </w:r>
    </w:p>
    <w:p>
      <w:pPr>
        <w:pStyle w:val="21"/>
        <w:keepNext/>
      </w:pPr>
      <w:r>
        <w:rPr>
          <w:rFonts w:ascii="黑体" w:hAnsi="黑体" w:eastAsia="黑体"/>
          <w:b/>
          <w:sz w:val="24"/>
        </w:rPr>
        <w:t>I.1 成对边界的概率、对数几率与融合门控</w:t>
      </w:r>
    </w:p>
    <w:p>
      <w:pPr>
        <w:spacing w:after="100" w:line="336" w:lineRule="auto"/>
        <w:ind w:firstLine="420"/>
      </w:pPr>
      <w:r>
        <w:rPr>
          <w:rFonts w:ascii="宋体" w:hAnsi="宋体" w:eastAsia="宋体"/>
          <w:b w:val="0"/>
          <w:sz w:val="22"/>
        </w:rPr>
        <w:t>设 T、I、G、M 分别表示目标矿物、含钛干扰、脉石和金属光泽干扰；p_d 与 p_m 分别为直接角色头和种类概率映射后的角色后验。对 q∈{I,M}，PHR 不直接重写四分类标签，而是在两条预定义边界上计算目标相对负类的对数几率。</w:t>
      </w:r>
    </w:p>
    <w:p>
      <w:pPr>
        <w:spacing w:before="40" w:after="80" w:line="264" w:lineRule="auto"/>
        <w:jc w:val="center"/>
      </w:pPr>
      <w:r>
        <w:rPr>
          <w:rFonts w:ascii="Cambria Math" w:hAnsi="Cambria Math" w:eastAsia="Cambria Math"/>
          <w:b w:val="0"/>
          <w:sz w:val="22"/>
        </w:rPr>
        <w:t>m_(d,q)=log(p_(d,T)/p_(d,q)),   m_(m,q)=log(p_(m,T)/p_(m,q))</w:t>
      </w:r>
      <w:r>
        <w:t xml:space="preserve">    </w:t>
      </w:r>
      <w:r>
        <w:rPr>
          <w:rFonts w:ascii="Times New Roman" w:hAnsi="Times New Roman" w:eastAsia="Times New Roman"/>
          <w:b w:val="0"/>
          <w:sz w:val="21"/>
        </w:rPr>
        <w:t>(1)</w:t>
      </w:r>
    </w:p>
    <w:p>
      <w:pPr>
        <w:spacing w:before="40" w:after="80" w:line="264" w:lineRule="auto"/>
        <w:jc w:val="center"/>
      </w:pPr>
      <w:r>
        <w:rPr>
          <w:rFonts w:ascii="Cambria Math" w:hAnsi="Cambria Math" w:eastAsia="Cambria Math"/>
          <w:b w:val="0"/>
          <w:sz w:val="22"/>
        </w:rPr>
        <w:t>m_(f,q)=g_q m_(d,q)+(1-g_q)m_(m,q),   g_q=sigma(phi_q([f,m_(d,q),m_(m,q)]))</w:t>
      </w:r>
      <w:r>
        <w:t xml:space="preserve">    </w:t>
      </w:r>
      <w:r>
        <w:rPr>
          <w:rFonts w:ascii="Times New Roman" w:hAnsi="Times New Roman" w:eastAsia="Times New Roman"/>
          <w:b w:val="0"/>
          <w:sz w:val="21"/>
        </w:rPr>
        <w:t>(2)</w:t>
      </w:r>
    </w:p>
    <w:p>
      <w:pPr>
        <w:spacing w:after="100" w:line="336" w:lineRule="auto"/>
        <w:ind w:firstLine="420"/>
      </w:pPr>
      <w:r>
        <w:rPr>
          <w:rFonts w:ascii="宋体" w:hAnsi="宋体" w:eastAsia="宋体"/>
          <w:b w:val="0"/>
          <w:sz w:val="22"/>
        </w:rPr>
        <w:t>其中 f 为共享骨干的视觉特征，g_q∈[0,1] 是第 q 条边界的路由门控，sigma 为 Sigmoid 函数。两条门控互不强制相等，因此可分别处理‘目标—含钛干扰’与‘目标—金属光泽干扰’的视觉证据差异。</w:t>
      </w:r>
    </w:p>
    <w:p>
      <w:pPr>
        <w:pStyle w:val="21"/>
        <w:keepNext/>
      </w:pPr>
      <w:r>
        <w:rPr>
          <w:rFonts w:ascii="黑体" w:hAnsi="黑体" w:eastAsia="黑体"/>
          <w:b/>
          <w:sz w:val="24"/>
        </w:rPr>
        <w:t>I.2 软专家与遗憾目标</w:t>
      </w:r>
    </w:p>
    <w:p>
      <w:pPr>
        <w:spacing w:after="100" w:line="336" w:lineRule="auto"/>
        <w:ind w:firstLine="420"/>
      </w:pPr>
      <w:r>
        <w:rPr>
          <w:rFonts w:ascii="宋体" w:hAnsi="宋体" w:eastAsia="宋体"/>
          <w:b w:val="0"/>
          <w:sz w:val="22"/>
        </w:rPr>
        <w:t>对训练样本，只在真实角色属于当前成对边界的情形启用该边界。设 Delta_q 为直接角色证据与种类映射证据在第 q 条边界上的有向差异，使用温度 tau 构造软专家门控目标；其对应的精确边际遗憾定义如下。</w:t>
      </w:r>
    </w:p>
    <w:p>
      <w:pPr>
        <w:spacing w:before="40" w:after="80" w:line="264" w:lineRule="auto"/>
        <w:jc w:val="center"/>
      </w:pPr>
      <w:r>
        <w:rPr>
          <w:rFonts w:ascii="Cambria Math" w:hAnsi="Cambria Math" w:eastAsia="Cambria Math"/>
          <w:b w:val="0"/>
          <w:sz w:val="22"/>
        </w:rPr>
        <w:t>g_(o,q)=sigma(Delta_q/tau),   r_q=|g_q-g_(o,q)| |Delta_q|</w:t>
      </w:r>
      <w:r>
        <w:t xml:space="preserve">    </w:t>
      </w:r>
      <w:r>
        <w:rPr>
          <w:rFonts w:ascii="Times New Roman" w:hAnsi="Times New Roman" w:eastAsia="Times New Roman"/>
          <w:b w:val="0"/>
          <w:sz w:val="21"/>
        </w:rPr>
        <w:t>(3)</w:t>
      </w:r>
    </w:p>
    <w:p>
      <w:pPr>
        <w:spacing w:before="40" w:after="80" w:line="264" w:lineRule="auto"/>
        <w:jc w:val="center"/>
      </w:pPr>
      <w:r>
        <w:rPr>
          <w:rFonts w:ascii="Cambria Math" w:hAnsi="Cambria Math" w:eastAsia="Cambria Math"/>
          <w:b w:val="0"/>
          <w:sz w:val="22"/>
        </w:rPr>
        <w:t>L_PHR=(sum_(q in {I,M}) w_q r_q)/(sum_(q in {I,M}) w_q 1[eligible_q])</w:t>
      </w:r>
      <w:r>
        <w:t xml:space="preserve">    </w:t>
      </w:r>
      <w:r>
        <w:rPr>
          <w:rFonts w:ascii="Times New Roman" w:hAnsi="Times New Roman" w:eastAsia="Times New Roman"/>
          <w:b w:val="0"/>
          <w:sz w:val="21"/>
        </w:rPr>
        <w:t>(4)</w:t>
      </w:r>
    </w:p>
    <w:p>
      <w:pPr>
        <w:spacing w:after="100" w:line="336" w:lineRule="auto"/>
        <w:ind w:firstLine="420"/>
      </w:pPr>
      <w:r>
        <w:rPr>
          <w:rFonts w:ascii="宋体" w:hAnsi="宋体" w:eastAsia="宋体"/>
          <w:b w:val="0"/>
          <w:sz w:val="22"/>
        </w:rPr>
        <w:t>在二元对数损失下，门控偏离软专家所造成的边际损失超额可由 r_q 上界；这一结论只针对预定义的成对对数几率边界，不推出四分类 Macro F1、外部泛化或工业分选指标必然提升。数值实现以 10,000 组 float64 合成样本核验遗憾恒等式、损失上界和符号保持条件，结果仅用于公式实现自检。</w:t>
      </w:r>
    </w:p>
    <w:p>
      <w:pPr>
        <w:pStyle w:val="21"/>
        <w:keepNext/>
      </w:pPr>
      <w:r>
        <w:rPr>
          <w:rFonts w:ascii="黑体" w:hAnsi="黑体" w:eastAsia="黑体"/>
          <w:b/>
          <w:sz w:val="24"/>
        </w:rPr>
        <w:t>I.3 最小范数耦合修正与性质边界</w:t>
      </w:r>
    </w:p>
    <w:p>
      <w:pPr>
        <w:spacing w:after="100" w:line="336" w:lineRule="auto"/>
        <w:ind w:firstLine="420"/>
      </w:pPr>
      <w:r>
        <w:rPr>
          <w:rFonts w:ascii="宋体" w:hAnsi="宋体" w:eastAsia="宋体"/>
          <w:b w:val="0"/>
          <w:sz w:val="22"/>
        </w:rPr>
        <w:t>PHR 将两条成对边界的修正量同时投影到四类 logit，以最小二范数改变满足约束。令 delta_I=m_(f,I)-m_(0,I)、delta_M=m_(f,M)-m_(0,M)，其中 m_0 为 RSG-HRGV 融合后的基线边际，则一组闭式修正为：</w:t>
      </w:r>
    </w:p>
    <w:p>
      <w:pPr>
        <w:spacing w:before="40" w:after="80" w:line="264" w:lineRule="auto"/>
        <w:jc w:val="center"/>
      </w:pPr>
      <w:r>
        <w:rPr>
          <w:rFonts w:ascii="Cambria Math" w:hAnsi="Cambria Math" w:eastAsia="Cambria Math"/>
          <w:b w:val="0"/>
          <w:sz w:val="22"/>
        </w:rPr>
        <w:t>a_T=(delta_I+delta_M)/3,   a_I=(delta_M-2delta_I)/3,   a_M=(delta_I-2delta_M)/3,   a_G=0</w:t>
      </w:r>
      <w:r>
        <w:t xml:space="preserve">    </w:t>
      </w:r>
      <w:r>
        <w:rPr>
          <w:rFonts w:ascii="Times New Roman" w:hAnsi="Times New Roman" w:eastAsia="Times New Roman"/>
          <w:b w:val="0"/>
          <w:sz w:val="21"/>
        </w:rPr>
        <w:t>(5)</w:t>
      </w:r>
    </w:p>
    <w:p>
      <w:pPr>
        <w:spacing w:before="40" w:after="80" w:line="264" w:lineRule="auto"/>
        <w:jc w:val="center"/>
      </w:pPr>
      <w:r>
        <w:rPr>
          <w:rFonts w:ascii="Cambria Math" w:hAnsi="Cambria Math" w:eastAsia="Cambria Math"/>
          <w:b w:val="0"/>
          <w:sz w:val="22"/>
        </w:rPr>
        <w:t>ell_PHR=ell_0+(a_T,a_I,a_G,a_M)</w:t>
      </w:r>
      <w:r>
        <w:t xml:space="preserve">    </w:t>
      </w:r>
      <w:r>
        <w:rPr>
          <w:rFonts w:ascii="Times New Roman" w:hAnsi="Times New Roman" w:eastAsia="Times New Roman"/>
          <w:b w:val="0"/>
          <w:sz w:val="21"/>
        </w:rPr>
        <w:t>(6)</w:t>
      </w:r>
    </w:p>
    <w:p>
      <w:pPr>
        <w:spacing w:after="100" w:line="336" w:lineRule="auto"/>
        <w:ind w:firstLine="420"/>
      </w:pPr>
      <w:r>
        <w:rPr>
          <w:rFonts w:ascii="宋体" w:hAnsi="宋体" w:eastAsia="宋体"/>
          <w:b w:val="0"/>
          <w:sz w:val="22"/>
        </w:rPr>
        <w:t>该投影满足目标—含钛干扰和目标—金属光泽干扰的指定边际变化，并在所有满足约束的 logit 修正中具有最小二范数。需特别说明：a_G=0 只表示脉石 logit 不变；Softmax 归一化后，脉石概率仍可能变化。因此，局部成对边际改善不等价于全局四分类风险、校准误差或 Macro F1 的必然改善。</w:t>
      </w:r>
    </w:p>
    <w:p>
      <w:pPr>
        <w:pStyle w:val="21"/>
        <w:keepNext/>
      </w:pPr>
      <w:r>
        <w:rPr>
          <w:rFonts w:ascii="黑体" w:hAnsi="黑体" w:eastAsia="黑体"/>
          <w:b/>
          <w:sz w:val="24"/>
        </w:rPr>
        <w:t>I.4 网络结构与可审计验证方案</w:t>
      </w:r>
    </w:p>
    <w:p>
      <w:pPr>
        <w:jc w:val="center"/>
      </w:pPr>
      <w:r>
        <w:drawing>
          <wp:inline xmlns:a="http://schemas.openxmlformats.org/drawingml/2006/main" xmlns:pic="http://schemas.openxmlformats.org/drawingml/2006/picture">
            <wp:extent cx="5472000" cy="3172719"/>
            <wp:docPr id="60" name="Picture 60"/>
            <wp:cNvGraphicFramePr>
              <a:graphicFrameLocks noChangeAspect="1"/>
            </wp:cNvGraphicFramePr>
            <a:graphic>
              <a:graphicData uri="http://schemas.openxmlformats.org/drawingml/2006/picture">
                <pic:pic>
                  <pic:nvPicPr>
                    <pic:cNvPr id="0" name="fig_phr_routing_architecture.png"/>
                    <pic:cNvPicPr/>
                  </pic:nvPicPr>
                  <pic:blipFill>
                    <a:blip r:embed="rId71"/>
                    <a:stretch>
                      <a:fillRect/>
                    </a:stretch>
                  </pic:blipFill>
                  <pic:spPr>
                    <a:xfrm>
                      <a:off x="0" y="0"/>
                      <a:ext cx="5472000" cy="3172719"/>
                    </a:xfrm>
                    <a:prstGeom prst="rect"/>
                  </pic:spPr>
                </pic:pic>
              </a:graphicData>
            </a:graphic>
          </wp:inline>
        </w:drawing>
      </w:r>
    </w:p>
    <w:p>
      <w:pPr>
        <w:pStyle w:val="af7"/>
        <w:spacing w:after="100"/>
        <w:jc w:val="center"/>
      </w:pPr>
      <w:r>
        <w:rPr>
          <w:rFonts w:ascii="宋体" w:hAnsi="宋体" w:eastAsia="宋体"/>
          <w:b w:val="0"/>
          <w:sz w:val="21"/>
        </w:rPr>
        <w:t>图 27 PHR 候选网络扩展：两条成对边界的门控、遗憾监督与最小范数修正。虚线部分仅在训练期使用。</w:t>
      </w:r>
    </w:p>
    <w:p>
      <w:pPr>
        <w:spacing w:after="100" w:line="336" w:lineRule="auto"/>
        <w:ind w:firstLine="420"/>
      </w:pPr>
      <w:r>
        <w:rPr>
          <w:rFonts w:ascii="宋体" w:hAnsi="宋体" w:eastAsia="宋体"/>
          <w:b w:val="0"/>
          <w:sz w:val="22"/>
        </w:rPr>
        <w:t>筛选阶段固定数据清单，仅使用验证集，并预注册八组设置：RSG 参考、完整 PHR、固定 0.5 门控、硬门控目标、非加权损失、耦合特征、仅含钛边界和仅金属光泽边界。完整 PHR 只有满足预先定义的 Macro F1、成对遗憾或风险取舍准则之一时，才会晋级至三随机种子的锁定测试集比较。正式分析同时核验清单哈希、脚本哈希、运行状态、验证集晋级决定和逐图预测，避免把旧试跑、测试集调参或不完整运行写入结论。</w:t>
      </w:r>
    </w:p>
    <w:p>
      <w:pPr>
        <w:pStyle w:val="21"/>
        <w:keepNext/>
      </w:pPr>
      <w:r>
        <w:rPr>
          <w:rFonts w:ascii="黑体" w:hAnsi="黑体" w:eastAsia="黑体"/>
          <w:b/>
          <w:sz w:val="24"/>
        </w:rPr>
        <w:t>I.5 与本报告主线的关系</w:t>
      </w:r>
    </w:p>
    <w:p>
      <w:pPr>
        <w:spacing w:after="100" w:line="336" w:lineRule="auto"/>
        <w:ind w:firstLine="420"/>
      </w:pPr>
      <w:r>
        <w:rPr>
          <w:rFonts w:ascii="宋体" w:hAnsi="宋体" w:eastAsia="宋体"/>
          <w:b w:val="0"/>
          <w:sz w:val="22"/>
        </w:rPr>
        <w:t>当前技术报告的已完成主线仍为角色感知分层一致性与困难负样本学习。PHR 作为可检验的网络创新候选，补足了‘两类困难干扰具有不同边界、应分别路由’的形式化定义与可复现实验协议。若后续正式实验未通过验证集晋级或未在锁定测试上形成可信证据，应将其保留为负结果或后续工作，而不能写入本报告的已取得性能成果。</w:t>
      </w:r>
    </w:p>
    <w:p>
      <w:pPr>
        <w:pStyle w:val="21"/>
        <w:keepNext/>
      </w:pPr>
      <w:r>
        <w:rPr>
          <w:rFonts w:ascii="黑体" w:hAnsi="黑体" w:eastAsia="黑体"/>
          <w:b/>
          <w:sz w:val="24"/>
        </w:rPr>
        <w:t>I.6 PHR 验证集筛选结果与边界结论</w:t>
      </w:r>
    </w:p>
    <w:p>
      <w:pPr>
        <w:spacing w:after="100" w:line="336" w:lineRule="auto"/>
        <w:ind w:firstLine="420"/>
      </w:pPr>
      <w:r>
        <w:rPr>
          <w:rFonts w:ascii="宋体" w:hAnsi="宋体" w:eastAsia="宋体"/>
          <w:b w:val="0"/>
          <w:sz w:val="22"/>
        </w:rPr>
        <w:t>PHR 的八项预注册验证集筛选已完成。筛选只使用冻结清单中的验证集，自动决定文件对运行状态、环境、指标、逐图预测、登记配置和源文件哈希进行了绑定。其 criterion_ids 为空且 promote_to_formal=false，因此完整 PHR 未晋级到锁定测试集上的三随机种子正式比较。</w:t>
      </w:r>
    </w:p>
    <w:tbl>
      <w:tblPr>
        <w:tblStyle w:val="aff1"/>
        <w:tblW w:type="auto" w:w="0"/>
        <w:tblLook w:firstColumn="1" w:firstRow="1" w:lastColumn="0" w:lastRow="0" w:noHBand="0" w:noVBand="1" w:val="04A0"/>
      </w:tblPr>
      <w:tblGrid>
        <w:gridCol w:w="1531"/>
        <w:gridCol w:w="1531"/>
        <w:gridCol w:w="1531"/>
        <w:gridCol w:w="1531"/>
        <w:gridCol w:w="1531"/>
        <w:gridCol w:w="1531"/>
      </w:tblGrid>
      <w:tr>
        <w:trPr>
          <w:tblHeader w:val="true"/>
          <w:cantSplit/>
        </w:trPr>
        <w:tc>
          <w:tcPr>
            <w:tcW w:type="dxa" w:w="1531"/>
          </w:tcPr>
          <w:p>
            <w:pPr>
              <w:keepNext/>
            </w:pPr>
            <w:r>
              <w:rPr>
                <w:rFonts w:ascii="宋体" w:hAnsi="宋体" w:eastAsia="宋体"/>
                <w:b/>
                <w:sz w:val="17"/>
              </w:rPr>
              <w:t>配置</w:t>
            </w:r>
          </w:p>
        </w:tc>
        <w:tc>
          <w:tcPr>
            <w:tcW w:type="dxa" w:w="1531"/>
          </w:tcPr>
          <w:p>
            <w:pPr>
              <w:keepNext/>
            </w:pPr>
            <w:r>
              <w:rPr>
                <w:rFonts w:ascii="宋体" w:hAnsi="宋体" w:eastAsia="宋体"/>
                <w:b/>
                <w:sz w:val="17"/>
              </w:rPr>
              <w:t>Macro F1</w:t>
            </w:r>
          </w:p>
        </w:tc>
        <w:tc>
          <w:tcPr>
            <w:tcW w:type="dxa" w:w="1531"/>
          </w:tcPr>
          <w:p>
            <w:pPr>
              <w:keepNext/>
            </w:pPr>
            <w:r>
              <w:rPr>
                <w:rFonts w:ascii="宋体" w:hAnsi="宋体" w:eastAsia="宋体"/>
                <w:b/>
                <w:sz w:val="17"/>
              </w:rPr>
              <w:t>目标类召回</w:t>
            </w:r>
          </w:p>
        </w:tc>
        <w:tc>
          <w:tcPr>
            <w:tcW w:type="dxa" w:w="1531"/>
          </w:tcPr>
          <w:p>
            <w:pPr>
              <w:keepNext/>
            </w:pPr>
            <w:r>
              <w:rPr>
                <w:rFonts w:ascii="宋体" w:hAnsi="宋体" w:eastAsia="宋体"/>
                <w:b/>
                <w:sz w:val="17"/>
              </w:rPr>
              <w:t>Ti 误入目标</w:t>
            </w:r>
          </w:p>
        </w:tc>
        <w:tc>
          <w:tcPr>
            <w:tcW w:type="dxa" w:w="1531"/>
          </w:tcPr>
          <w:p>
            <w:pPr>
              <w:keepNext/>
            </w:pPr>
            <w:r>
              <w:rPr>
                <w:rFonts w:ascii="宋体" w:hAnsi="宋体" w:eastAsia="宋体"/>
                <w:b/>
                <w:sz w:val="17"/>
              </w:rPr>
              <w:t>金属误入目标</w:t>
            </w:r>
          </w:p>
        </w:tc>
        <w:tc>
          <w:tcPr>
            <w:tcW w:type="dxa" w:w="1531"/>
          </w:tcPr>
          <w:p>
            <w:pPr>
              <w:keepNext/>
            </w:pPr>
            <w:r>
              <w:rPr>
                <w:rFonts w:ascii="宋体" w:hAnsi="宋体" w:eastAsia="宋体"/>
                <w:b/>
                <w:sz w:val="17"/>
              </w:rPr>
              <w:t>Ti/金属边遗憾</w:t>
            </w:r>
          </w:p>
        </w:tc>
      </w:tr>
      <w:tr>
        <w:trPr>
          <w:cantSplit/>
        </w:trPr>
        <w:tc>
          <w:tcPr>
            <w:tcW w:type="dxa" w:w="1531"/>
          </w:tcPr>
          <w:p>
            <w:r>
              <w:rPr>
                <w:rFonts w:ascii="宋体" w:hAnsi="宋体" w:eastAsia="宋体"/>
                <w:b w:val="0"/>
                <w:sz w:val="17"/>
              </w:rPr>
              <w:t>RSG 参考</w:t>
            </w:r>
          </w:p>
        </w:tc>
        <w:tc>
          <w:tcPr>
            <w:tcW w:type="dxa" w:w="1531"/>
          </w:tcPr>
          <w:p>
            <w:r>
              <w:rPr>
                <w:rFonts w:ascii="宋体" w:hAnsi="宋体" w:eastAsia="宋体"/>
                <w:b w:val="0"/>
                <w:sz w:val="17"/>
              </w:rPr>
              <w:t>0.7485</w:t>
            </w:r>
          </w:p>
        </w:tc>
        <w:tc>
          <w:tcPr>
            <w:tcW w:type="dxa" w:w="1531"/>
          </w:tcPr>
          <w:p>
            <w:r>
              <w:rPr>
                <w:rFonts w:ascii="宋体" w:hAnsi="宋体" w:eastAsia="宋体"/>
                <w:b w:val="0"/>
                <w:sz w:val="17"/>
              </w:rPr>
              <w:t>0.7360</w:t>
            </w:r>
          </w:p>
        </w:tc>
        <w:tc>
          <w:tcPr>
            <w:tcW w:type="dxa" w:w="1531"/>
          </w:tcPr>
          <w:p>
            <w:r>
              <w:rPr>
                <w:rFonts w:ascii="宋体" w:hAnsi="宋体" w:eastAsia="宋体"/>
                <w:b w:val="0"/>
                <w:sz w:val="17"/>
              </w:rPr>
              <w:t>0.0918</w:t>
            </w:r>
          </w:p>
        </w:tc>
        <w:tc>
          <w:tcPr>
            <w:tcW w:type="dxa" w:w="1531"/>
          </w:tcPr>
          <w:p>
            <w:r>
              <w:rPr>
                <w:rFonts w:ascii="宋体" w:hAnsi="宋体" w:eastAsia="宋体"/>
                <w:b w:val="0"/>
                <w:sz w:val="17"/>
              </w:rPr>
              <w:t>0.1130</w:t>
            </w:r>
          </w:p>
        </w:tc>
        <w:tc>
          <w:tcPr>
            <w:tcW w:type="dxa" w:w="1531"/>
          </w:tcPr>
          <w:p>
            <w:r>
              <w:rPr>
                <w:rFonts w:ascii="宋体" w:hAnsi="宋体" w:eastAsia="宋体"/>
                <w:b w:val="0"/>
                <w:sz w:val="17"/>
              </w:rPr>
              <w:t>0.4187/0.6374</w:t>
            </w:r>
          </w:p>
        </w:tc>
      </w:tr>
      <w:tr>
        <w:tc>
          <w:tcPr>
            <w:tcW w:type="dxa" w:w="1531"/>
          </w:tcPr>
          <w:p>
            <w:r>
              <w:rPr>
                <w:rFonts w:ascii="宋体" w:hAnsi="宋体" w:eastAsia="宋体"/>
                <w:b w:val="0"/>
                <w:sz w:val="17"/>
              </w:rPr>
              <w:t>完整 PHR</w:t>
            </w:r>
          </w:p>
        </w:tc>
        <w:tc>
          <w:tcPr>
            <w:tcW w:type="dxa" w:w="1531"/>
          </w:tcPr>
          <w:p>
            <w:r>
              <w:rPr>
                <w:rFonts w:ascii="宋体" w:hAnsi="宋体" w:eastAsia="宋体"/>
                <w:b w:val="0"/>
                <w:sz w:val="17"/>
              </w:rPr>
              <w:t>0.7414</w:t>
            </w:r>
          </w:p>
        </w:tc>
        <w:tc>
          <w:tcPr>
            <w:tcW w:type="dxa" w:w="1531"/>
          </w:tcPr>
          <w:p>
            <w:r>
              <w:rPr>
                <w:rFonts w:ascii="宋体" w:hAnsi="宋体" w:eastAsia="宋体"/>
                <w:b w:val="0"/>
                <w:sz w:val="17"/>
              </w:rPr>
              <w:t>0.6880</w:t>
            </w:r>
          </w:p>
        </w:tc>
        <w:tc>
          <w:tcPr>
            <w:tcW w:type="dxa" w:w="1531"/>
          </w:tcPr>
          <w:p>
            <w:r>
              <w:rPr>
                <w:rFonts w:ascii="宋体" w:hAnsi="宋体" w:eastAsia="宋体"/>
                <w:b w:val="0"/>
                <w:sz w:val="17"/>
              </w:rPr>
              <w:t>0.0959</w:t>
            </w:r>
          </w:p>
        </w:tc>
        <w:tc>
          <w:tcPr>
            <w:tcW w:type="dxa" w:w="1531"/>
          </w:tcPr>
          <w:p>
            <w:r>
              <w:rPr>
                <w:rFonts w:ascii="宋体" w:hAnsi="宋体" w:eastAsia="宋体"/>
                <w:b w:val="0"/>
                <w:sz w:val="17"/>
              </w:rPr>
              <w:t>0.1243</w:t>
            </w:r>
          </w:p>
        </w:tc>
        <w:tc>
          <w:tcPr>
            <w:tcW w:type="dxa" w:w="1531"/>
          </w:tcPr>
          <w:p>
            <w:r>
              <w:rPr>
                <w:rFonts w:ascii="宋体" w:hAnsi="宋体" w:eastAsia="宋体"/>
                <w:b w:val="0"/>
                <w:sz w:val="17"/>
              </w:rPr>
              <w:t>0.1813/0.2350</w:t>
            </w:r>
          </w:p>
        </w:tc>
      </w:tr>
    </w:tbl>
    <w:p>
      <w:pPr>
        <w:spacing w:after="100" w:line="336" w:lineRule="auto"/>
        <w:ind w:firstLine="420"/>
      </w:pPr>
      <w:r>
        <w:rPr>
          <w:rFonts w:ascii="宋体" w:hAnsi="宋体" w:eastAsia="宋体"/>
          <w:b w:val="0"/>
          <w:sz w:val="22"/>
        </w:rPr>
        <w:t>完整 PHR 的 Macro F1 相对 RSG 参考变化为 -0.0070，Accuracy 变化为 -0.0093，目标类召回变化为 -0.0480。虽然两条成对边遗憾从 0.4187/0.6374 降至 0.1813/0.2350，但目标类召回下降，且 Ti 与金属光泽干扰误入目标的比例均上升。因此，它未满足既定的总体性能、局部风险或风险取舍三条任一晋级规则。</w:t>
      </w:r>
    </w:p>
    <w:p>
      <w:pPr>
        <w:spacing w:after="100" w:line="336" w:lineRule="auto"/>
        <w:ind w:firstLine="420"/>
      </w:pPr>
      <w:r>
        <w:rPr>
          <w:rFonts w:ascii="宋体" w:hAnsi="宋体" w:eastAsia="宋体"/>
          <w:b w:val="0"/>
          <w:sz w:val="22"/>
        </w:rPr>
        <w:t>该结果支持本附录已明确的理论边界：两条成对边界上的局部遗憾降低，并不推出 Softmax 耦合后的全局四分类风险、Macro F1 或目标类代理指标改善。PHR 的解析遗憾恒等式、软目标损失界和最小范数约束修正仍作为可复核的候选机制保留；但在当前数据与协议下，PHR 只能作为机制性负结果和后续研究线索，不能写作本报告的性能创新成果。</w:t>
      </w:r>
    </w:p>
    <w:p>
      <w:r>
        <w:br w:type="page"/>
      </w:r>
    </w:p>
    <w:p>
      <w:pPr>
        <w:pStyle w:val="1"/>
        <w:keepNext/>
      </w:pPr>
      <w:r>
        <w:rPr>
          <w:rFonts w:ascii="黑体" w:hAnsi="黑体" w:eastAsia="黑体"/>
          <w:b/>
          <w:sz w:val="28"/>
        </w:rPr>
        <w:t>附录 J 门控训练目标的理论边界与固定专家验证</w:t>
      </w:r>
    </w:p>
    <w:p>
      <w:pPr>
        <w:spacing w:after="100" w:line="336" w:lineRule="auto"/>
        <w:ind w:firstLine="420"/>
      </w:pPr>
      <w:r>
        <w:rPr>
          <w:rFonts w:ascii="宋体" w:hAnsi="宋体" w:eastAsia="宋体"/>
          <w:b w:val="0"/>
          <w:sz w:val="22"/>
        </w:rPr>
        <w:t>本附录补充 RSG-HRGV 门控目标的解析依据、总体风险边界及固定专家对照。已有路由后悔下降结果不能直接解释为门控的独立性能收益，更不能推出整体分类指标必然提高。以下内容用于限定网络创新的可辩护范围，并据此确定后续改进问题。</w:t>
      </w:r>
    </w:p>
    <w:p>
      <w:pPr>
        <w:pStyle w:val="21"/>
        <w:keepNext/>
      </w:pPr>
      <w:r>
        <w:rPr>
          <w:rFonts w:ascii="黑体" w:hAnsi="黑体" w:eastAsia="黑体"/>
          <w:b/>
          <w:sz w:val="24"/>
        </w:rPr>
        <w:t>J.1 软门控目标的优化解释</w:t>
      </w:r>
    </w:p>
    <w:p>
      <w:pPr>
        <w:spacing w:after="100" w:line="336" w:lineRule="auto"/>
        <w:ind w:firstLine="420"/>
      </w:pPr>
      <w:r>
        <w:rPr>
          <w:rFonts w:ascii="宋体" w:hAnsi="宋体" w:eastAsia="宋体"/>
          <w:b w:val="0"/>
          <w:sz w:val="22"/>
        </w:rPr>
        <w:t>固定单张图像和真实角色，两专家对数损失记为 ld、lm，温度 T&gt;0。考虑专家期望损失与负熵正则之和：</w:t>
      </w:r>
    </w:p>
    <w:p>
      <w:pPr>
        <w:jc w:val="center"/>
      </w:pPr>
      <m:oMath>
        <m:r>
          <m:t>Jₜ(t) = t l_d + (1−t) l_m + T[t log t + (1−t) log(1−t)]</m:t>
        </m:r>
      </m:oMath>
    </w:p>
    <w:p>
      <w:pPr>
        <w:spacing w:after="100" w:line="336" w:lineRule="auto"/>
        <w:ind w:firstLine="420"/>
      </w:pPr>
      <w:r>
        <w:rPr>
          <w:rFonts w:ascii="宋体" w:hAnsi="宋体" w:eastAsia="宋体"/>
          <w:b w:val="0"/>
          <w:sz w:val="22"/>
        </w:rPr>
        <w:t>内部二阶导数为 T/[t(1−t)]&gt;0，由一阶导数为零和端点导数极限，可得唯一最优解 t*=sigmoid((lm−ld)/T)，与已实现软目标相同。该解释是经典熵正则化选择原理的两专家实例化，不作为独立首创定理。原理参考 Niculae 与 Blondel，A Regularized Framework for Sparse and Structured Neural Attention，NeurIPS 2017。</w:t>
      </w:r>
    </w:p>
    <w:p>
      <w:pPr>
        <w:jc w:val="center"/>
      </w:pPr>
      <m:oMath>
        <m:r>
          <m:t>Jₜ(g) − Jₜ(t*) = T KL(Ber(g) ∥ Ber(t*))</m:t>
        </m:r>
      </m:oMath>
    </w:p>
    <w:p>
      <w:pPr>
        <w:jc w:val="center"/>
      </w:pPr>
      <m:oMath>
        <m:r>
          <m:t>BCE(g,t*) − H(t*) = KL(Ber(t*) ∥ Ber(g))</m:t>
        </m:r>
      </m:oMath>
    </w:p>
    <w:p>
      <w:pPr>
        <w:spacing w:after="100" w:line="336" w:lineRule="auto"/>
        <w:ind w:firstLine="420"/>
      </w:pPr>
      <w:r>
        <w:rPr>
          <w:rFonts w:ascii="宋体" w:hAnsi="宋体" w:eastAsia="宋体"/>
          <w:b w:val="0"/>
          <w:sz w:val="22"/>
        </w:rPr>
        <w:t>两式的 KL 方向不同。因此 BCE 是对软 oracle 的拟合，不能被写成直接优化熵正则目标的等价实现。四组温度各 3,000 个合成样本的数值核验均通过，其中包含当前温度 0.2。数值核验支持公式实现一致性，不替代解析证明或分类性能实验。</w:t>
      </w:r>
    </w:p>
    <w:p>
      <w:pPr>
        <w:pStyle w:val="21"/>
        <w:keepNext/>
      </w:pPr>
      <w:r>
        <w:rPr>
          <w:rFonts w:ascii="黑体" w:hAnsi="黑体" w:eastAsia="黑体"/>
          <w:b/>
          <w:sz w:val="24"/>
        </w:rPr>
        <w:t>J.2 总体目标非等价性的反例</w:t>
      </w:r>
    </w:p>
    <w:p>
      <w:pPr>
        <w:spacing w:after="100" w:line="336" w:lineRule="auto"/>
        <w:ind w:firstLine="420"/>
      </w:pPr>
      <w:r>
        <w:rPr>
          <w:rFonts w:ascii="宋体" w:hAnsi="宋体" w:eastAsia="宋体"/>
          <w:b w:val="0"/>
          <w:sz w:val="22"/>
        </w:rPr>
        <w:t>对同一输入 x，推理门控不能使用未知真实角色。记真实条件分布为 π，标签相关的软目标为 ty、权重为 wy。在条件平均权重为正时，总体归一化加权 BCE 的最优门控为：</w:t>
      </w:r>
    </w:p>
    <w:p>
      <w:pPr>
        <w:jc w:val="center"/>
      </w:pPr>
      <m:oMath>
        <m:r>
          <m:t>g*BCE = E[wY tY | x] / E[wY | x]</m:t>
        </m:r>
      </m:oMath>
    </w:p>
    <w:p>
      <w:pPr>
        <w:spacing w:after="100" w:line="336" w:lineRule="auto"/>
        <w:ind w:firstLine="420"/>
      </w:pPr>
      <w:r>
        <w:rPr>
          <w:rFonts w:ascii="宋体" w:hAnsi="宋体" w:eastAsia="宋体"/>
          <w:b w:val="0"/>
          <w:sz w:val="22"/>
        </w:rPr>
        <w:t>而融合风险为 R(g)=−Σy πy log[by+g(ay−by)]，一般不在上述门控处最小。取 π=(0.4,0.4,0.1,0.1)，a=(0.72,0.08,0.1,0.1)，b=(0.48,0.32,0.1,0.1)。各概率严格为正，使用当前软目标及差距权重。</w:t>
      </w:r>
    </w:p>
    <w:p>
      <w:pPr>
        <w:jc w:val="center"/>
      </w:pPr>
      <m:oMath>
        <m:r>
          <m:t>R′(g) = 0.096[1/(0.32−0.24g) − 1/(0.48+0.24g)] &gt; 0</m:t>
        </m:r>
      </m:oMath>
    </w:p>
    <w:p>
      <w:pPr>
        <w:spacing w:after="100" w:line="336" w:lineRule="auto"/>
        <w:ind w:firstLine="420"/>
      </w:pPr>
      <w:r>
        <w:rPr>
          <w:rFonts w:ascii="宋体" w:hAnsi="宋体" w:eastAsia="宋体"/>
          <w:b w:val="0"/>
          <w:sz w:val="22"/>
        </w:rPr>
        <w:t>对 g∈[0,1]，上式严格为正，故融合 NLL 唯一最优门控为 0。实际代码计算的 BCE 最优门控为 0.356788，额外产生 0.058905 nat 的条件 NLL。这个有限支持反例否定无条件的 NLL 一致性主张，但未模拟完整联合训练网络，也不证明当前矿物数据上的真实失效原因。</w:t>
      </w:r>
    </w:p>
    <w:p>
      <w:pPr>
        <w:pStyle w:val="21"/>
        <w:keepNext/>
      </w:pPr>
      <w:r>
        <w:rPr>
          <w:rFonts w:ascii="黑体" w:hAnsi="黑体" w:eastAsia="黑体"/>
          <w:b/>
          <w:sz w:val="24"/>
        </w:rPr>
        <w:t>J.3 固定专家的验证集对照</w:t>
      </w:r>
    </w:p>
    <w:p>
      <w:pPr>
        <w:spacing w:after="100" w:line="336" w:lineRule="auto"/>
        <w:ind w:firstLine="420"/>
      </w:pPr>
      <w:r>
        <w:rPr>
          <w:rFonts w:ascii="宋体" w:hAnsi="宋体" w:eastAsia="宋体"/>
          <w:b w:val="0"/>
          <w:sz w:val="22"/>
        </w:rPr>
        <w:t>固定一个未采用后悔监督的 HRGV 专家检查点，在训练集上重新训练门控。比较等权融合、直接融合 NLL 和后悔 BCE 三种策略。两种学习门控均使用三组配对初始化、相同 30 轮预算，按验证集融合 NLL 选轮次。专家全部参数和缓冲区的逐项精确相等检查通过。</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val="0"/>
                <w:sz w:val="20"/>
              </w:rPr>
              <w:t>策略</w:t>
            </w:r>
          </w:p>
        </w:tc>
        <w:tc>
          <w:tcPr>
            <w:tcW w:type="dxa" w:w="2296"/>
          </w:tcPr>
          <w:p>
            <w:r>
              <w:rPr>
                <w:rFonts w:ascii="宋体" w:hAnsi="宋体" w:eastAsia="宋体"/>
                <w:b w:val="0"/>
                <w:sz w:val="20"/>
              </w:rPr>
              <w:t>融合 NLL / nat</w:t>
            </w:r>
          </w:p>
        </w:tc>
        <w:tc>
          <w:tcPr>
            <w:tcW w:type="dxa" w:w="2296"/>
          </w:tcPr>
          <w:p>
            <w:r>
              <w:rPr>
                <w:rFonts w:ascii="宋体" w:hAnsi="宋体" w:eastAsia="宋体"/>
                <w:b w:val="0"/>
                <w:sz w:val="20"/>
              </w:rPr>
              <w:t>路由后悔 / nat</w:t>
            </w:r>
          </w:p>
        </w:tc>
        <w:tc>
          <w:tcPr>
            <w:tcW w:type="dxa" w:w="2296"/>
          </w:tcPr>
          <w:p>
            <w:r>
              <w:rPr>
                <w:rFonts w:ascii="宋体" w:hAnsi="宋体" w:eastAsia="宋体"/>
                <w:b w:val="0"/>
                <w:sz w:val="20"/>
              </w:rPr>
              <w:t>Accuracy</w:t>
            </w:r>
          </w:p>
        </w:tc>
      </w:tr>
      <w:tr>
        <w:tc>
          <w:tcPr>
            <w:tcW w:type="dxa" w:w="2296"/>
          </w:tcPr>
          <w:p>
            <w:r>
              <w:rPr>
                <w:rFonts w:ascii="宋体" w:hAnsi="宋体" w:eastAsia="宋体"/>
                <w:b w:val="0"/>
                <w:sz w:val="20"/>
              </w:rPr>
              <w:t>等权融合</w:t>
            </w:r>
          </w:p>
        </w:tc>
        <w:tc>
          <w:tcPr>
            <w:tcW w:type="dxa" w:w="2296"/>
          </w:tcPr>
          <w:p>
            <w:r>
              <w:rPr>
                <w:rFonts w:ascii="宋体" w:hAnsi="宋体" w:eastAsia="宋体"/>
                <w:b w:val="0"/>
                <w:sz w:val="20"/>
              </w:rPr>
              <w:t>0.798201</w:t>
            </w:r>
          </w:p>
        </w:tc>
        <w:tc>
          <w:tcPr>
            <w:tcW w:type="dxa" w:w="2296"/>
          </w:tcPr>
          <w:p>
            <w:r>
              <w:rPr>
                <w:rFonts w:ascii="宋体" w:hAnsi="宋体" w:eastAsia="宋体"/>
                <w:b w:val="0"/>
                <w:sz w:val="20"/>
              </w:rPr>
              <w:t>0.085095</w:t>
            </w:r>
          </w:p>
        </w:tc>
        <w:tc>
          <w:tcPr>
            <w:tcW w:type="dxa" w:w="2296"/>
          </w:tcPr>
          <w:p>
            <w:r>
              <w:rPr>
                <w:rFonts w:ascii="宋体" w:hAnsi="宋体" w:eastAsia="宋体"/>
                <w:b w:val="0"/>
                <w:sz w:val="20"/>
              </w:rPr>
              <w:t>76.71%</w:t>
            </w:r>
          </w:p>
        </w:tc>
      </w:tr>
      <w:tr>
        <w:tc>
          <w:tcPr>
            <w:tcW w:type="dxa" w:w="2296"/>
          </w:tcPr>
          <w:p>
            <w:r>
              <w:rPr>
                <w:rFonts w:ascii="宋体" w:hAnsi="宋体" w:eastAsia="宋体"/>
                <w:b w:val="0"/>
                <w:sz w:val="20"/>
              </w:rPr>
              <w:t>融合 NLL 门控</w:t>
            </w:r>
          </w:p>
        </w:tc>
        <w:tc>
          <w:tcPr>
            <w:tcW w:type="dxa" w:w="2296"/>
          </w:tcPr>
          <w:p>
            <w:r>
              <w:rPr>
                <w:rFonts w:ascii="宋体" w:hAnsi="宋体" w:eastAsia="宋体"/>
                <w:b w:val="0"/>
                <w:sz w:val="20"/>
              </w:rPr>
              <w:t>0.817507</w:t>
            </w:r>
          </w:p>
        </w:tc>
        <w:tc>
          <w:tcPr>
            <w:tcW w:type="dxa" w:w="2296"/>
          </w:tcPr>
          <w:p>
            <w:r>
              <w:rPr>
                <w:rFonts w:ascii="宋体" w:hAnsi="宋体" w:eastAsia="宋体"/>
                <w:b w:val="0"/>
                <w:sz w:val="20"/>
              </w:rPr>
              <w:t>0.104401</w:t>
            </w:r>
          </w:p>
        </w:tc>
        <w:tc>
          <w:tcPr>
            <w:tcW w:type="dxa" w:w="2296"/>
          </w:tcPr>
          <w:p>
            <w:r>
              <w:rPr>
                <w:rFonts w:ascii="宋体" w:hAnsi="宋体" w:eastAsia="宋体"/>
                <w:b w:val="0"/>
                <w:sz w:val="20"/>
              </w:rPr>
              <w:t>77.26%</w:t>
            </w:r>
          </w:p>
        </w:tc>
      </w:tr>
      <w:tr>
        <w:tc>
          <w:tcPr>
            <w:tcW w:type="dxa" w:w="2296"/>
          </w:tcPr>
          <w:p>
            <w:r>
              <w:rPr>
                <w:rFonts w:ascii="宋体" w:hAnsi="宋体" w:eastAsia="宋体"/>
                <w:b w:val="0"/>
                <w:sz w:val="20"/>
              </w:rPr>
              <w:t>后悔 BCE 门控</w:t>
            </w:r>
          </w:p>
        </w:tc>
        <w:tc>
          <w:tcPr>
            <w:tcW w:type="dxa" w:w="2296"/>
          </w:tcPr>
          <w:p>
            <w:r>
              <w:rPr>
                <w:rFonts w:ascii="宋体" w:hAnsi="宋体" w:eastAsia="宋体"/>
                <w:b w:val="0"/>
                <w:sz w:val="20"/>
              </w:rPr>
              <w:t>0.796819</w:t>
            </w:r>
          </w:p>
        </w:tc>
        <w:tc>
          <w:tcPr>
            <w:tcW w:type="dxa" w:w="2296"/>
          </w:tcPr>
          <w:p>
            <w:r>
              <w:rPr>
                <w:rFonts w:ascii="宋体" w:hAnsi="宋体" w:eastAsia="宋体"/>
                <w:b w:val="0"/>
                <w:sz w:val="20"/>
              </w:rPr>
              <w:t>0.083713</w:t>
            </w:r>
          </w:p>
        </w:tc>
        <w:tc>
          <w:tcPr>
            <w:tcW w:type="dxa" w:w="2296"/>
          </w:tcPr>
          <w:p>
            <w:r>
              <w:rPr>
                <w:rFonts w:ascii="宋体" w:hAnsi="宋体" w:eastAsia="宋体"/>
                <w:b w:val="0"/>
                <w:sz w:val="20"/>
              </w:rPr>
              <w:t>76.53%</w:t>
            </w:r>
          </w:p>
        </w:tc>
      </w:tr>
    </w:tbl>
    <w:p>
      <w:pPr>
        <w:spacing w:after="100" w:line="336" w:lineRule="auto"/>
        <w:ind w:firstLine="420"/>
      </w:pPr>
      <w:r>
        <w:rPr>
          <w:rFonts w:ascii="宋体" w:hAnsi="宋体" w:eastAsia="宋体"/>
          <w:b w:val="0"/>
          <w:sz w:val="22"/>
        </w:rPr>
        <w:t>后悔 BCE 相对等权融合的验证 NLL 仅降低约 0.001381 nat，Accuracy 下降约 0.1817 个百分点。最佳轮次集中在前两轮。三组种子只改变门控初始化，不是三个独立专家。源专家已拟合训练样本并曾用当前验证集选模型，本实验再用同一验证集选门控轮次，故结果仅为探索性机制诊断，不能作独立泛化或显著性结论。</w:t>
      </w:r>
    </w:p>
    <w:p>
      <w:pPr>
        <w:pStyle w:val="21"/>
        <w:keepNext/>
      </w:pPr>
      <w:r>
        <w:rPr>
          <w:rFonts w:ascii="黑体" w:hAnsi="黑体" w:eastAsia="黑体"/>
          <w:b/>
          <w:sz w:val="24"/>
        </w:rPr>
        <w:t>J.4 网络改进需要解决的问题</w:t>
      </w:r>
    </w:p>
    <w:p>
      <w:pPr>
        <w:spacing w:after="100" w:line="336" w:lineRule="auto"/>
        <w:ind w:firstLine="420"/>
      </w:pPr>
      <w:r>
        <w:rPr>
          <w:rFonts w:ascii="宋体" w:hAnsi="宋体" w:eastAsia="宋体"/>
          <w:b w:val="0"/>
          <w:sz w:val="22"/>
        </w:rPr>
        <w:t>后续应分别检验两项问题：其一，训练内专家预测能否代表未见样本上的门控监督；其二，门控训练目标与最终融合风险是否一致。交叉拟合可用于研究第一项，但不能单独消除第二项的总体目标非等价性。新的网络方法应在明确的最终风险目标下提出，再用固定专家对照和独立数据检验，当前不宣称该改进已完成。</w:t>
      </w:r>
    </w:p>
    <w:p>
      <w:pPr>
        <w:spacing w:after="100" w:line="336" w:lineRule="auto"/>
        <w:ind w:firstLine="420"/>
      </w:pPr>
      <w:r>
        <w:rPr>
          <w:rFonts w:ascii="宋体" w:hAnsi="宋体" w:eastAsia="宋体"/>
          <w:b w:val="0"/>
          <w:sz w:val="22"/>
        </w:rPr>
        <w:t>复现依据：verify_rsg_variational_target.py、verify_rsg_population_counterexample.py、audit_frozen_expert_routing.py 与 run_frozen_expert_gate_pilot.py；数值结果位于 outputs/theory，门控实验协议、全部轮次和验证预测位于 outputs/training/frozen_expert_gate_pilot。本文对数损失统一使用 nat；将损失乘以100展示也不能解释为概率百分点。</w:t>
      </w:r>
    </w:p>
    <w:p>
      <w:r>
        <w:br w:type="page"/>
      </w:r>
    </w:p>
    <w:p>
      <w:pPr>
        <w:pStyle w:val="1"/>
        <w:keepNext/>
        <w:spacing w:before="160" w:after="80"/>
      </w:pPr>
      <w:r>
        <w:rPr>
          <w:rFonts w:ascii="黑体" w:hAnsi="黑体" w:eastAsia="黑体"/>
          <w:b/>
          <w:sz w:val="28"/>
        </w:rPr>
        <w:t>附录 K 样本外风险监督路由网络及其理论性质</w:t>
      </w:r>
    </w:p>
    <w:p>
      <w:pPr>
        <w:spacing w:after="80" w:line="312" w:lineRule="auto"/>
        <w:ind w:firstLine="420"/>
      </w:pPr>
      <w:r>
        <w:rPr>
          <w:rFonts w:ascii="宋体" w:hAnsi="宋体" w:eastAsia="宋体"/>
          <w:b w:val="0"/>
          <w:sz w:val="22"/>
        </w:rPr>
        <w:t>本附录在 RSG-HRGV 的共享骨干、角色/矿种双专家、固定种类到角色映射以及两类困难负样本校验器基础上，提出样本外风险监督路由 OOS-RSG-HRGV。其网络改进不依赖继续堆叠普通注意力模块，而是改变门控的学习位置和目标：专家在一组数据上拟合并停止，门控在按原始图像组隔离的未见样本上直接最小化最终校验后风险。当前结果用于验证这一机制及其理论边界，尚不构成独立外部泛化或稳定优越性结论。</w:t>
      </w:r>
    </w:p>
    <w:p>
      <w:pPr>
        <w:pStyle w:val="21"/>
        <w:keepNext/>
        <w:spacing w:before="120" w:after="80"/>
      </w:pPr>
      <w:r>
        <w:rPr>
          <w:rFonts w:ascii="黑体" w:hAnsi="黑体" w:eastAsia="黑体"/>
          <w:b/>
          <w:sz w:val="24"/>
        </w:rPr>
        <w:t>K.1 数据隔离与网络结构</w:t>
      </w:r>
    </w:p>
    <w:p>
      <w:pPr>
        <w:spacing w:after="80" w:line="312" w:lineRule="auto"/>
        <w:ind w:firstLine="420"/>
      </w:pPr>
      <w:r>
        <w:rPr>
          <w:rFonts w:ascii="宋体" w:hAnsi="宋体" w:eastAsia="宋体"/>
          <w:b w:val="0"/>
          <w:sz w:val="22"/>
        </w:rPr>
        <w:t>为区分专家拟合能力与门控泛化能力，数据先按 photo ID、重复/近重复组进行不可拆分分组，再构造四个功能子集。D_G 与 D_seen 在 17 个矿种-角色分层上的计数逐项相同，且 D_G 不与 D_E、D_S 或 D_seen 共享图像组。钛磁铁矿在完整数据中仍为 35 张；本实验两个配对子集各取 2 张只是受严格分层匹配约束，并不表示全数据只有 2 张或 23 张。</w:t>
      </w:r>
    </w:p>
    <w:tbl>
      <w:tblPr>
        <w:tblStyle w:val="aff1"/>
        <w:tblW w:type="auto" w:w="0"/>
        <w:tblLayout w:type="autofit"/>
        <w:tblLook w:firstColumn="1" w:firstRow="1" w:lastColumn="0" w:lastRow="0" w:noHBand="0" w:noVBand="1" w:val="04A0"/>
      </w:tblPr>
      <w:tblGrid>
        <w:gridCol w:w="2296"/>
        <w:gridCol w:w="2296"/>
        <w:gridCol w:w="2296"/>
        <w:gridCol w:w="2296"/>
      </w:tblGrid>
      <w:tr>
        <w:trPr>
          <w:tblHeader w:val="true"/>
        </w:trPr>
        <w:tc>
          <w:tcPr>
            <w:tcW w:type="dxa" w:w="2296"/>
            <w:vAlign w:val="center"/>
            <w:shd w:fill="D9E2F3"/>
          </w:tcPr>
          <w:p>
            <w:pPr>
              <w:spacing w:after="0" w:line="240" w:lineRule="auto"/>
              <w:jc w:val="center"/>
            </w:pPr>
            <w:r/>
            <w:r>
              <w:rPr>
                <w:rFonts w:ascii="宋体" w:hAnsi="宋体" w:eastAsia="宋体"/>
                <w:b/>
                <w:sz w:val="18"/>
              </w:rPr>
              <w:t>子集</w:t>
            </w:r>
          </w:p>
        </w:tc>
        <w:tc>
          <w:tcPr>
            <w:tcW w:type="dxa" w:w="2296"/>
            <w:vAlign w:val="center"/>
            <w:shd w:fill="D9E2F3"/>
          </w:tcPr>
          <w:p>
            <w:pPr>
              <w:spacing w:after="0" w:line="240" w:lineRule="auto"/>
              <w:jc w:val="center"/>
            </w:pPr>
            <w:r/>
            <w:r>
              <w:rPr>
                <w:rFonts w:ascii="宋体" w:hAnsi="宋体" w:eastAsia="宋体"/>
                <w:b/>
                <w:sz w:val="18"/>
              </w:rPr>
              <w:t>图像数</w:t>
            </w:r>
          </w:p>
        </w:tc>
        <w:tc>
          <w:tcPr>
            <w:tcW w:type="dxa" w:w="2296"/>
            <w:vAlign w:val="center"/>
            <w:shd w:fill="D9E2F3"/>
          </w:tcPr>
          <w:p>
            <w:pPr>
              <w:spacing w:after="0" w:line="240" w:lineRule="auto"/>
              <w:jc w:val="center"/>
            </w:pPr>
            <w:r/>
            <w:r>
              <w:rPr>
                <w:rFonts w:ascii="宋体" w:hAnsi="宋体" w:eastAsia="宋体"/>
                <w:b/>
                <w:sz w:val="18"/>
              </w:rPr>
              <w:t>用途</w:t>
            </w:r>
          </w:p>
        </w:tc>
        <w:tc>
          <w:tcPr>
            <w:tcW w:type="dxa" w:w="2296"/>
            <w:vAlign w:val="center"/>
            <w:shd w:fill="D9E2F3"/>
          </w:tcPr>
          <w:p>
            <w:pPr>
              <w:spacing w:after="0" w:line="240" w:lineRule="auto"/>
              <w:jc w:val="center"/>
            </w:pPr>
            <w:r/>
            <w:r>
              <w:rPr>
                <w:rFonts w:ascii="宋体" w:hAnsi="宋体" w:eastAsia="宋体"/>
                <w:b/>
                <w:sz w:val="18"/>
              </w:rPr>
              <w:t>是否参与专家梯度</w:t>
            </w:r>
          </w:p>
        </w:tc>
      </w:tr>
      <w:tr>
        <w:tc>
          <w:tcPr>
            <w:tcW w:type="dxa" w:w="2296"/>
            <w:vAlign w:val="center"/>
          </w:tcPr>
          <w:p>
            <w:pPr>
              <w:spacing w:after="0" w:line="240" w:lineRule="auto"/>
              <w:jc w:val="center"/>
            </w:pPr>
            <w:r/>
            <w:r>
              <w:rPr>
                <w:rFonts w:ascii="宋体" w:hAnsi="宋体" w:eastAsia="宋体"/>
                <w:b w:val="0"/>
                <w:sz w:val="17"/>
              </w:rPr>
              <w:t>D_E：专家拟合</w:t>
            </w:r>
          </w:p>
        </w:tc>
        <w:tc>
          <w:tcPr>
            <w:tcW w:type="dxa" w:w="2296"/>
            <w:vAlign w:val="center"/>
          </w:tcPr>
          <w:p>
            <w:pPr>
              <w:spacing w:after="0" w:line="240" w:lineRule="auto"/>
              <w:jc w:val="center"/>
            </w:pPr>
            <w:r/>
            <w:r>
              <w:rPr>
                <w:rFonts w:ascii="宋体" w:hAnsi="宋体" w:eastAsia="宋体"/>
                <w:b w:val="0"/>
                <w:sz w:val="17"/>
              </w:rPr>
              <w:t>4,176</w:t>
            </w:r>
          </w:p>
        </w:tc>
        <w:tc>
          <w:tcPr>
            <w:tcW w:type="dxa" w:w="2296"/>
            <w:vAlign w:val="center"/>
          </w:tcPr>
          <w:p>
            <w:pPr>
              <w:spacing w:after="0" w:line="240" w:lineRule="auto"/>
              <w:jc w:val="center"/>
            </w:pPr>
            <w:r/>
            <w:r>
              <w:rPr>
                <w:rFonts w:ascii="宋体" w:hAnsi="宋体" w:eastAsia="宋体"/>
                <w:b w:val="0"/>
                <w:sz w:val="17"/>
              </w:rPr>
              <w:t>训练共享骨干、双专家与校验器</w:t>
            </w:r>
          </w:p>
        </w:tc>
        <w:tc>
          <w:tcPr>
            <w:tcW w:type="dxa" w:w="2296"/>
            <w:vAlign w:val="center"/>
          </w:tcPr>
          <w:p>
            <w:pPr>
              <w:spacing w:after="0" w:line="240" w:lineRule="auto"/>
              <w:jc w:val="center"/>
            </w:pPr>
            <w:r/>
            <w:r>
              <w:rPr>
                <w:rFonts w:ascii="宋体" w:hAnsi="宋体" w:eastAsia="宋体"/>
                <w:b w:val="0"/>
                <w:sz w:val="17"/>
              </w:rPr>
              <w:t>是</w:t>
            </w:r>
          </w:p>
        </w:tc>
      </w:tr>
      <w:tr>
        <w:tc>
          <w:tcPr>
            <w:tcW w:type="dxa" w:w="2296"/>
            <w:vAlign w:val="center"/>
          </w:tcPr>
          <w:p>
            <w:pPr>
              <w:spacing w:after="0" w:line="240" w:lineRule="auto"/>
              <w:jc w:val="center"/>
            </w:pPr>
            <w:r/>
            <w:r>
              <w:rPr>
                <w:rFonts w:ascii="宋体" w:hAnsi="宋体" w:eastAsia="宋体"/>
                <w:b w:val="0"/>
                <w:sz w:val="17"/>
              </w:rPr>
              <w:t>D_S：专家停止</w:t>
            </w:r>
          </w:p>
        </w:tc>
        <w:tc>
          <w:tcPr>
            <w:tcW w:type="dxa" w:w="2296"/>
            <w:vAlign w:val="center"/>
          </w:tcPr>
          <w:p>
            <w:pPr>
              <w:spacing w:after="0" w:line="240" w:lineRule="auto"/>
              <w:jc w:val="center"/>
            </w:pPr>
            <w:r/>
            <w:r>
              <w:rPr>
                <w:rFonts w:ascii="宋体" w:hAnsi="宋体" w:eastAsia="宋体"/>
                <w:b w:val="0"/>
                <w:sz w:val="17"/>
              </w:rPr>
              <w:t>893</w:t>
            </w:r>
          </w:p>
        </w:tc>
        <w:tc>
          <w:tcPr>
            <w:tcW w:type="dxa" w:w="2296"/>
            <w:vAlign w:val="center"/>
          </w:tcPr>
          <w:p>
            <w:pPr>
              <w:spacing w:after="0" w:line="240" w:lineRule="auto"/>
              <w:jc w:val="center"/>
            </w:pPr>
            <w:r/>
            <w:r>
              <w:rPr>
                <w:rFonts w:ascii="宋体" w:hAnsi="宋体" w:eastAsia="宋体"/>
                <w:b w:val="0"/>
                <w:sz w:val="17"/>
              </w:rPr>
              <w:t>早停与专家检查点选择</w:t>
            </w:r>
          </w:p>
        </w:tc>
        <w:tc>
          <w:tcPr>
            <w:tcW w:type="dxa" w:w="2296"/>
            <w:vAlign w:val="center"/>
          </w:tcPr>
          <w:p>
            <w:pPr>
              <w:spacing w:after="0" w:line="240" w:lineRule="auto"/>
              <w:jc w:val="center"/>
            </w:pPr>
            <w:r/>
            <w:r>
              <w:rPr>
                <w:rFonts w:ascii="宋体" w:hAnsi="宋体" w:eastAsia="宋体"/>
                <w:b w:val="0"/>
                <w:sz w:val="17"/>
              </w:rPr>
              <w:t>否</w:t>
            </w:r>
          </w:p>
        </w:tc>
      </w:tr>
      <w:tr>
        <w:tc>
          <w:tcPr>
            <w:tcW w:type="dxa" w:w="2296"/>
            <w:vAlign w:val="center"/>
          </w:tcPr>
          <w:p>
            <w:pPr>
              <w:spacing w:after="0" w:line="240" w:lineRule="auto"/>
              <w:jc w:val="center"/>
            </w:pPr>
            <w:r/>
            <w:r>
              <w:rPr>
                <w:rFonts w:ascii="宋体" w:hAnsi="宋体" w:eastAsia="宋体"/>
                <w:b w:val="0"/>
                <w:sz w:val="17"/>
              </w:rPr>
              <w:t>D_G：门控未见</w:t>
            </w:r>
          </w:p>
        </w:tc>
        <w:tc>
          <w:tcPr>
            <w:tcW w:type="dxa" w:w="2296"/>
            <w:vAlign w:val="center"/>
          </w:tcPr>
          <w:p>
            <w:pPr>
              <w:spacing w:after="0" w:line="240" w:lineRule="auto"/>
              <w:jc w:val="center"/>
            </w:pPr>
            <w:r/>
            <w:r>
              <w:rPr>
                <w:rFonts w:ascii="宋体" w:hAnsi="宋体" w:eastAsia="宋体"/>
                <w:b w:val="0"/>
                <w:sz w:val="17"/>
              </w:rPr>
              <w:t>892</w:t>
            </w:r>
          </w:p>
        </w:tc>
        <w:tc>
          <w:tcPr>
            <w:tcW w:type="dxa" w:w="2296"/>
            <w:vAlign w:val="center"/>
          </w:tcPr>
          <w:p>
            <w:pPr>
              <w:spacing w:after="0" w:line="240" w:lineRule="auto"/>
              <w:jc w:val="center"/>
            </w:pPr>
            <w:r/>
            <w:r>
              <w:rPr>
                <w:rFonts w:ascii="宋体" w:hAnsi="宋体" w:eastAsia="宋体"/>
                <w:b w:val="0"/>
                <w:sz w:val="17"/>
              </w:rPr>
              <w:t>样本外最终风险监督</w:t>
            </w:r>
          </w:p>
        </w:tc>
        <w:tc>
          <w:tcPr>
            <w:tcW w:type="dxa" w:w="2296"/>
            <w:vAlign w:val="center"/>
          </w:tcPr>
          <w:p>
            <w:pPr>
              <w:spacing w:after="0" w:line="240" w:lineRule="auto"/>
              <w:jc w:val="center"/>
            </w:pPr>
            <w:r/>
            <w:r>
              <w:rPr>
                <w:rFonts w:ascii="宋体" w:hAnsi="宋体" w:eastAsia="宋体"/>
                <w:b w:val="0"/>
                <w:sz w:val="17"/>
              </w:rPr>
              <w:t>否</w:t>
            </w:r>
          </w:p>
        </w:tc>
      </w:tr>
      <w:tr>
        <w:tc>
          <w:tcPr>
            <w:tcW w:type="dxa" w:w="2296"/>
            <w:vAlign w:val="center"/>
          </w:tcPr>
          <w:p>
            <w:pPr>
              <w:spacing w:after="0" w:line="240" w:lineRule="auto"/>
              <w:jc w:val="center"/>
            </w:pPr>
            <w:r/>
            <w:r>
              <w:rPr>
                <w:rFonts w:ascii="宋体" w:hAnsi="宋体" w:eastAsia="宋体"/>
                <w:b w:val="0"/>
                <w:sz w:val="17"/>
              </w:rPr>
              <w:t>D_seen：配对对照</w:t>
            </w:r>
          </w:p>
        </w:tc>
        <w:tc>
          <w:tcPr>
            <w:tcW w:type="dxa" w:w="2296"/>
            <w:vAlign w:val="center"/>
          </w:tcPr>
          <w:p>
            <w:pPr>
              <w:spacing w:after="0" w:line="240" w:lineRule="auto"/>
              <w:jc w:val="center"/>
            </w:pPr>
            <w:r/>
            <w:r>
              <w:rPr>
                <w:rFonts w:ascii="宋体" w:hAnsi="宋体" w:eastAsia="宋体"/>
                <w:b w:val="0"/>
                <w:sz w:val="17"/>
              </w:rPr>
              <w:t>892</w:t>
            </w:r>
          </w:p>
        </w:tc>
        <w:tc>
          <w:tcPr>
            <w:tcW w:type="dxa" w:w="2296"/>
            <w:vAlign w:val="center"/>
          </w:tcPr>
          <w:p>
            <w:pPr>
              <w:spacing w:after="0" w:line="240" w:lineRule="auto"/>
              <w:jc w:val="center"/>
            </w:pPr>
            <w:r/>
            <w:r>
              <w:rPr>
                <w:rFonts w:ascii="宋体" w:hAnsi="宋体" w:eastAsia="宋体"/>
                <w:b w:val="0"/>
                <w:sz w:val="17"/>
              </w:rPr>
              <w:t>专家已见样本上的门控监督</w:t>
            </w:r>
          </w:p>
        </w:tc>
        <w:tc>
          <w:tcPr>
            <w:tcW w:type="dxa" w:w="2296"/>
            <w:vAlign w:val="center"/>
          </w:tcPr>
          <w:p>
            <w:pPr>
              <w:spacing w:after="0" w:line="240" w:lineRule="auto"/>
              <w:jc w:val="center"/>
            </w:pPr>
            <w:r/>
            <w:r>
              <w:rPr>
                <w:rFonts w:ascii="宋体" w:hAnsi="宋体" w:eastAsia="宋体"/>
                <w:b w:val="0"/>
                <w:sz w:val="17"/>
              </w:rPr>
              <w:t>已参与</w:t>
            </w:r>
          </w:p>
        </w:tc>
      </w:tr>
    </w:tbl>
    <w:p>
      <w:pPr>
        <w:keepLines/>
        <w:spacing w:before="40" w:after="80"/>
        <w:jc w:val="center"/>
      </w:pPr>
      <w:r>
        <w:rPr>
          <w:rFonts w:ascii="Cambria Math" w:hAnsi="Cambria Math" w:eastAsia="Cambria Math"/>
          <w:b w:val="0"/>
          <w:sz w:val="22"/>
        </w:rPr>
        <w:t>θ̂ = A(D_E, D_S),    ∂θ̂/∂L_gate = 0</w:t>
      </w:r>
      <w:r>
        <w:t xml:space="preserve">    </w:t>
      </w:r>
      <w:r>
        <w:rPr>
          <w:rFonts w:ascii="Times New Roman" w:hAnsi="Times New Roman" w:eastAsia="Times New Roman"/>
          <w:b w:val="0"/>
          <w:sz w:val="21"/>
        </w:rPr>
        <w:t>(K-1)</w:t>
      </w:r>
    </w:p>
    <w:p>
      <w:pPr>
        <w:spacing w:after="80" w:line="312" w:lineRule="auto"/>
        <w:ind w:firstLine="420"/>
      </w:pPr>
      <w:r>
        <w:rPr>
          <w:rFonts w:ascii="宋体" w:hAnsi="宋体" w:eastAsia="宋体"/>
          <w:b w:val="0"/>
          <w:sz w:val="22"/>
        </w:rPr>
        <w:t>式（K-1）表示专家参数由拟合集和停止集确定，进入门控训练后全部参数与缓冲区冻结。共享 EfficientNet-B0 输出 1,280 维特征 h；直接角色头给出 p_d，矿种头给出 p_s，经固定映射矩阵 A 得到 p_m=A p_s；含钛与金属光泽校验器输出 v_Ti、v_M。门控输入同时包含视觉特征、两专家后验、熵、JS 分歧和校验器证据。</w:t>
      </w:r>
    </w:p>
    <w:p>
      <w:pPr>
        <w:keepLines/>
        <w:jc w:val="center"/>
      </w:pPr>
      <w:r>
        <w:drawing>
          <wp:inline xmlns:a="http://schemas.openxmlformats.org/drawingml/2006/main" xmlns:pic="http://schemas.openxmlformats.org/drawingml/2006/picture">
            <wp:extent cx="5544000" cy="3410640"/>
            <wp:docPr id="61" name="Picture 61"/>
            <wp:cNvGraphicFramePr>
              <a:graphicFrameLocks noChangeAspect="1"/>
            </wp:cNvGraphicFramePr>
            <a:graphic>
              <a:graphicData uri="http://schemas.openxmlformats.org/drawingml/2006/picture">
                <pic:pic>
                  <pic:nvPicPr>
                    <pic:cNvPr id="0" name="fig_oos_rsg_training_architecture.png"/>
                    <pic:cNvPicPr/>
                  </pic:nvPicPr>
                  <pic:blipFill>
                    <a:blip r:embed="rId72"/>
                    <a:stretch>
                      <a:fillRect/>
                    </a:stretch>
                  </pic:blipFill>
                  <pic:spPr>
                    <a:xfrm>
                      <a:off x="0" y="0"/>
                      <a:ext cx="5544000" cy="3410640"/>
                    </a:xfrm>
                    <a:prstGeom prst="rect"/>
                  </pic:spPr>
                </pic:pic>
              </a:graphicData>
            </a:graphic>
          </wp:inline>
        </w:drawing>
      </w:r>
    </w:p>
    <w:p>
      <w:pPr>
        <w:pStyle w:val="af7"/>
        <w:keepNext/>
        <w:jc w:val="center"/>
      </w:pPr>
      <w:r>
        <w:rPr>
          <w:rFonts w:ascii="宋体" w:hAnsi="宋体" w:eastAsia="宋体"/>
          <w:b w:val="0"/>
          <w:sz w:val="21"/>
        </w:rPr>
        <w:t>图 28 OOS-RSG-HRGV 的数据隔离、双专家结构与样本外风险监督路径</w:t>
      </w:r>
    </w:p>
    <w:p>
      <w:pPr>
        <w:pStyle w:val="21"/>
        <w:keepNext/>
        <w:spacing w:before="120" w:after="80"/>
      </w:pPr>
      <w:r>
        <w:rPr>
          <w:rFonts w:ascii="黑体" w:hAnsi="黑体" w:eastAsia="黑体"/>
          <w:b/>
          <w:sz w:val="24"/>
        </w:rPr>
        <w:t>K.2 最终风险监督与网络训练目标</w:t>
      </w:r>
    </w:p>
    <w:p>
      <w:pPr>
        <w:spacing w:after="80" w:line="312" w:lineRule="auto"/>
        <w:ind w:firstLine="420"/>
      </w:pPr>
      <w:r>
        <w:rPr>
          <w:rFonts w:ascii="宋体" w:hAnsi="宋体" w:eastAsia="宋体"/>
          <w:b w:val="0"/>
          <w:sz w:val="22"/>
        </w:rPr>
        <w:t>设 g_φ(u) 为样本相关门控，p_d 与 p_m 分别为直接角色专家和矿种映射专家的角色后验，V 为已冻结的校验修正算子。与只拟合标签相关软 oracle 的原门控不同，OOS-RSG 首先在最终决策分布上定义风险。</w:t>
      </w:r>
    </w:p>
    <w:p>
      <w:pPr>
        <w:keepLines/>
        <w:spacing w:before="40" w:after="80"/>
        <w:jc w:val="center"/>
      </w:pPr>
      <w:r>
        <w:rPr>
          <w:rFonts w:ascii="Cambria Math" w:hAnsi="Cambria Math" w:eastAsia="Cambria Math"/>
          <w:b w:val="0"/>
          <w:sz w:val="22"/>
        </w:rPr>
        <w:t>p_g(x)=g_φ(u)p_d(x)+[1−g_φ(u)]p_m(x)</w:t>
      </w:r>
      <w:r>
        <w:t xml:space="preserve">    </w:t>
      </w:r>
      <w:r>
        <w:rPr>
          <w:rFonts w:ascii="Times New Roman" w:hAnsi="Times New Roman" w:eastAsia="Times New Roman"/>
          <w:b w:val="0"/>
          <w:sz w:val="21"/>
        </w:rPr>
        <w:t>(K-2)</w:t>
      </w:r>
    </w:p>
    <w:p>
      <w:pPr>
        <w:keepLines/>
        <w:spacing w:before="40" w:after="80"/>
        <w:jc w:val="center"/>
      </w:pPr>
      <w:r>
        <w:rPr>
          <w:rFonts w:ascii="Cambria Math" w:hAnsi="Cambria Math" w:eastAsia="Cambria Math"/>
          <w:b w:val="0"/>
          <w:sz w:val="22"/>
        </w:rPr>
        <w:t>p_f(x)=V[p_g(x),v_Ti(x),v_M(x)]</w:t>
      </w:r>
      <w:r>
        <w:t xml:space="preserve">    </w:t>
      </w:r>
      <w:r>
        <w:rPr>
          <w:rFonts w:ascii="Times New Roman" w:hAnsi="Times New Roman" w:eastAsia="Times New Roman"/>
          <w:b w:val="0"/>
          <w:sz w:val="21"/>
        </w:rPr>
        <w:t>(K-3)</w:t>
      </w:r>
    </w:p>
    <w:p>
      <w:pPr>
        <w:keepLines/>
        <w:spacing w:before="40" w:after="80"/>
        <w:jc w:val="center"/>
      </w:pPr>
      <w:r>
        <w:rPr>
          <w:rFonts w:ascii="Cambria Math" w:hAnsi="Cambria Math" w:eastAsia="Cambria Math"/>
          <w:b w:val="0"/>
          <w:sz w:val="22"/>
        </w:rPr>
        <w:t>L_OOS(φ)=E_(x,y)∼D_G[−log p_f(y|x)] + λ E_(x,y)∼D_G[BCE(g_φ,t_regret)]</w:t>
      </w:r>
      <w:r>
        <w:t xml:space="preserve">    </w:t>
      </w:r>
      <w:r>
        <w:rPr>
          <w:rFonts w:ascii="Times New Roman" w:hAnsi="Times New Roman" w:eastAsia="Times New Roman"/>
          <w:b w:val="0"/>
          <w:sz w:val="21"/>
        </w:rPr>
        <w:t>(K-4)</w:t>
      </w:r>
    </w:p>
    <w:p>
      <w:pPr>
        <w:spacing w:after="80" w:line="312" w:lineRule="auto"/>
        <w:ind w:firstLine="420"/>
      </w:pPr>
      <w:r>
        <w:rPr>
          <w:rFonts w:ascii="宋体" w:hAnsi="宋体" w:eastAsia="宋体"/>
          <w:b w:val="0"/>
          <w:sz w:val="22"/>
        </w:rPr>
        <w:t>其中 λ=0 对应纯最终 NLL；λ=0.1 对应最终 NLL 加遗憾辅助监督。t_regret 只作为低权重归纳偏置，最终风险仍通过校验后的 p_f 回传至门控。该设计把网络创新落实为“校验器感知、样本外、最终风险监督”的路由，而不是把数据划分技术本身宣称为新算法。</w:t>
      </w:r>
    </w:p>
    <w:p>
      <w:pPr>
        <w:pStyle w:val="21"/>
        <w:keepNext/>
        <w:spacing w:before="120" w:after="80"/>
      </w:pPr>
      <w:r>
        <w:rPr>
          <w:rFonts w:ascii="黑体" w:hAnsi="黑体" w:eastAsia="黑体"/>
          <w:b/>
          <w:sz w:val="24"/>
        </w:rPr>
        <w:t>K.3 命题一：固定门控的条件无偏风险与梯度</w:t>
      </w:r>
    </w:p>
    <w:p>
      <w:pPr>
        <w:spacing w:after="80" w:line="312" w:lineRule="auto"/>
        <w:ind w:firstLine="420"/>
      </w:pPr>
      <w:r>
        <w:rPr>
          <w:rFonts w:ascii="宋体" w:hAnsi="宋体" w:eastAsia="宋体"/>
          <w:b w:val="0"/>
          <w:sz w:val="22"/>
        </w:rPr>
        <w:t>命题 1：条件于已由 D_E、D_S 决定的冻结专家 θ̂，若 D_G 由与专家拟合组相互独立的图像组从目标分布 P 抽取，且待评价的门控参数 φ 在观察 D_G 前固定，则 D_G 上的经验最终风险及其梯度分别是条件总体风险与梯度的无偏估计：</w:t>
      </w:r>
    </w:p>
    <w:p>
      <w:pPr>
        <w:keepLines/>
        <w:spacing w:before="40" w:after="80"/>
        <w:jc w:val="center"/>
      </w:pPr>
      <w:r>
        <w:rPr>
          <w:rFonts w:ascii="Cambria Math" w:hAnsi="Cambria Math" w:eastAsia="Cambria Math"/>
          <w:b w:val="0"/>
          <w:sz w:val="22"/>
        </w:rPr>
        <w:t>E[ R̂_G(φ) | D_E,D_S ] = R(φ | θ̂)</w:t>
      </w:r>
      <w:r>
        <w:t xml:space="preserve">    </w:t>
      </w:r>
      <w:r>
        <w:rPr>
          <w:rFonts w:ascii="Times New Roman" w:hAnsi="Times New Roman" w:eastAsia="Times New Roman"/>
          <w:b w:val="0"/>
          <w:sz w:val="21"/>
        </w:rPr>
        <w:t>(K-5)</w:t>
      </w:r>
    </w:p>
    <w:p>
      <w:pPr>
        <w:keepLines/>
        <w:spacing w:before="40" w:after="80"/>
        <w:jc w:val="center"/>
      </w:pPr>
      <w:r>
        <w:rPr>
          <w:rFonts w:ascii="Cambria Math" w:hAnsi="Cambria Math" w:eastAsia="Cambria Math"/>
          <w:b w:val="0"/>
          <w:sz w:val="22"/>
        </w:rPr>
        <w:t>E[ ∇_φ R̂_G(φ) | D_E,D_S ] = ∇_φ R(φ | θ̂)</w:t>
      </w:r>
      <w:r>
        <w:t xml:space="preserve">    </w:t>
      </w:r>
      <w:r>
        <w:rPr>
          <w:rFonts w:ascii="Times New Roman" w:hAnsi="Times New Roman" w:eastAsia="Times New Roman"/>
          <w:b w:val="0"/>
          <w:sz w:val="21"/>
        </w:rPr>
        <w:t>(K-6)</w:t>
      </w:r>
    </w:p>
    <w:p>
      <w:pPr>
        <w:spacing w:after="80" w:line="312" w:lineRule="auto"/>
        <w:ind w:firstLine="420"/>
      </w:pPr>
      <w:r>
        <w:rPr>
          <w:rFonts w:ascii="宋体" w:hAnsi="宋体" w:eastAsia="宋体"/>
          <w:b w:val="0"/>
          <w:sz w:val="22"/>
        </w:rPr>
        <w:t>证明要点：在有限期望及可交换微分与期望的常规条件下，独立同分布样本损失和梯度的样本均值分别对总体期望无偏。其意义是：与在 D_E 上给门控制造标签相比，D_G 能提供未参与专家拟合的数据上的风险信号。但当 φ 已在同一 D_G 上优化后，再用 D_G 报告其泛化风险并不保持该无偏结论；本实验还复用了 D_S 选门控轮次，因此 D_S 不是最终独立确认集。</w:t>
      </w:r>
    </w:p>
    <w:p>
      <w:pPr>
        <w:pStyle w:val="21"/>
        <w:keepNext/>
        <w:spacing w:before="120" w:after="80"/>
      </w:pPr>
      <w:r>
        <w:rPr>
          <w:rFonts w:ascii="黑体" w:hAnsi="黑体" w:eastAsia="黑体"/>
          <w:b/>
          <w:sz w:val="24"/>
        </w:rPr>
        <w:t>K.4 命题二：双专家一致时的门控退化</w:t>
      </w:r>
    </w:p>
    <w:p>
      <w:pPr>
        <w:spacing w:after="80" w:line="312" w:lineRule="auto"/>
        <w:ind w:firstLine="420"/>
      </w:pPr>
      <w:r>
        <w:rPr>
          <w:rFonts w:ascii="宋体" w:hAnsi="宋体" w:eastAsia="宋体"/>
          <w:b w:val="0"/>
          <w:sz w:val="22"/>
        </w:rPr>
        <w:t>命题 2：若某输入上 p_d(x)=p_m(x)，则任意 g_φ 都有 p_g(x)=p_d(x)=p_m(x)。当校验器只依赖 p_g 与冻结校验证据时，p_f 也与门控无关，最终 NLL 对门控参数的梯度为零；同时两专家真实类损失差为零，基于专家差距的 RSG 权重也为零。</w:t>
      </w:r>
    </w:p>
    <w:p>
      <w:pPr>
        <w:keepLines/>
        <w:spacing w:before="40" w:after="80"/>
        <w:jc w:val="center"/>
      </w:pPr>
      <w:r>
        <w:rPr>
          <w:rFonts w:ascii="Cambria Math" w:hAnsi="Cambria Math" w:eastAsia="Cambria Math"/>
          <w:b w:val="0"/>
          <w:sz w:val="22"/>
        </w:rPr>
        <w:t>p_d=p_m  ⇒  ∂[−log p_f(y|x)]/∂φ = 0</w:t>
      </w:r>
      <w:r>
        <w:t xml:space="preserve">    </w:t>
      </w:r>
      <w:r>
        <w:rPr>
          <w:rFonts w:ascii="Times New Roman" w:hAnsi="Times New Roman" w:eastAsia="Times New Roman"/>
          <w:b w:val="0"/>
          <w:sz w:val="21"/>
        </w:rPr>
        <w:t>(K-7)</w:t>
      </w:r>
    </w:p>
    <w:p>
      <w:pPr>
        <w:keepLines/>
        <w:spacing w:before="40" w:after="80"/>
        <w:jc w:val="center"/>
      </w:pPr>
      <w:r>
        <w:rPr>
          <w:rFonts w:ascii="Cambria Math" w:hAnsi="Cambria Math" w:eastAsia="Cambria Math"/>
          <w:b w:val="0"/>
          <w:sz w:val="22"/>
        </w:rPr>
        <w:t>|ℓ_d−ℓ_m|=0  ⇒  w_gap=tanh(|ℓ_d−ℓ_m|/τ_w)=0</w:t>
      </w:r>
      <w:r>
        <w:t xml:space="preserve">    </w:t>
      </w:r>
      <w:r>
        <w:rPr>
          <w:rFonts w:ascii="Times New Roman" w:hAnsi="Times New Roman" w:eastAsia="Times New Roman"/>
          <w:b w:val="0"/>
          <w:sz w:val="21"/>
        </w:rPr>
        <w:t>(K-8)</w:t>
      </w:r>
    </w:p>
    <w:p>
      <w:pPr>
        <w:spacing w:after="80" w:line="312" w:lineRule="auto"/>
        <w:ind w:firstLine="420"/>
      </w:pPr>
      <w:r>
        <w:rPr>
          <w:rFonts w:ascii="宋体" w:hAnsi="宋体" w:eastAsia="宋体"/>
          <w:b w:val="0"/>
          <w:sz w:val="22"/>
        </w:rPr>
        <w:t>float64 数值核验中，相同专家的最终 NLL 门控梯度为 0.0，差距权重为 0.0；构造不同专家后，梯度为 -0.308964，差距权重为 0.986760。该核验确认公式和实现代数一致，但不是性能证据。该命题揭示了路由网络的必要条件：只有双专家在样本上提供不同预测信息，门控才具有可学习信号。</w:t>
      </w:r>
    </w:p>
    <w:p>
      <w:pPr>
        <w:pStyle w:val="21"/>
        <w:keepNext/>
        <w:spacing w:before="120" w:after="80"/>
      </w:pPr>
      <w:r>
        <w:rPr>
          <w:rFonts w:ascii="黑体" w:hAnsi="黑体" w:eastAsia="黑体"/>
          <w:b/>
          <w:sz w:val="24"/>
        </w:rPr>
        <w:t>K.5 seen/unseen 配对门控实验</w:t>
      </w:r>
    </w:p>
    <w:p>
      <w:pPr>
        <w:spacing w:after="80" w:line="312" w:lineRule="auto"/>
        <w:ind w:firstLine="420"/>
      </w:pPr>
      <w:r>
        <w:rPr>
          <w:rFonts w:ascii="宋体" w:hAnsi="宋体" w:eastAsia="宋体"/>
          <w:b w:val="0"/>
          <w:sz w:val="22"/>
        </w:rPr>
        <w:t>固定一个完整训练的 HRGV 专家，在完全相同的三组门控初始化下，分别使用专家已见的 D_seen 与组隔离的 D_G 训练门控；每组运行 30 轮，并在同一 893 张停止集上按最低最终 NLL 选择轮次。全部 12 次运行均保持专家参数、缓冲区逐项不变且无专家梯度，未访问锁定测试集。表中学习门控为三组配对初始化的均值±样本标准差；等权融合与原联合门控是同一冻结专家上的确定性参考。</w:t>
      </w:r>
    </w:p>
    <w:tbl>
      <w:tblPr>
        <w:tblStyle w:val="aff1"/>
        <w:tblW w:type="auto" w:w="0"/>
        <w:tblLayout w:type="autofit"/>
        <w:tblLook w:firstColumn="1" w:firstRow="1" w:lastColumn="0" w:lastRow="0" w:noHBand="0" w:noVBand="1" w:val="04A0"/>
      </w:tblPr>
      <w:tblGrid>
        <w:gridCol w:w="1312"/>
        <w:gridCol w:w="1312"/>
        <w:gridCol w:w="1312"/>
        <w:gridCol w:w="1312"/>
        <w:gridCol w:w="1312"/>
        <w:gridCol w:w="1312"/>
        <w:gridCol w:w="1312"/>
      </w:tblGrid>
      <w:tr>
        <w:trPr>
          <w:tblHeader w:val="true"/>
        </w:trPr>
        <w:tc>
          <w:tcPr>
            <w:tcW w:type="dxa" w:w="1312"/>
            <w:vAlign w:val="center"/>
            <w:shd w:fill="D9E2F3"/>
          </w:tcPr>
          <w:p>
            <w:pPr>
              <w:spacing w:after="0" w:line="240" w:lineRule="auto"/>
              <w:jc w:val="center"/>
            </w:pPr>
            <w:r/>
            <w:r>
              <w:rPr>
                <w:rFonts w:ascii="宋体" w:hAnsi="宋体" w:eastAsia="宋体"/>
                <w:b/>
                <w:sz w:val="15"/>
              </w:rPr>
              <w:t>策略</w:t>
            </w:r>
          </w:p>
        </w:tc>
        <w:tc>
          <w:tcPr>
            <w:tcW w:type="dxa" w:w="1312"/>
            <w:vAlign w:val="center"/>
            <w:shd w:fill="D9E2F3"/>
          </w:tcPr>
          <w:p>
            <w:pPr>
              <w:spacing w:after="0" w:line="240" w:lineRule="auto"/>
              <w:jc w:val="center"/>
            </w:pPr>
            <w:r/>
            <w:r>
              <w:rPr>
                <w:rFonts w:ascii="宋体" w:hAnsi="宋体" w:eastAsia="宋体"/>
                <w:b/>
                <w:sz w:val="15"/>
              </w:rPr>
              <w:t>最终 NLL/nat</w:t>
            </w:r>
          </w:p>
        </w:tc>
        <w:tc>
          <w:tcPr>
            <w:tcW w:type="dxa" w:w="1312"/>
            <w:vAlign w:val="center"/>
            <w:shd w:fill="D9E2F3"/>
          </w:tcPr>
          <w:p>
            <w:pPr>
              <w:spacing w:after="0" w:line="240" w:lineRule="auto"/>
              <w:jc w:val="center"/>
            </w:pPr>
            <w:r/>
            <w:r>
              <w:rPr>
                <w:rFonts w:ascii="宋体" w:hAnsi="宋体" w:eastAsia="宋体"/>
                <w:b/>
                <w:sz w:val="15"/>
              </w:rPr>
              <w:t>Macro F1</w:t>
            </w:r>
          </w:p>
        </w:tc>
        <w:tc>
          <w:tcPr>
            <w:tcW w:type="dxa" w:w="1312"/>
            <w:vAlign w:val="center"/>
            <w:shd w:fill="D9E2F3"/>
          </w:tcPr>
          <w:p>
            <w:pPr>
              <w:spacing w:after="0" w:line="240" w:lineRule="auto"/>
              <w:jc w:val="center"/>
            </w:pPr>
            <w:r/>
            <w:r>
              <w:rPr>
                <w:rFonts w:ascii="宋体" w:hAnsi="宋体" w:eastAsia="宋体"/>
                <w:b/>
                <w:sz w:val="15"/>
              </w:rPr>
              <w:t>目标召回</w:t>
            </w:r>
          </w:p>
        </w:tc>
        <w:tc>
          <w:tcPr>
            <w:tcW w:type="dxa" w:w="1312"/>
            <w:vAlign w:val="center"/>
            <w:shd w:fill="D9E2F3"/>
          </w:tcPr>
          <w:p>
            <w:pPr>
              <w:spacing w:after="0" w:line="240" w:lineRule="auto"/>
              <w:jc w:val="center"/>
            </w:pPr>
            <w:r/>
            <w:r>
              <w:rPr>
                <w:rFonts w:ascii="宋体" w:hAnsi="宋体" w:eastAsia="宋体"/>
                <w:b/>
                <w:sz w:val="15"/>
              </w:rPr>
              <w:t>含钛误入</w:t>
            </w:r>
          </w:p>
        </w:tc>
        <w:tc>
          <w:tcPr>
            <w:tcW w:type="dxa" w:w="1312"/>
            <w:vAlign w:val="center"/>
            <w:shd w:fill="D9E2F3"/>
          </w:tcPr>
          <w:p>
            <w:pPr>
              <w:spacing w:after="0" w:line="240" w:lineRule="auto"/>
              <w:jc w:val="center"/>
            </w:pPr>
            <w:r/>
            <w:r>
              <w:rPr>
                <w:rFonts w:ascii="宋体" w:hAnsi="宋体" w:eastAsia="宋体"/>
                <w:b/>
                <w:sz w:val="15"/>
              </w:rPr>
              <w:t>金属误入</w:t>
            </w:r>
          </w:p>
        </w:tc>
        <w:tc>
          <w:tcPr>
            <w:tcW w:type="dxa" w:w="1312"/>
            <w:vAlign w:val="center"/>
            <w:shd w:fill="D9E2F3"/>
          </w:tcPr>
          <w:p>
            <w:pPr>
              <w:spacing w:after="0" w:line="240" w:lineRule="auto"/>
              <w:jc w:val="center"/>
            </w:pPr>
            <w:r/>
            <w:r>
              <w:rPr>
                <w:rFonts w:ascii="宋体" w:hAnsi="宋体" w:eastAsia="宋体"/>
                <w:b/>
                <w:sz w:val="15"/>
              </w:rPr>
              <w:t>平均门控</w:t>
            </w:r>
          </w:p>
        </w:tc>
      </w:tr>
      <w:tr>
        <w:tc>
          <w:tcPr>
            <w:tcW w:type="dxa" w:w="1312"/>
            <w:vAlign w:val="center"/>
          </w:tcPr>
          <w:p>
            <w:pPr>
              <w:spacing w:after="0" w:line="240" w:lineRule="auto"/>
              <w:jc w:val="center"/>
            </w:pPr>
            <w:r/>
            <w:r>
              <w:rPr>
                <w:rFonts w:ascii="宋体" w:hAnsi="宋体" w:eastAsia="宋体"/>
                <w:b w:val="0"/>
                <w:sz w:val="14"/>
              </w:rPr>
              <w:t>等权融合</w:t>
            </w:r>
          </w:p>
        </w:tc>
        <w:tc>
          <w:tcPr>
            <w:tcW w:type="dxa" w:w="1312"/>
            <w:vAlign w:val="center"/>
          </w:tcPr>
          <w:p>
            <w:pPr>
              <w:spacing w:after="0" w:line="240" w:lineRule="auto"/>
              <w:jc w:val="center"/>
            </w:pPr>
            <w:r/>
            <w:r>
              <w:rPr>
                <w:rFonts w:ascii="宋体" w:hAnsi="宋体" w:eastAsia="宋体"/>
                <w:b w:val="0"/>
                <w:sz w:val="14"/>
              </w:rPr>
              <w:t>0.958476</w:t>
            </w:r>
          </w:p>
        </w:tc>
        <w:tc>
          <w:tcPr>
            <w:tcW w:type="dxa" w:w="1312"/>
            <w:vAlign w:val="center"/>
          </w:tcPr>
          <w:p>
            <w:pPr>
              <w:spacing w:after="0" w:line="240" w:lineRule="auto"/>
              <w:jc w:val="center"/>
            </w:pPr>
            <w:r/>
            <w:r>
              <w:rPr>
                <w:rFonts w:ascii="宋体" w:hAnsi="宋体" w:eastAsia="宋体"/>
                <w:b w:val="0"/>
                <w:sz w:val="14"/>
              </w:rPr>
              <w:t>0.7185</w:t>
            </w:r>
          </w:p>
        </w:tc>
        <w:tc>
          <w:tcPr>
            <w:tcW w:type="dxa" w:w="1312"/>
            <w:vAlign w:val="center"/>
          </w:tcPr>
          <w:p>
            <w:pPr>
              <w:spacing w:after="0" w:line="240" w:lineRule="auto"/>
              <w:jc w:val="center"/>
            </w:pPr>
            <w:r/>
            <w:r>
              <w:rPr>
                <w:rFonts w:ascii="宋体" w:hAnsi="宋体" w:eastAsia="宋体"/>
                <w:b w:val="0"/>
                <w:sz w:val="14"/>
              </w:rPr>
              <w:t>68.79%</w:t>
            </w:r>
          </w:p>
        </w:tc>
        <w:tc>
          <w:tcPr>
            <w:tcW w:type="dxa" w:w="1312"/>
            <w:vAlign w:val="center"/>
          </w:tcPr>
          <w:p>
            <w:pPr>
              <w:spacing w:after="0" w:line="240" w:lineRule="auto"/>
              <w:jc w:val="center"/>
            </w:pPr>
            <w:r/>
            <w:r>
              <w:rPr>
                <w:rFonts w:ascii="宋体" w:hAnsi="宋体" w:eastAsia="宋体"/>
                <w:b w:val="0"/>
                <w:sz w:val="14"/>
              </w:rPr>
              <w:t>11.08%</w:t>
            </w:r>
          </w:p>
        </w:tc>
        <w:tc>
          <w:tcPr>
            <w:tcW w:type="dxa" w:w="1312"/>
            <w:vAlign w:val="center"/>
          </w:tcPr>
          <w:p>
            <w:pPr>
              <w:spacing w:after="0" w:line="240" w:lineRule="auto"/>
              <w:jc w:val="center"/>
            </w:pPr>
            <w:r/>
            <w:r>
              <w:rPr>
                <w:rFonts w:ascii="宋体" w:hAnsi="宋体" w:eastAsia="宋体"/>
                <w:b w:val="0"/>
                <w:sz w:val="14"/>
              </w:rPr>
              <w:t>12.20%</w:t>
            </w:r>
          </w:p>
        </w:tc>
        <w:tc>
          <w:tcPr>
            <w:tcW w:type="dxa" w:w="1312"/>
            <w:vAlign w:val="center"/>
          </w:tcPr>
          <w:p>
            <w:pPr>
              <w:spacing w:after="0" w:line="240" w:lineRule="auto"/>
              <w:jc w:val="center"/>
            </w:pPr>
            <w:r/>
            <w:r>
              <w:rPr>
                <w:rFonts w:ascii="宋体" w:hAnsi="宋体" w:eastAsia="宋体"/>
                <w:b w:val="0"/>
                <w:sz w:val="14"/>
              </w:rPr>
              <w:t>0.500</w:t>
            </w:r>
          </w:p>
        </w:tc>
      </w:tr>
      <w:tr>
        <w:tc>
          <w:tcPr>
            <w:tcW w:type="dxa" w:w="1312"/>
            <w:vAlign w:val="center"/>
          </w:tcPr>
          <w:p>
            <w:pPr>
              <w:spacing w:after="0" w:line="240" w:lineRule="auto"/>
              <w:jc w:val="center"/>
            </w:pPr>
            <w:r/>
            <w:r>
              <w:rPr>
                <w:rFonts w:ascii="宋体" w:hAnsi="宋体" w:eastAsia="宋体"/>
                <w:b w:val="0"/>
                <w:sz w:val="14"/>
              </w:rPr>
              <w:t>原联合门控</w:t>
            </w:r>
          </w:p>
        </w:tc>
        <w:tc>
          <w:tcPr>
            <w:tcW w:type="dxa" w:w="1312"/>
            <w:vAlign w:val="center"/>
          </w:tcPr>
          <w:p>
            <w:pPr>
              <w:spacing w:after="0" w:line="240" w:lineRule="auto"/>
              <w:jc w:val="center"/>
            </w:pPr>
            <w:r/>
            <w:r>
              <w:rPr>
                <w:rFonts w:ascii="宋体" w:hAnsi="宋体" w:eastAsia="宋体"/>
                <w:b w:val="0"/>
                <w:sz w:val="14"/>
              </w:rPr>
              <w:t>0.996032</w:t>
            </w:r>
          </w:p>
        </w:tc>
        <w:tc>
          <w:tcPr>
            <w:tcW w:type="dxa" w:w="1312"/>
            <w:vAlign w:val="center"/>
          </w:tcPr>
          <w:p>
            <w:pPr>
              <w:spacing w:after="0" w:line="240" w:lineRule="auto"/>
              <w:jc w:val="center"/>
            </w:pPr>
            <w:r/>
            <w:r>
              <w:rPr>
                <w:rFonts w:ascii="宋体" w:hAnsi="宋体" w:eastAsia="宋体"/>
                <w:b w:val="0"/>
                <w:sz w:val="14"/>
              </w:rPr>
              <w:t>0.7217</w:t>
            </w:r>
          </w:p>
        </w:tc>
        <w:tc>
          <w:tcPr>
            <w:tcW w:type="dxa" w:w="1312"/>
            <w:vAlign w:val="center"/>
          </w:tcPr>
          <w:p>
            <w:pPr>
              <w:spacing w:after="0" w:line="240" w:lineRule="auto"/>
              <w:jc w:val="center"/>
            </w:pPr>
            <w:r/>
            <w:r>
              <w:rPr>
                <w:rFonts w:ascii="宋体" w:hAnsi="宋体" w:eastAsia="宋体"/>
                <w:b w:val="0"/>
                <w:sz w:val="14"/>
              </w:rPr>
              <w:t>69.36%</w:t>
            </w:r>
          </w:p>
        </w:tc>
        <w:tc>
          <w:tcPr>
            <w:tcW w:type="dxa" w:w="1312"/>
            <w:vAlign w:val="center"/>
          </w:tcPr>
          <w:p>
            <w:pPr>
              <w:spacing w:after="0" w:line="240" w:lineRule="auto"/>
              <w:jc w:val="center"/>
            </w:pPr>
            <w:r/>
            <w:r>
              <w:rPr>
                <w:rFonts w:ascii="宋体" w:hAnsi="宋体" w:eastAsia="宋体"/>
                <w:b w:val="0"/>
                <w:sz w:val="14"/>
              </w:rPr>
              <w:t>11.08%</w:t>
            </w:r>
          </w:p>
        </w:tc>
        <w:tc>
          <w:tcPr>
            <w:tcW w:type="dxa" w:w="1312"/>
            <w:vAlign w:val="center"/>
          </w:tcPr>
          <w:p>
            <w:pPr>
              <w:spacing w:after="0" w:line="240" w:lineRule="auto"/>
              <w:jc w:val="center"/>
            </w:pPr>
            <w:r/>
            <w:r>
              <w:rPr>
                <w:rFonts w:ascii="宋体" w:hAnsi="宋体" w:eastAsia="宋体"/>
                <w:b w:val="0"/>
                <w:sz w:val="14"/>
              </w:rPr>
              <w:t>11.38%</w:t>
            </w:r>
          </w:p>
        </w:tc>
        <w:tc>
          <w:tcPr>
            <w:tcW w:type="dxa" w:w="1312"/>
            <w:vAlign w:val="center"/>
          </w:tcPr>
          <w:p>
            <w:pPr>
              <w:spacing w:after="0" w:line="240" w:lineRule="auto"/>
              <w:jc w:val="center"/>
            </w:pPr>
            <w:r/>
            <w:r>
              <w:rPr>
                <w:rFonts w:ascii="宋体" w:hAnsi="宋体" w:eastAsia="宋体"/>
                <w:b w:val="0"/>
                <w:sz w:val="14"/>
              </w:rPr>
              <w:t>0.216</w:t>
            </w:r>
          </w:p>
        </w:tc>
      </w:tr>
      <w:tr>
        <w:tc>
          <w:tcPr>
            <w:tcW w:type="dxa" w:w="1312"/>
            <w:vAlign w:val="center"/>
          </w:tcPr>
          <w:p>
            <w:pPr>
              <w:spacing w:after="0" w:line="240" w:lineRule="auto"/>
              <w:jc w:val="center"/>
            </w:pPr>
            <w:r/>
            <w:r>
              <w:rPr>
                <w:rFonts w:ascii="宋体" w:hAnsi="宋体" w:eastAsia="宋体"/>
                <w:b w:val="0"/>
                <w:sz w:val="14"/>
              </w:rPr>
              <w:t>seen + 最终NLL</w:t>
            </w:r>
          </w:p>
        </w:tc>
        <w:tc>
          <w:tcPr>
            <w:tcW w:type="dxa" w:w="1312"/>
            <w:vAlign w:val="center"/>
          </w:tcPr>
          <w:p>
            <w:pPr>
              <w:spacing w:after="0" w:line="240" w:lineRule="auto"/>
              <w:jc w:val="center"/>
            </w:pPr>
            <w:r/>
            <w:r>
              <w:rPr>
                <w:rFonts w:ascii="宋体" w:hAnsi="宋体" w:eastAsia="宋体"/>
                <w:b w:val="0"/>
                <w:sz w:val="14"/>
              </w:rPr>
              <w:t>0.972255±0.001206</w:t>
            </w:r>
          </w:p>
        </w:tc>
        <w:tc>
          <w:tcPr>
            <w:tcW w:type="dxa" w:w="1312"/>
            <w:vAlign w:val="center"/>
          </w:tcPr>
          <w:p>
            <w:pPr>
              <w:spacing w:after="0" w:line="240" w:lineRule="auto"/>
              <w:jc w:val="center"/>
            </w:pPr>
            <w:r/>
            <w:r>
              <w:rPr>
                <w:rFonts w:ascii="宋体" w:hAnsi="宋体" w:eastAsia="宋体"/>
                <w:b w:val="0"/>
                <w:sz w:val="14"/>
              </w:rPr>
              <w:t>0.718215±0.000928</w:t>
            </w:r>
          </w:p>
        </w:tc>
        <w:tc>
          <w:tcPr>
            <w:tcW w:type="dxa" w:w="1312"/>
            <w:vAlign w:val="center"/>
          </w:tcPr>
          <w:p>
            <w:pPr>
              <w:spacing w:after="0" w:line="240" w:lineRule="auto"/>
              <w:jc w:val="center"/>
            </w:pPr>
            <w:r/>
            <w:r>
              <w:rPr>
                <w:rFonts w:ascii="宋体" w:hAnsi="宋体" w:eastAsia="宋体"/>
                <w:b w:val="0"/>
                <w:sz w:val="14"/>
              </w:rPr>
              <w:t>67.05±0.00%</w:t>
            </w:r>
          </w:p>
        </w:tc>
        <w:tc>
          <w:tcPr>
            <w:tcW w:type="dxa" w:w="1312"/>
            <w:vAlign w:val="center"/>
          </w:tcPr>
          <w:p>
            <w:pPr>
              <w:spacing w:after="0" w:line="240" w:lineRule="auto"/>
              <w:jc w:val="center"/>
            </w:pPr>
            <w:r/>
            <w:r>
              <w:rPr>
                <w:rFonts w:ascii="宋体" w:hAnsi="宋体" w:eastAsia="宋体"/>
                <w:b w:val="0"/>
                <w:sz w:val="14"/>
              </w:rPr>
              <w:t>10.50±0.00%</w:t>
            </w:r>
          </w:p>
        </w:tc>
        <w:tc>
          <w:tcPr>
            <w:tcW w:type="dxa" w:w="1312"/>
            <w:vAlign w:val="center"/>
          </w:tcPr>
          <w:p>
            <w:pPr>
              <w:spacing w:after="0" w:line="240" w:lineRule="auto"/>
              <w:jc w:val="center"/>
            </w:pPr>
            <w:r/>
            <w:r>
              <w:rPr>
                <w:rFonts w:ascii="宋体" w:hAnsi="宋体" w:eastAsia="宋体"/>
                <w:b w:val="0"/>
                <w:sz w:val="14"/>
              </w:rPr>
              <w:t>11.38±0.00%</w:t>
            </w:r>
          </w:p>
        </w:tc>
        <w:tc>
          <w:tcPr>
            <w:tcW w:type="dxa" w:w="1312"/>
            <w:vAlign w:val="center"/>
          </w:tcPr>
          <w:p>
            <w:pPr>
              <w:spacing w:after="0" w:line="240" w:lineRule="auto"/>
              <w:jc w:val="center"/>
            </w:pPr>
            <w:r/>
            <w:r>
              <w:rPr>
                <w:rFonts w:ascii="宋体" w:hAnsi="宋体" w:eastAsia="宋体"/>
                <w:b w:val="0"/>
                <w:sz w:val="14"/>
              </w:rPr>
              <w:t>0.197658±0.007025</w:t>
            </w:r>
          </w:p>
        </w:tc>
      </w:tr>
      <w:tr>
        <w:tc>
          <w:tcPr>
            <w:tcW w:type="dxa" w:w="1312"/>
            <w:vAlign w:val="center"/>
          </w:tcPr>
          <w:p>
            <w:pPr>
              <w:spacing w:after="0" w:line="240" w:lineRule="auto"/>
              <w:jc w:val="center"/>
            </w:pPr>
            <w:r/>
            <w:r>
              <w:rPr>
                <w:rFonts w:ascii="宋体" w:hAnsi="宋体" w:eastAsia="宋体"/>
                <w:b w:val="0"/>
                <w:sz w:val="14"/>
              </w:rPr>
              <w:t>unseen + 最终NLL</w:t>
            </w:r>
          </w:p>
        </w:tc>
        <w:tc>
          <w:tcPr>
            <w:tcW w:type="dxa" w:w="1312"/>
            <w:vAlign w:val="center"/>
          </w:tcPr>
          <w:p>
            <w:pPr>
              <w:spacing w:after="0" w:line="240" w:lineRule="auto"/>
              <w:jc w:val="center"/>
            </w:pPr>
            <w:r/>
            <w:r>
              <w:rPr>
                <w:rFonts w:ascii="宋体" w:hAnsi="宋体" w:eastAsia="宋体"/>
                <w:b w:val="0"/>
                <w:sz w:val="14"/>
              </w:rPr>
              <w:t>0.960116±0.001937</w:t>
            </w:r>
          </w:p>
        </w:tc>
        <w:tc>
          <w:tcPr>
            <w:tcW w:type="dxa" w:w="1312"/>
            <w:vAlign w:val="center"/>
          </w:tcPr>
          <w:p>
            <w:pPr>
              <w:spacing w:after="0" w:line="240" w:lineRule="auto"/>
              <w:jc w:val="center"/>
            </w:pPr>
            <w:r/>
            <w:r>
              <w:rPr>
                <w:rFonts w:ascii="宋体" w:hAnsi="宋体" w:eastAsia="宋体"/>
                <w:b w:val="0"/>
                <w:sz w:val="14"/>
              </w:rPr>
              <w:t>0.722986±0.002025</w:t>
            </w:r>
          </w:p>
        </w:tc>
        <w:tc>
          <w:tcPr>
            <w:tcW w:type="dxa" w:w="1312"/>
            <w:vAlign w:val="center"/>
          </w:tcPr>
          <w:p>
            <w:pPr>
              <w:spacing w:after="0" w:line="240" w:lineRule="auto"/>
              <w:jc w:val="center"/>
            </w:pPr>
            <w:r/>
            <w:r>
              <w:rPr>
                <w:rFonts w:ascii="宋体" w:hAnsi="宋体" w:eastAsia="宋体"/>
                <w:b w:val="0"/>
                <w:sz w:val="14"/>
              </w:rPr>
              <w:t>68.40±0.33%</w:t>
            </w:r>
          </w:p>
        </w:tc>
        <w:tc>
          <w:tcPr>
            <w:tcW w:type="dxa" w:w="1312"/>
            <w:vAlign w:val="center"/>
          </w:tcPr>
          <w:p>
            <w:pPr>
              <w:spacing w:after="0" w:line="240" w:lineRule="auto"/>
              <w:jc w:val="center"/>
            </w:pPr>
            <w:r/>
            <w:r>
              <w:rPr>
                <w:rFonts w:ascii="宋体" w:hAnsi="宋体" w:eastAsia="宋体"/>
                <w:b w:val="0"/>
                <w:sz w:val="14"/>
              </w:rPr>
              <w:t>10.50±0.00%</w:t>
            </w:r>
          </w:p>
        </w:tc>
        <w:tc>
          <w:tcPr>
            <w:tcW w:type="dxa" w:w="1312"/>
            <w:vAlign w:val="center"/>
          </w:tcPr>
          <w:p>
            <w:pPr>
              <w:spacing w:after="0" w:line="240" w:lineRule="auto"/>
              <w:jc w:val="center"/>
            </w:pPr>
            <w:r/>
            <w:r>
              <w:rPr>
                <w:rFonts w:ascii="宋体" w:hAnsi="宋体" w:eastAsia="宋体"/>
                <w:b w:val="0"/>
                <w:sz w:val="14"/>
              </w:rPr>
              <w:t>11.92±0.47%</w:t>
            </w:r>
          </w:p>
        </w:tc>
        <w:tc>
          <w:tcPr>
            <w:tcW w:type="dxa" w:w="1312"/>
            <w:vAlign w:val="center"/>
          </w:tcPr>
          <w:p>
            <w:pPr>
              <w:spacing w:after="0" w:line="240" w:lineRule="auto"/>
              <w:jc w:val="center"/>
            </w:pPr>
            <w:r/>
            <w:r>
              <w:rPr>
                <w:rFonts w:ascii="宋体" w:hAnsi="宋体" w:eastAsia="宋体"/>
                <w:b w:val="0"/>
                <w:sz w:val="14"/>
              </w:rPr>
              <w:t>0.298638±0.016864</w:t>
            </w:r>
          </w:p>
        </w:tc>
      </w:tr>
      <w:tr>
        <w:tc>
          <w:tcPr>
            <w:tcW w:type="dxa" w:w="1312"/>
            <w:vAlign w:val="center"/>
          </w:tcPr>
          <w:p>
            <w:pPr>
              <w:spacing w:after="0" w:line="240" w:lineRule="auto"/>
              <w:jc w:val="center"/>
            </w:pPr>
            <w:r/>
            <w:r>
              <w:rPr>
                <w:rFonts w:ascii="宋体" w:hAnsi="宋体" w:eastAsia="宋体"/>
                <w:b w:val="0"/>
                <w:sz w:val="14"/>
              </w:rPr>
              <w:t>seen + NLL/遗憾</w:t>
            </w:r>
          </w:p>
        </w:tc>
        <w:tc>
          <w:tcPr>
            <w:tcW w:type="dxa" w:w="1312"/>
            <w:vAlign w:val="center"/>
          </w:tcPr>
          <w:p>
            <w:pPr>
              <w:spacing w:after="0" w:line="240" w:lineRule="auto"/>
              <w:jc w:val="center"/>
            </w:pPr>
            <w:r/>
            <w:r>
              <w:rPr>
                <w:rFonts w:ascii="宋体" w:hAnsi="宋体" w:eastAsia="宋体"/>
                <w:b w:val="0"/>
                <w:sz w:val="14"/>
              </w:rPr>
              <w:t>0.956607±0.000541</w:t>
            </w:r>
          </w:p>
        </w:tc>
        <w:tc>
          <w:tcPr>
            <w:tcW w:type="dxa" w:w="1312"/>
            <w:vAlign w:val="center"/>
          </w:tcPr>
          <w:p>
            <w:pPr>
              <w:spacing w:after="0" w:line="240" w:lineRule="auto"/>
              <w:jc w:val="center"/>
            </w:pPr>
            <w:r/>
            <w:r>
              <w:rPr>
                <w:rFonts w:ascii="宋体" w:hAnsi="宋体" w:eastAsia="宋体"/>
                <w:b w:val="0"/>
                <w:sz w:val="14"/>
              </w:rPr>
              <w:t>0.717380±0.002021</w:t>
            </w:r>
          </w:p>
        </w:tc>
        <w:tc>
          <w:tcPr>
            <w:tcW w:type="dxa" w:w="1312"/>
            <w:vAlign w:val="center"/>
          </w:tcPr>
          <w:p>
            <w:pPr>
              <w:spacing w:after="0" w:line="240" w:lineRule="auto"/>
              <w:jc w:val="center"/>
            </w:pPr>
            <w:r/>
            <w:r>
              <w:rPr>
                <w:rFonts w:ascii="宋体" w:hAnsi="宋体" w:eastAsia="宋体"/>
                <w:b w:val="0"/>
                <w:sz w:val="14"/>
              </w:rPr>
              <w:t>67.63±0.00%</w:t>
            </w:r>
          </w:p>
        </w:tc>
        <w:tc>
          <w:tcPr>
            <w:tcW w:type="dxa" w:w="1312"/>
            <w:vAlign w:val="center"/>
          </w:tcPr>
          <w:p>
            <w:pPr>
              <w:spacing w:after="0" w:line="240" w:lineRule="auto"/>
              <w:jc w:val="center"/>
            </w:pPr>
            <w:r/>
            <w:r>
              <w:rPr>
                <w:rFonts w:ascii="宋体" w:hAnsi="宋体" w:eastAsia="宋体"/>
                <w:b w:val="0"/>
                <w:sz w:val="14"/>
              </w:rPr>
              <w:t>10.69±0.17%</w:t>
            </w:r>
          </w:p>
        </w:tc>
        <w:tc>
          <w:tcPr>
            <w:tcW w:type="dxa" w:w="1312"/>
            <w:vAlign w:val="center"/>
          </w:tcPr>
          <w:p>
            <w:pPr>
              <w:spacing w:after="0" w:line="240" w:lineRule="auto"/>
              <w:jc w:val="center"/>
            </w:pPr>
            <w:r/>
            <w:r>
              <w:rPr>
                <w:rFonts w:ascii="宋体" w:hAnsi="宋体" w:eastAsia="宋体"/>
                <w:b w:val="0"/>
                <w:sz w:val="14"/>
              </w:rPr>
              <w:t>11.92±0.47%</w:t>
            </w:r>
          </w:p>
        </w:tc>
        <w:tc>
          <w:tcPr>
            <w:tcW w:type="dxa" w:w="1312"/>
            <w:vAlign w:val="center"/>
          </w:tcPr>
          <w:p>
            <w:pPr>
              <w:spacing w:after="0" w:line="240" w:lineRule="auto"/>
              <w:jc w:val="center"/>
            </w:pPr>
            <w:r/>
            <w:r>
              <w:rPr>
                <w:rFonts w:ascii="宋体" w:hAnsi="宋体" w:eastAsia="宋体"/>
                <w:b w:val="0"/>
                <w:sz w:val="14"/>
              </w:rPr>
              <w:t>0.484589±0.001199</w:t>
            </w:r>
          </w:p>
        </w:tc>
      </w:tr>
      <w:tr>
        <w:tc>
          <w:tcPr>
            <w:tcW w:type="dxa" w:w="1312"/>
            <w:vAlign w:val="center"/>
          </w:tcPr>
          <w:p>
            <w:pPr>
              <w:spacing w:after="0" w:line="240" w:lineRule="auto"/>
              <w:jc w:val="center"/>
            </w:pPr>
            <w:r/>
            <w:r>
              <w:rPr>
                <w:rFonts w:ascii="宋体" w:hAnsi="宋体" w:eastAsia="宋体"/>
                <w:b w:val="0"/>
                <w:sz w:val="14"/>
              </w:rPr>
              <w:t>unseen + NLL/遗憾</w:t>
            </w:r>
          </w:p>
        </w:tc>
        <w:tc>
          <w:tcPr>
            <w:tcW w:type="dxa" w:w="1312"/>
            <w:vAlign w:val="center"/>
          </w:tcPr>
          <w:p>
            <w:pPr>
              <w:spacing w:after="0" w:line="240" w:lineRule="auto"/>
              <w:jc w:val="center"/>
            </w:pPr>
            <w:r/>
            <w:r>
              <w:rPr>
                <w:rFonts w:ascii="宋体" w:hAnsi="宋体" w:eastAsia="宋体"/>
                <w:b w:val="0"/>
                <w:sz w:val="14"/>
              </w:rPr>
              <w:t>0.956760±0.000747</w:t>
            </w:r>
          </w:p>
        </w:tc>
        <w:tc>
          <w:tcPr>
            <w:tcW w:type="dxa" w:w="1312"/>
            <w:vAlign w:val="center"/>
          </w:tcPr>
          <w:p>
            <w:pPr>
              <w:spacing w:after="0" w:line="240" w:lineRule="auto"/>
              <w:jc w:val="center"/>
            </w:pPr>
            <w:r/>
            <w:r>
              <w:rPr>
                <w:rFonts w:ascii="宋体" w:hAnsi="宋体" w:eastAsia="宋体"/>
                <w:b w:val="0"/>
                <w:sz w:val="14"/>
              </w:rPr>
              <w:t>0.720347±0.000445</w:t>
            </w:r>
          </w:p>
        </w:tc>
        <w:tc>
          <w:tcPr>
            <w:tcW w:type="dxa" w:w="1312"/>
            <w:vAlign w:val="center"/>
          </w:tcPr>
          <w:p>
            <w:pPr>
              <w:spacing w:after="0" w:line="240" w:lineRule="auto"/>
              <w:jc w:val="center"/>
            </w:pPr>
            <w:r/>
            <w:r>
              <w:rPr>
                <w:rFonts w:ascii="宋体" w:hAnsi="宋体" w:eastAsia="宋体"/>
                <w:b w:val="0"/>
                <w:sz w:val="14"/>
              </w:rPr>
              <w:t>67.63±0.00%</w:t>
            </w:r>
          </w:p>
        </w:tc>
        <w:tc>
          <w:tcPr>
            <w:tcW w:type="dxa" w:w="1312"/>
            <w:vAlign w:val="center"/>
          </w:tcPr>
          <w:p>
            <w:pPr>
              <w:spacing w:after="0" w:line="240" w:lineRule="auto"/>
              <w:jc w:val="center"/>
            </w:pPr>
            <w:r/>
            <w:r>
              <w:rPr>
                <w:rFonts w:ascii="宋体" w:hAnsi="宋体" w:eastAsia="宋体"/>
                <w:b w:val="0"/>
                <w:sz w:val="14"/>
              </w:rPr>
              <w:t>10.50±0.00%</w:t>
            </w:r>
          </w:p>
        </w:tc>
        <w:tc>
          <w:tcPr>
            <w:tcW w:type="dxa" w:w="1312"/>
            <w:vAlign w:val="center"/>
          </w:tcPr>
          <w:p>
            <w:pPr>
              <w:spacing w:after="0" w:line="240" w:lineRule="auto"/>
              <w:jc w:val="center"/>
            </w:pPr>
            <w:r/>
            <w:r>
              <w:rPr>
                <w:rFonts w:ascii="宋体" w:hAnsi="宋体" w:eastAsia="宋体"/>
                <w:b w:val="0"/>
                <w:sz w:val="14"/>
              </w:rPr>
              <w:t>11.92±0.47%</w:t>
            </w:r>
          </w:p>
        </w:tc>
        <w:tc>
          <w:tcPr>
            <w:tcW w:type="dxa" w:w="1312"/>
            <w:vAlign w:val="center"/>
          </w:tcPr>
          <w:p>
            <w:pPr>
              <w:spacing w:after="0" w:line="240" w:lineRule="auto"/>
              <w:jc w:val="center"/>
            </w:pPr>
            <w:r/>
            <w:r>
              <w:rPr>
                <w:rFonts w:ascii="宋体" w:hAnsi="宋体" w:eastAsia="宋体"/>
                <w:b w:val="0"/>
                <w:sz w:val="14"/>
              </w:rPr>
              <w:t>0.380053±0.016750</w:t>
            </w:r>
          </w:p>
        </w:tc>
      </w:tr>
    </w:tbl>
    <w:p>
      <w:pPr>
        <w:spacing w:after="80" w:line="312" w:lineRule="auto"/>
        <w:ind w:firstLine="420"/>
      </w:pPr>
      <w:r>
        <w:rPr>
          <w:rFonts w:ascii="宋体" w:hAnsi="宋体" w:eastAsia="宋体"/>
          <w:b w:val="0"/>
          <w:sz w:val="22"/>
        </w:rPr>
        <w:t>在纯最终 NLL 目标下，unseen 相对 seen 的配对差为：最终 NLL -0.012139 nat、Macro F1 +0.004771、目标召回 +1.35 个百分点；三组初始化方向一致。金属误入率平均增加 0.54 个百分点，说明改进并非所有指标共同占优。加入遗憾辅助项后，unseen 相对 seen 的 NLL 差仅 0.000153 nat，目标召回差为零，监督源优势明显减弱。</w:t>
      </w:r>
    </w:p>
    <w:p>
      <w:pPr>
        <w:spacing w:after="80" w:line="312" w:lineRule="auto"/>
        <w:ind w:firstLine="420"/>
      </w:pPr>
      <w:r>
        <w:rPr>
          <w:rFonts w:ascii="宋体" w:hAnsi="宋体" w:eastAsia="宋体"/>
          <w:b w:val="0"/>
          <w:sz w:val="22"/>
        </w:rPr>
        <w:t>相较等权融合，unseen + NLL/遗憾在本停止集上的最终 NLL 与 Macro F1 略优，但目标召回更低；纯 unseen NLL 也未同时占优于等权融合。因此现阶段能够支持的结论是：专家已见样本会使门控监督表现出明显拟合乐观性，组隔离的样本外最终风险能够改变并改善部分配对指标；尚不能宣称 OOS-RSG-HRGV 已稳定优于简单等权融合或原主模型。</w:t>
      </w:r>
    </w:p>
    <w:p>
      <w:pPr>
        <w:pStyle w:val="21"/>
        <w:keepNext/>
        <w:spacing w:before="120" w:after="80"/>
      </w:pPr>
      <w:r>
        <w:rPr>
          <w:rFonts w:ascii="黑体" w:hAnsi="黑体" w:eastAsia="黑体"/>
          <w:b/>
          <w:sz w:val="24"/>
        </w:rPr>
        <w:t>K.6 理论创新定位与后续确认</w:t>
      </w:r>
    </w:p>
    <w:p>
      <w:pPr>
        <w:spacing w:after="80" w:line="312" w:lineRule="auto"/>
        <w:ind w:firstLine="420"/>
      </w:pPr>
      <w:r>
        <w:rPr>
          <w:rFonts w:ascii="宋体" w:hAnsi="宋体" w:eastAsia="宋体"/>
          <w:b w:val="0"/>
          <w:sz w:val="22"/>
        </w:rPr>
        <w:t>本附录形成的候选网络创新由四个相互约束的部分组成：（1）角色专家与矿种映射专家构成具有领域语义的异构双专家；（2）含钛与金属光泽校验器将困难负样本知识写入最终后验；（3）门控不再在专家拟合样本上学习，而在图像组隔离的未见样本上优化校验后最终风险；（4）以条件无偏性和门控退化命题限定方法何时具有有效监督。样本拆分、交叉拟合和代价敏感思想本身均为已有方法，本研究不将其单独表述为首创。</w:t>
      </w:r>
    </w:p>
    <w:p>
      <w:pPr>
        <w:spacing w:after="80" w:line="312" w:lineRule="auto"/>
        <w:ind w:firstLine="420"/>
      </w:pPr>
      <w:r>
        <w:rPr>
          <w:rFonts w:ascii="宋体" w:hAnsi="宋体" w:eastAsia="宋体"/>
          <w:b w:val="0"/>
          <w:sz w:val="22"/>
        </w:rPr>
        <w:t>当前三组门控随机种子共享同一个冻结专家和同一停止集，所以不是三个独立专家，也不是独立确认。论文中若要把 OOS-RSG-HRGV 从候选网络提升为正式主方法，下一步必须训练至少三组独立专家种子，为每组专家重新构造门控监督，并在未参与专家早停、门控训练或轮次选择的最终评价集上检验；同时报告最终 NLL、Macro F1、目标召回、含钛误入和金属误入。来源外矿区/摄影者数据和真实矿石图像应作为更高层级泛化证据，不能由当前公开标本结果替代。</w:t>
      </w:r>
    </w:p>
    <w:p>
      <w:pPr>
        <w:spacing w:after="80" w:line="312" w:lineRule="auto"/>
        <w:ind w:firstLine="420"/>
      </w:pPr>
      <w:r>
        <w:rPr>
          <w:rFonts w:ascii="宋体" w:hAnsi="宋体" w:eastAsia="宋体"/>
          <w:b w:val="0"/>
          <w:sz w:val="22"/>
        </w:rPr>
        <w:t>复现文件：scripts/run_seen_unseen_gate_study.py、scripts/analyze_seen_unseen_gate_study.py、scripts/verify_oos_gate_degeneracy.py；结果位于 outputs/training/seen_unseen_gate_study_v1 与 outputs/theory/oos_gate_degeneracy.json。</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