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NJ MVC T1628 — Material Scope Changes</w:t>
      </w:r>
    </w:p>
    <w:p>
      <w:pPr>
        <w:jc w:val="center"/>
      </w:pPr>
      <w:r>
        <w:rPr>
          <w:b/>
          <w:sz w:val="32"/>
        </w:rPr>
        <w:t>2026 Rebid vs. 2021 Contract (As-Amended)</w:t>
      </w:r>
    </w:p>
    <w:p>
      <w:pPr>
        <w:jc w:val="center"/>
      </w:pPr>
      <w:r>
        <w:rPr>
          <w:i/>
          <w:sz w:val="28"/>
        </w:rPr>
        <w:t>Executive Briefing</w:t>
      </w:r>
    </w:p>
    <w:p/>
    <w:p>
      <w:pPr>
        <w:jc w:val="center"/>
      </w:pPr>
      <w:r>
        <w:rPr>
          <w:sz w:val="22"/>
        </w:rPr>
        <w:t>Prepared: April 27, 2026</w:t>
      </w:r>
    </w:p>
    <w:p>
      <w:pPr>
        <w:jc w:val="center"/>
      </w:pPr>
      <w:r>
        <w:rPr>
          <w:sz w:val="20"/>
        </w:rPr>
        <w:t>Source: Diff Run #2 (Consolidated 2021 baseline + 23 amendments vs 2026 RFP)</w:t>
      </w:r>
    </w:p>
    <w:p/>
    <w:p>
      <w:pPr>
        <w:pStyle w:val="Heading2"/>
      </w:pPr>
      <w:r>
        <w:t>Source of Truth</w:t>
      </w:r>
    </w:p>
    <w:p>
      <w:r>
        <w:rPr>
          <w:b/>
        </w:rPr>
        <w:t xml:space="preserve">Baseline: </w:t>
      </w:r>
      <w:r>
        <w:t>NJ MVC T1628 — 2021 Revised Bid Solicitation, fully merged with 23 contract amendments and revisions. Built from the consolidation pipeline (run #2, completed 2026-04-26). 2,669 active requirements.</w:t>
        <w:br/>
        <w:br/>
      </w:r>
      <w:r>
        <w:rPr>
          <w:b/>
        </w:rPr>
        <w:t xml:space="preserve">Target: </w:t>
      </w:r>
      <w:r>
        <w:t>NJ MVC T1628 2026 Rebid solicitation package: Bid Solicitation 4.22.26, Appendix 3, Price Sheet 4.22.2026, Standard Procurement Forms Packet, NJ Standard Terms and Conditions 6.3.2025, Current Collective Bargaining Agreement, Pre-Quote Conference deck, and statute L2025 c.359.</w:t>
        <w:br/>
        <w:br/>
      </w:r>
      <w:r>
        <w:rPr>
          <w:b/>
        </w:rPr>
        <w:t xml:space="preserve">Method: </w:t>
      </w:r>
      <w:r>
        <w:t>Triple-pass requirement-by-requirement diff with embedding-based semantic matching, severity grading, and per-change impact analysis. Every entry below is grounded in the underlying requirement text — citations to old and new section/page are included in each entry.</w:t>
      </w:r>
    </w:p>
    <w:p>
      <w:r>
        <w:br w:type="page"/>
      </w:r>
    </w:p>
    <w:p>
      <w:pPr>
        <w:pStyle w:val="Heading1"/>
      </w:pPr>
      <w:r>
        <w:t>Executive Summary</w:t>
      </w:r>
    </w:p>
    <w:p>
      <w:r>
        <w:rPr>
          <w:sz w:val="22"/>
        </w:rPr>
        <w:t xml:space="preserve">The 2026 NJ MVC T1628 rebid contains </w:t>
      </w:r>
      <w:r>
        <w:rPr>
          <w:b/>
        </w:rPr>
        <w:t>5,507</w:t>
      </w:r>
      <w:r>
        <w:t xml:space="preserve"> net requirement changes versus the 2021 contract as-amended:</w:t>
      </w:r>
    </w:p>
    <w:p>
      <w:pPr>
        <w:pStyle w:val="ListBullet"/>
      </w:pPr>
      <w:r>
        <w:rPr>
          <w:b/>
        </w:rPr>
        <w:t>3,760</w:t>
      </w:r>
      <w:r>
        <w:t xml:space="preserve"> net-new requirements not in the 2021 baseline</w:t>
      </w:r>
    </w:p>
    <w:p>
      <w:pPr>
        <w:pStyle w:val="ListBullet"/>
      </w:pPr>
      <w:r>
        <w:rPr>
          <w:b/>
        </w:rPr>
        <w:t>1,274</w:t>
      </w:r>
      <w:r>
        <w:t xml:space="preserve"> requirements removed in 2026</w:t>
      </w:r>
    </w:p>
    <w:p>
      <w:pPr>
        <w:pStyle w:val="ListBullet"/>
      </w:pPr>
      <w:r>
        <w:rPr>
          <w:b/>
        </w:rPr>
        <w:t>473</w:t>
      </w:r>
      <w:r>
        <w:t xml:space="preserve"> requirements modified (same intent, changed wording or scope)</w:t>
      </w:r>
    </w:p>
    <w:p/>
    <w:p>
      <w:r>
        <w:rPr>
          <w:sz w:val="22"/>
        </w:rPr>
        <w:t xml:space="preserve">Of these, </w:t>
      </w:r>
      <w:r>
        <w:rPr>
          <w:b/>
        </w:rPr>
        <w:t>2,741</w:t>
      </w:r>
      <w:r>
        <w:t xml:space="preserve"> were graded critical or high severity. </w:t>
      </w:r>
      <w:r>
        <w:rPr>
          <w:b/>
        </w:rPr>
        <w:t>This briefing focuses on the 185 most material changes</w:t>
      </w:r>
      <w:r>
        <w:t xml:space="preserve"> — those that move bid economics, risk allocation, or scope obligations. The remaining changes (largely individual technical specification updates, XML field formats, and routine wording shifts) are itemized in the underlying compliance matrix and are not reproduced here.</w:t>
      </w:r>
    </w:p>
    <w:p/>
    <w:p>
      <w:pPr>
        <w:pStyle w:val="Heading2"/>
      </w:pPr>
      <w:r>
        <w:t>Material Changes by Theme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Theme</w:t>
            </w:r>
          </w:p>
        </w:tc>
        <w:tc>
          <w:tcPr>
            <w:tcW w:type="dxa" w:w="4320"/>
          </w:tcPr>
          <w:p>
            <w:r>
              <w:rPr>
                <w:b/>
              </w:rPr>
              <w:t>Material Changes</w:t>
            </w:r>
          </w:p>
        </w:tc>
      </w:tr>
      <w:tr>
        <w:tc>
          <w:tcPr>
            <w:tcW w:type="dxa" w:w="4320"/>
          </w:tcPr>
          <w:p>
            <w:r>
              <w:t>Critical-Severity Changes (procedural &amp; structural)</w:t>
            </w:r>
          </w:p>
        </w:tc>
        <w:tc>
          <w:tcPr>
            <w:tcW w:type="dxa" w:w="4320"/>
          </w:tcPr>
          <w:p>
            <w:r>
              <w:t>39</w:t>
            </w:r>
          </w:p>
        </w:tc>
      </w:tr>
      <w:tr>
        <w:tc>
          <w:tcPr>
            <w:tcW w:type="dxa" w:w="4320"/>
          </w:tcPr>
          <w:p>
            <w:r>
              <w:t>Liquidated Damages &amp; SLA Penalties</w:t>
            </w:r>
          </w:p>
        </w:tc>
        <w:tc>
          <w:tcPr>
            <w:tcW w:type="dxa" w:w="4320"/>
          </w:tcPr>
          <w:p>
            <w:r>
              <w:t>48</w:t>
            </w:r>
          </w:p>
        </w:tc>
      </w:tr>
      <w:tr>
        <w:tc>
          <w:tcPr>
            <w:tcW w:type="dxa" w:w="4320"/>
          </w:tcPr>
          <w:p>
            <w:r>
              <w:t>Liability Caps</w:t>
            </w:r>
          </w:p>
        </w:tc>
        <w:tc>
          <w:tcPr>
            <w:tcW w:type="dxa" w:w="4320"/>
          </w:tcPr>
          <w:p>
            <w:r>
              <w:t>20</w:t>
            </w:r>
          </w:p>
        </w:tc>
      </w:tr>
      <w:tr>
        <w:tc>
          <w:tcPr>
            <w:tcW w:type="dxa" w:w="4320"/>
          </w:tcPr>
          <w:p>
            <w:r>
              <w:t>Indemnification &amp; Risk Allocation</w:t>
            </w:r>
          </w:p>
        </w:tc>
        <w:tc>
          <w:tcPr>
            <w:tcW w:type="dxa" w:w="4320"/>
          </w:tcPr>
          <w:p>
            <w:r>
              <w:t>39</w:t>
            </w:r>
          </w:p>
        </w:tc>
      </w:tr>
      <w:tr>
        <w:tc>
          <w:tcPr>
            <w:tcW w:type="dxa" w:w="4320"/>
          </w:tcPr>
          <w:p>
            <w:r>
              <w:t>Capital Repairs Scope</w:t>
            </w:r>
          </w:p>
        </w:tc>
        <w:tc>
          <w:tcPr>
            <w:tcW w:type="dxa" w:w="4320"/>
          </w:tcPr>
          <w:p>
            <w:r>
              <w:t>12</w:t>
            </w:r>
          </w:p>
        </w:tc>
      </w:tr>
      <w:tr>
        <w:tc>
          <w:tcPr>
            <w:tcW w:type="dxa" w:w="4320"/>
          </w:tcPr>
          <w:p>
            <w:r>
              <w:t>Technology / Hardware Refresh</w:t>
            </w:r>
          </w:p>
        </w:tc>
        <w:tc>
          <w:tcPr>
            <w:tcW w:type="dxa" w:w="4320"/>
          </w:tcPr>
          <w:p>
            <w:r>
              <w:t>5</w:t>
            </w:r>
          </w:p>
        </w:tc>
      </w:tr>
      <w:tr>
        <w:tc>
          <w:tcPr>
            <w:tcW w:type="dxa" w:w="4320"/>
          </w:tcPr>
          <w:p>
            <w:r>
              <w:t>Cover-Purchase / Exclusive Remedy</w:t>
            </w:r>
          </w:p>
        </w:tc>
        <w:tc>
          <w:tcPr>
            <w:tcW w:type="dxa" w:w="4320"/>
          </w:tcPr>
          <w:p>
            <w:r>
              <w:t>1</w:t>
            </w:r>
          </w:p>
        </w:tc>
      </w:tr>
      <w:tr>
        <w:tc>
          <w:tcPr>
            <w:tcW w:type="dxa" w:w="4320"/>
          </w:tcPr>
          <w:p>
            <w:r>
              <w:t>Bonds &amp; Performance Security</w:t>
            </w:r>
          </w:p>
        </w:tc>
        <w:tc>
          <w:tcPr>
            <w:tcW w:type="dxa" w:w="4320"/>
          </w:tcPr>
          <w:p>
            <w:r>
              <w:t>10</w:t>
            </w:r>
          </w:p>
        </w:tc>
      </w:tr>
      <w:tr>
        <w:tc>
          <w:tcPr>
            <w:tcW w:type="dxa" w:w="4320"/>
          </w:tcPr>
          <w:p>
            <w:r>
              <w:t>Force Majeure</w:t>
            </w:r>
          </w:p>
        </w:tc>
        <w:tc>
          <w:tcPr>
            <w:tcW w:type="dxa" w:w="4320"/>
          </w:tcPr>
          <w:p>
            <w:r>
              <w:t>1</w:t>
            </w:r>
          </w:p>
        </w:tc>
      </w:tr>
      <w:tr>
        <w:tc>
          <w:tcPr>
            <w:tcW w:type="dxa" w:w="4320"/>
          </w:tcPr>
          <w:p>
            <w:r>
              <w:t>Term &amp; Deadline Changes</w:t>
            </w:r>
          </w:p>
        </w:tc>
        <w:tc>
          <w:tcPr>
            <w:tcW w:type="dxa" w:w="4320"/>
          </w:tcPr>
          <w:p>
            <w:r>
              <w:t>10</w:t>
            </w:r>
          </w:p>
        </w:tc>
      </w:tr>
    </w:tbl>
    <w:p>
      <w:r>
        <w:br w:type="page"/>
      </w:r>
    </w:p>
    <w:p>
      <w:pPr>
        <w:pStyle w:val="Heading1"/>
      </w:pPr>
      <w:r>
        <w:t>Critical-Severity Changes (procedural &amp; structural)</w:t>
      </w:r>
    </w:p>
    <w:p>
      <w:r>
        <w:rPr>
          <w:i/>
        </w:rPr>
        <w:t>39 material changes in this theme.</w:t>
      </w:r>
    </w:p>
    <w:p>
      <w:pPr>
        <w:pStyle w:val="Heading3"/>
      </w:pPr>
      <w:r>
        <w:t>[CHANGED] §2.4 — Attend Mandatory Site Visit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1.3.4</w:t>
            </w:r>
          </w:p>
        </w:tc>
        <w:tc>
          <w:tcPr>
            <w:tcW w:type="dxa" w:w="2880"/>
          </w:tcPr>
          <w:p>
            <w:r>
              <w:t>1</w:t>
            </w:r>
          </w:p>
        </w:tc>
      </w:tr>
      <w:tr>
        <w:tc>
          <w:tcPr>
            <w:tcW w:type="dxa" w:w="2880"/>
          </w:tcPr>
          <w:p>
            <w:r>
              <w:rPr>
                <w:b/>
              </w:rPr>
              <w:t>2026 RFP</w:t>
            </w:r>
          </w:p>
        </w:tc>
        <w:tc>
          <w:tcPr>
            <w:tcW w:type="dxa" w:w="2880"/>
          </w:tcPr>
          <w:p>
            <w:r>
              <w:t>2.4</w:t>
            </w:r>
          </w:p>
        </w:tc>
        <w:tc>
          <w:tcPr>
            <w:tcW w:type="dxa" w:w="2880"/>
          </w:tcPr>
          <w:p>
            <w:r>
              <w:t>1</w:t>
            </w:r>
          </w:p>
        </w:tc>
      </w:tr>
    </w:tbl>
    <w:p/>
    <w:p>
      <w:r>
        <w:rPr>
          <w:b/>
        </w:rPr>
        <w:t xml:space="preserve">What changed: </w:t>
      </w:r>
      <w:r>
        <w:t>Specific site visit date and time (May 9, 2026 1:00 PM) added to the mandatory site visit requirement.</w:t>
      </w:r>
    </w:p>
    <w:p>
      <w:r>
        <w:rPr>
          <w:b/>
          <w:color w:val="0066A0"/>
        </w:rPr>
        <w:t xml:space="preserve">Why it matters: </w:t>
      </w:r>
      <w:r>
        <w:t>The site visit is now scheduled for May 9, 2026 at 1:00 PM, converting an abstract mandatory requirement into a hard calendar commitment. Missing it likely disqualifies our bid, so attendance is a compliance gate that also affects pricing accuracy and scope assumptions. Capture should immediately assign and confirm an attendee, calendar the date, arrange logistics, and prepare site-walk questions.</w:t>
      </w:r>
    </w:p>
    <w:p>
      <w:r>
        <w:rPr>
          <w:i/>
        </w:rPr>
        <w:t xml:space="preserve">Severity: </w:t>
      </w:r>
      <w:r>
        <w:rPr>
          <w:b/>
          <w:color w:val="C62828"/>
        </w:rPr>
        <w:t>CRITICAL</w:t>
      </w:r>
      <w:r>
        <w:rPr>
          <w:i/>
        </w:rPr>
        <w:t xml:space="preserve">   |   Diff record: #6184</w:t>
      </w:r>
    </w:p>
    <w:p/>
    <w:p>
      <w:pPr>
        <w:pStyle w:val="Heading3"/>
      </w:pPr>
      <w:r>
        <w:t>[CHANGED] §3.14 — Describe approach and plans for Scope of Work in Technical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Technical Quote</w:t>
            </w:r>
          </w:p>
        </w:tc>
        <w:tc>
          <w:tcPr>
            <w:tcW w:type="dxa" w:w="2880"/>
          </w:tcPr>
          <w:p>
            <w:r>
              <w:t>1</w:t>
            </w:r>
          </w:p>
        </w:tc>
      </w:tr>
      <w:tr>
        <w:tc>
          <w:tcPr>
            <w:tcW w:type="dxa" w:w="2880"/>
          </w:tcPr>
          <w:p>
            <w:r>
              <w:rPr>
                <w:b/>
              </w:rPr>
              <w:t>2026 RFP</w:t>
            </w:r>
          </w:p>
        </w:tc>
        <w:tc>
          <w:tcPr>
            <w:tcW w:type="dxa" w:w="2880"/>
          </w:tcPr>
          <w:p>
            <w:r>
              <w:t>3.14</w:t>
            </w:r>
          </w:p>
        </w:tc>
        <w:tc>
          <w:tcPr>
            <w:tcW w:type="dxa" w:w="2880"/>
          </w:tcPr>
          <w:p>
            <w:r>
              <w:t>18</w:t>
            </w:r>
          </w:p>
        </w:tc>
      </w:tr>
    </w:tbl>
    <w:p/>
    <w:p>
      <w:r>
        <w:rPr>
          <w:b/>
        </w:rPr>
        <w:t xml:space="preserve">What changed: </w:t>
      </w:r>
      <w:r>
        <w:t>Target adds requirement to set forth understanding of Bid Solicitation requirements and approach to successfully complete the Contract, and raises priority to critical.</w:t>
      </w:r>
    </w:p>
    <w:p>
      <w:r>
        <w:rPr>
          <w:b/>
          <w:color w:val="0066A0"/>
        </w:rPr>
        <w:t xml:space="preserve">Why it matters: </w:t>
      </w:r>
      <w:r>
        <w:t>The new version expands the narrative obligation: beyond describing approach and plans, the Bidder must now explicitly demonstrate understanding of the Bid Solicitation's requirements and articulate how it will successfully complete the Contract. This raises evaluation risk—proposals that only describe execution steps without a clear requirements-understanding narrative could be marked non-responsive, especially given the elevated critical priority. Action: restructure the Technical Quote response to add a dedicated 'Understanding of Requirements' subsection and a 'Path to Successful Contract Completion' statement, and assign a capture lead to map each solicitation requirement to our approach.</w:t>
      </w:r>
    </w:p>
    <w:p>
      <w:r>
        <w:rPr>
          <w:i/>
        </w:rPr>
        <w:t xml:space="preserve">Severity: </w:t>
      </w:r>
      <w:r>
        <w:rPr>
          <w:b/>
          <w:color w:val="C62828"/>
        </w:rPr>
        <w:t>CRITICAL</w:t>
      </w:r>
      <w:r>
        <w:rPr>
          <w:i/>
        </w:rPr>
        <w:t xml:space="preserve">   |   Diff record: #6379</w:t>
      </w:r>
    </w:p>
    <w:p/>
    <w:p>
      <w:pPr>
        <w:pStyle w:val="Heading3"/>
      </w:pPr>
      <w:r>
        <w:t>[CHANGED] §4.2 — Deliver complete NGSystem at conclusion of Implementation Phase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Project Descriptions and Requirements</w:t>
            </w:r>
          </w:p>
        </w:tc>
        <w:tc>
          <w:tcPr>
            <w:tcW w:type="dxa" w:w="2880"/>
          </w:tcPr>
          <w:p>
            <w:r>
              <w:t>1</w:t>
            </w:r>
          </w:p>
        </w:tc>
      </w:tr>
      <w:tr>
        <w:tc>
          <w:tcPr>
            <w:tcW w:type="dxa" w:w="2880"/>
          </w:tcPr>
          <w:p>
            <w:r>
              <w:rPr>
                <w:b/>
              </w:rPr>
              <w:t>2026 RFP</w:t>
            </w:r>
          </w:p>
        </w:tc>
        <w:tc>
          <w:tcPr>
            <w:tcW w:type="dxa" w:w="2880"/>
          </w:tcPr>
          <w:p>
            <w:r>
              <w:t>4.2</w:t>
            </w:r>
          </w:p>
        </w:tc>
        <w:tc>
          <w:tcPr>
            <w:tcW w:type="dxa" w:w="2880"/>
          </w:tcPr>
          <w:p>
            <w:r>
              <w:t>24</w:t>
            </w:r>
          </w:p>
        </w:tc>
      </w:tr>
    </w:tbl>
    <w:p/>
    <w:p>
      <w:r>
        <w:rPr>
          <w:b/>
        </w:rPr>
        <w:t xml:space="preserve">What changed: </w:t>
      </w:r>
      <w:r>
        <w:t>Deliverable changed from NGVID to NGSystem.</w:t>
      </w:r>
    </w:p>
    <w:p>
      <w:r>
        <w:rPr>
          <w:b/>
          <w:color w:val="0066A0"/>
        </w:rPr>
        <w:t xml:space="preserve">Why it matters: </w:t>
      </w:r>
      <w:r>
        <w:t>The deliverable scope expanded from NGVID (a single component) to NGSystem (the full integrated solution), broadening what must be complete and functional at end of Implementation. This materially affects pricing, scope, integration testing, and acceptance criteria, and may increase staffing and schedule risk if our prior estimates were sized to NGVID only. Action: re-baseline scope, cost, and schedule against the full NGSystem definition, and confirm acceptance criteria and dependencies with solution architects before pricing lock.</w:t>
      </w:r>
    </w:p>
    <w:p>
      <w:r>
        <w:rPr>
          <w:i/>
        </w:rPr>
        <w:t xml:space="preserve">Severity: </w:t>
      </w:r>
      <w:r>
        <w:rPr>
          <w:b/>
          <w:color w:val="C62828"/>
        </w:rPr>
        <w:t>CRITICAL</w:t>
      </w:r>
      <w:r>
        <w:rPr>
          <w:i/>
        </w:rPr>
        <w:t xml:space="preserve">   |   Diff record: #6201</w:t>
      </w:r>
    </w:p>
    <w:p/>
    <w:p>
      <w:pPr>
        <w:pStyle w:val="Heading3"/>
      </w:pPr>
      <w:r>
        <w:t>[CHANGED] §4.2 — Provide new NGWorkstations and software/maintenance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w:t>
            </w:r>
          </w:p>
        </w:tc>
        <w:tc>
          <w:tcPr>
            <w:tcW w:type="dxa" w:w="2880"/>
          </w:tcPr>
          <w:p>
            <w:r>
              <w:t>1</w:t>
            </w:r>
          </w:p>
        </w:tc>
      </w:tr>
      <w:tr>
        <w:tc>
          <w:tcPr>
            <w:tcW w:type="dxa" w:w="2880"/>
          </w:tcPr>
          <w:p>
            <w:r>
              <w:rPr>
                <w:b/>
              </w:rPr>
              <w:t>2026 RFP</w:t>
            </w:r>
          </w:p>
        </w:tc>
        <w:tc>
          <w:tcPr>
            <w:tcW w:type="dxa" w:w="2880"/>
          </w:tcPr>
          <w:p>
            <w:r>
              <w:t>4.2</w:t>
            </w:r>
          </w:p>
        </w:tc>
        <w:tc>
          <w:tcPr>
            <w:tcW w:type="dxa" w:w="2880"/>
          </w:tcPr>
          <w:p>
            <w:r>
              <w:t>24</w:t>
            </w:r>
          </w:p>
        </w:tc>
      </w:tr>
    </w:tbl>
    <w:p/>
    <w:p>
      <w:r>
        <w:rPr>
          <w:b/>
        </w:rPr>
        <w:t xml:space="preserve">What changed: </w:t>
      </w:r>
      <w:r>
        <w:t>Workstations changed to NGWorkstations and priority raised from high to critical.</w:t>
      </w:r>
    </w:p>
    <w:p>
      <w:r>
        <w:rPr>
          <w:b/>
          <w:color w:val="0066A0"/>
        </w:rPr>
        <w:t xml:space="preserve">Why it matters: </w:t>
      </w:r>
      <w:r>
        <w:t>The requirement now mandates NGWorkstations (next-gen) rather than generic new workstations, and has been elevated to critical priority with a renumbered section (4.2). This directly affects hardware BOM, unit pricing, supply chain lead times, and likely compliance/certification for the NG platform—margins and delivery schedules must be re-baselined. Action: confirm NGWorkstation specs with the customer, re-quote with qualified OEMs, and validate maintenance/support coverage and staffing skills against the new platform.</w:t>
      </w:r>
    </w:p>
    <w:p>
      <w:r>
        <w:rPr>
          <w:i/>
        </w:rPr>
        <w:t xml:space="preserve">Severity: </w:t>
      </w:r>
      <w:r>
        <w:rPr>
          <w:b/>
          <w:color w:val="C62828"/>
        </w:rPr>
        <w:t>CRITICAL</w:t>
      </w:r>
      <w:r>
        <w:rPr>
          <w:i/>
        </w:rPr>
        <w:t xml:space="preserve">   |   Diff record: #6308</w:t>
      </w:r>
    </w:p>
    <w:p/>
    <w:p>
      <w:pPr>
        <w:pStyle w:val="Heading3"/>
      </w:pPr>
      <w:r>
        <w:t>[CHANGED] §4.20.8.3.C — Transmit inspection results to NGVID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3.x</w:t>
            </w:r>
          </w:p>
        </w:tc>
        <w:tc>
          <w:tcPr>
            <w:tcW w:type="dxa" w:w="2880"/>
          </w:tcPr>
          <w:p>
            <w:r>
              <w:t>1</w:t>
            </w:r>
          </w:p>
        </w:tc>
      </w:tr>
      <w:tr>
        <w:tc>
          <w:tcPr>
            <w:tcW w:type="dxa" w:w="2880"/>
          </w:tcPr>
          <w:p>
            <w:r>
              <w:rPr>
                <w:b/>
              </w:rPr>
              <w:t>2026 RFP</w:t>
            </w:r>
          </w:p>
        </w:tc>
        <w:tc>
          <w:tcPr>
            <w:tcW w:type="dxa" w:w="2880"/>
          </w:tcPr>
          <w:p>
            <w:r>
              <w:t>4.20.8.3.C</w:t>
            </w:r>
          </w:p>
        </w:tc>
        <w:tc>
          <w:tcPr>
            <w:tcW w:type="dxa" w:w="2880"/>
          </w:tcPr>
          <w:p>
            <w:r>
              <w:t>57</w:t>
            </w:r>
          </w:p>
        </w:tc>
      </w:tr>
    </w:tbl>
    <w:p/>
    <w:p>
      <w:r>
        <w:rPr>
          <w:b/>
        </w:rPr>
        <w:t xml:space="preserve">What changed: </w:t>
      </w:r>
      <w:r>
        <w:t>Shifted from a direct obligation to transmit results to a capability requirement that results be able to be transmitted/sent, and priority raised from high to critical.</w:t>
      </w:r>
    </w:p>
    <w:p>
      <w:r>
        <w:rPr>
          <w:b/>
          <w:color w:val="0066A0"/>
        </w:rPr>
        <w:t xml:space="preserve">Why it matters: </w:t>
      </w:r>
      <w:r>
        <w:t>The obligation shifted from actually transmitting inspection results to NGVID and MVC/OIT to providing the capability for results to be transmitted/sent, while priority jumped to critical. This reframes the scope as an interface/integration readiness deliverable (design, test, and certify the transmission paths) rather than an operational data flow, which affects pricing for integration engineering, test artifacts, and compliance evidence. Action: have the integration architect confirm NGVID and MVC/OIT interface specs, size the build/test effort, and ensure our compliance matrix language mirrors the 'able to be transmitted' capability standard.</w:t>
      </w:r>
    </w:p>
    <w:p>
      <w:r>
        <w:rPr>
          <w:i/>
        </w:rPr>
        <w:t xml:space="preserve">Severity: </w:t>
      </w:r>
      <w:r>
        <w:rPr>
          <w:b/>
          <w:color w:val="C62828"/>
        </w:rPr>
        <w:t>CRITICAL</w:t>
      </w:r>
      <w:r>
        <w:rPr>
          <w:i/>
        </w:rPr>
        <w:t xml:space="preserve">   |   Diff record: #6064</w:t>
      </w:r>
    </w:p>
    <w:p/>
    <w:p>
      <w:pPr>
        <w:pStyle w:val="Heading3"/>
      </w:pPr>
      <w:r>
        <w:t>[CHANGED] §4.9 — Current inventory of inspection facilities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Inspection Facilities</w:t>
            </w:r>
          </w:p>
        </w:tc>
        <w:tc>
          <w:tcPr>
            <w:tcW w:type="dxa" w:w="2880"/>
          </w:tcPr>
          <w:p>
            <w:r>
              <w:t>1</w:t>
            </w:r>
          </w:p>
        </w:tc>
      </w:tr>
      <w:tr>
        <w:tc>
          <w:tcPr>
            <w:tcW w:type="dxa" w:w="2880"/>
          </w:tcPr>
          <w:p>
            <w:r>
              <w:rPr>
                <w:b/>
              </w:rPr>
              <w:t>2026 RFP</w:t>
            </w:r>
          </w:p>
        </w:tc>
        <w:tc>
          <w:tcPr>
            <w:tcW w:type="dxa" w:w="2880"/>
          </w:tcPr>
          <w:p>
            <w:r>
              <w:t>4.9</w:t>
            </w:r>
          </w:p>
        </w:tc>
        <w:tc>
          <w:tcPr>
            <w:tcW w:type="dxa" w:w="2880"/>
          </w:tcPr>
          <w:p>
            <w:r>
              <w:t>31</w:t>
            </w:r>
          </w:p>
        </w:tc>
      </w:tr>
    </w:tbl>
    <w:p/>
    <w:p>
      <w:r>
        <w:rPr>
          <w:b/>
        </w:rPr>
        <w:t xml:space="preserve">What changed: </w:t>
      </w:r>
      <w:r>
        <w:t>Inventory counts updated: CIFs 25→424, SIFs 3→4, PIFs 1173→1003, PFFs 110→131, and diesel opacity-meter PIFs/PFFs 300→270.</w:t>
      </w:r>
    </w:p>
    <w:p>
      <w:r>
        <w:rPr>
          <w:b/>
          <w:color w:val="0066A0"/>
        </w:rPr>
        <w:t xml:space="preserve">Why it matters: </w:t>
      </w:r>
      <w:r>
        <w:t>CIF count jumped from ~25 to ~424 (a 17x increase), with smaller shifts in SIFs (+1), PIFs (-170), PFFs (+21), and diesel opacity units (-30). The CIF surge materially expands the field footprint we must support — driving equipment provisioning, installation/replacement logistics, help desk volume, training, and travel costs — and will significantly affect pricing and staffing assumptions. Pricing, operations, and deployment leads should rebuild unit-based cost models and rollout schedules against the new counts and confirm the CIF figure with the State during Q&amp;A.</w:t>
      </w:r>
    </w:p>
    <w:p>
      <w:r>
        <w:rPr>
          <w:i/>
        </w:rPr>
        <w:t xml:space="preserve">Severity: </w:t>
      </w:r>
      <w:r>
        <w:rPr>
          <w:b/>
          <w:color w:val="C62828"/>
        </w:rPr>
        <w:t>CRITICAL</w:t>
      </w:r>
      <w:r>
        <w:rPr>
          <w:i/>
        </w:rPr>
        <w:t xml:space="preserve">   |   Diff record: #6403</w:t>
      </w:r>
    </w:p>
    <w:p/>
    <w:p>
      <w:pPr>
        <w:pStyle w:val="Heading3"/>
      </w:pPr>
      <w:r>
        <w:t>[ADDED] §1 — Submit Quotes through NJSTART eProcurement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1</w:t>
            </w:r>
          </w:p>
        </w:tc>
        <w:tc>
          <w:tcPr>
            <w:tcW w:type="dxa" w:w="2880"/>
          </w:tcPr>
          <w:p>
            <w:r>
              <w:t>8</w:t>
            </w:r>
          </w:p>
        </w:tc>
      </w:tr>
    </w:tbl>
    <w:p/>
    <w:p>
      <w:r>
        <w:rPr>
          <w:b/>
        </w:rPr>
        <w:t xml:space="preserve">What changed: </w:t>
      </w:r>
      <w:r>
        <w:t>NEW requirement in 2026 not present in the 2021 baseline.</w:t>
      </w:r>
    </w:p>
    <w:p>
      <w:r>
        <w:rPr>
          <w:b/>
          <w:color w:val="0066A0"/>
        </w:rPr>
        <w:t xml:space="preserve">Why it matters: </w:t>
      </w:r>
      <w:r>
        <w:t>Quotes must now be submitted exclusively through New Jersey's NJSTART eProcurement portal, meaning any offline or email submission will be rejected as non-responsive. The capture team must immediately verify our NJSTART vendor registration is active, confirm authorized submitter access, and rehearse the upload workflow well before the deadline.</w:t>
      </w:r>
    </w:p>
    <w:p>
      <w:r>
        <w:rPr>
          <w:i/>
        </w:rPr>
        <w:t xml:space="preserve">Severity: </w:t>
      </w:r>
      <w:r>
        <w:rPr>
          <w:b/>
          <w:color w:val="C62828"/>
        </w:rPr>
        <w:t>CRITICAL</w:t>
      </w:r>
      <w:r>
        <w:rPr>
          <w:i/>
        </w:rPr>
        <w:t xml:space="preserve">   |   Diff record: #8701</w:t>
      </w:r>
    </w:p>
    <w:p/>
    <w:p>
      <w:pPr>
        <w:pStyle w:val="Heading3"/>
      </w:pPr>
      <w:r>
        <w:t>[ADDED] §1.1 — Small Business Subcontracting Set Aside classification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1.1</w:t>
            </w:r>
          </w:p>
        </w:tc>
        <w:tc>
          <w:tcPr>
            <w:tcW w:type="dxa" w:w="2880"/>
          </w:tcPr>
          <w:p>
            <w:r>
              <w:t>8</w:t>
            </w:r>
          </w:p>
        </w:tc>
      </w:tr>
    </w:tbl>
    <w:p/>
    <w:p>
      <w:r>
        <w:rPr>
          <w:b/>
        </w:rPr>
        <w:t xml:space="preserve">What changed: </w:t>
      </w:r>
      <w:r>
        <w:t>NEW requirement in 2026 not present in the 2021 baseline.</w:t>
      </w:r>
    </w:p>
    <w:p>
      <w:r>
        <w:rPr>
          <w:b/>
          <w:color w:val="0066A0"/>
        </w:rPr>
        <w:t xml:space="preserve">Why it matters: </w:t>
      </w:r>
      <w:r>
        <w:t>This solicitation is now a Small Business Subcontracting Set Aside, meaning we must meet specific small business subcontracting thresholds per Section 3.13.8.1 to be eligible for award. Capture and contracts should immediately review 3.13.8.1, confirm our small business certification status, and identify/secure qualifying subcontractors before proposal submission.</w:t>
      </w:r>
    </w:p>
    <w:p>
      <w:r>
        <w:rPr>
          <w:i/>
        </w:rPr>
        <w:t xml:space="preserve">Severity: </w:t>
      </w:r>
      <w:r>
        <w:rPr>
          <w:b/>
          <w:color w:val="C62828"/>
        </w:rPr>
        <w:t>CRITICAL</w:t>
      </w:r>
      <w:r>
        <w:rPr>
          <w:i/>
        </w:rPr>
        <w:t xml:space="preserve">   |   Diff record: #8409</w:t>
      </w:r>
    </w:p>
    <w:p/>
    <w:p>
      <w:pPr>
        <w:pStyle w:val="Heading3"/>
      </w:pPr>
      <w:r>
        <w:t>[ADDED] §2.1 — Maintain Valid Business Registration Certificate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2.1</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gating requirement means our proposal will be deemed non-responsive unless we and every named subcontractor have a valid NJ Business Registration Certificate on file with DORES at submission. Action: immediately verify our BRC status, collect current BRCs from all proposed subcontractors, and include copies in the proposal package.</w:t>
      </w:r>
    </w:p>
    <w:p>
      <w:r>
        <w:rPr>
          <w:i/>
        </w:rPr>
        <w:t xml:space="preserve">Severity: </w:t>
      </w:r>
      <w:r>
        <w:rPr>
          <w:b/>
          <w:color w:val="C62828"/>
        </w:rPr>
        <w:t>CRITICAL</w:t>
      </w:r>
      <w:r>
        <w:rPr>
          <w:i/>
        </w:rPr>
        <w:t xml:space="preserve">   |   Diff record: #8121</w:t>
      </w:r>
    </w:p>
    <w:p/>
    <w:p>
      <w:pPr>
        <w:pStyle w:val="Heading3"/>
      </w:pPr>
      <w:r>
        <w:t>[ADDED] §2.2 — Submit Ownership Disclosure Form with Proposal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2.2</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mandatory submission requirement makes our bid automatically ineligible for award if the Ownership Disclosure Form is missing or unsigned at submission. Compliance team must obtain, complete, and sign the current form immediately and add it to the proposal package checklist as a gating item before submission.</w:t>
      </w:r>
    </w:p>
    <w:p>
      <w:r>
        <w:rPr>
          <w:i/>
        </w:rPr>
        <w:t xml:space="preserve">Severity: </w:t>
      </w:r>
      <w:r>
        <w:rPr>
          <w:b/>
          <w:color w:val="C62828"/>
        </w:rPr>
        <w:t>CRITICAL</w:t>
      </w:r>
      <w:r>
        <w:rPr>
          <w:i/>
        </w:rPr>
        <w:t xml:space="preserve">   |   Diff record: #7984</w:t>
      </w:r>
    </w:p>
    <w:p/>
    <w:p>
      <w:pPr>
        <w:pStyle w:val="Heading3"/>
      </w:pPr>
      <w:r>
        <w:t>[ADDED] §2.4 — Attend Mandatory Site Visit at all four sites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2.4</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Attendance at all four site visits is now a mandatory bid prerequisite—missing any one site likely renders our proposal non-responsive. Capture must immediately confirm dates/locations, register attendees for every site, and arrange travel/coverage to ensure full attendance.</w:t>
      </w:r>
    </w:p>
    <w:p>
      <w:r>
        <w:rPr>
          <w:i/>
        </w:rPr>
        <w:t xml:space="preserve">Severity: </w:t>
      </w:r>
      <w:r>
        <w:rPr>
          <w:b/>
          <w:color w:val="C62828"/>
        </w:rPr>
        <w:t>CRITICAL</w:t>
      </w:r>
      <w:r>
        <w:rPr>
          <w:i/>
        </w:rPr>
        <w:t xml:space="preserve">   |   Diff record: #7961</w:t>
      </w:r>
    </w:p>
    <w:p/>
    <w:p>
      <w:pPr>
        <w:pStyle w:val="Heading3"/>
      </w:pPr>
      <w:r>
        <w:t>[ADDED] §2.4 — Attend Bakers Basin site visit on May 9, 2026 at 1:00 PM 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2.4</w:t>
            </w:r>
          </w:p>
        </w:tc>
        <w:tc>
          <w:tcPr>
            <w:tcW w:type="dxa" w:w="2880"/>
          </w:tcPr>
          <w:p>
            <w:r>
              <w:t>12</w:t>
            </w:r>
          </w:p>
        </w:tc>
      </w:tr>
    </w:tbl>
    <w:p/>
    <w:p>
      <w:r>
        <w:rPr>
          <w:b/>
        </w:rPr>
        <w:t xml:space="preserve">What changed: </w:t>
      </w:r>
      <w:r>
        <w:t>NEW requirement in 2026 not present in the 2021 baseline.</w:t>
      </w:r>
    </w:p>
    <w:p>
      <w:r>
        <w:rPr>
          <w:b/>
          <w:color w:val="0066A0"/>
        </w:rPr>
        <w:t xml:space="preserve">Why it matters: </w:t>
      </w:r>
      <w:r>
        <w:t>A new mandatory site visit on Saturday, May 9, 2026 at 1:00 PM ET at the Bakers Basin Inspection Facility has been added; missing it likely disqualifies our proposal and prevents us from gathering site-specific details needed for accurate scoping and pricing. Capture lead must immediately register attendees, book travel, and assign a technical SME to attend and document observations.</w:t>
      </w:r>
    </w:p>
    <w:p>
      <w:r>
        <w:rPr>
          <w:i/>
        </w:rPr>
        <w:t xml:space="preserve">Severity: </w:t>
      </w:r>
      <w:r>
        <w:rPr>
          <w:b/>
          <w:color w:val="C62828"/>
        </w:rPr>
        <w:t>CRITICAL</w:t>
      </w:r>
      <w:r>
        <w:rPr>
          <w:i/>
        </w:rPr>
        <w:t xml:space="preserve">   |   Diff record: #8737</w:t>
      </w:r>
    </w:p>
    <w:p/>
    <w:p>
      <w:pPr>
        <w:pStyle w:val="Heading3"/>
      </w:pPr>
      <w:r>
        <w:t>[ADDED] §2.4 — Attend Eatontown site visit on May 9, 2026 at 6:15 PM 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2.4</w:t>
            </w:r>
          </w:p>
        </w:tc>
        <w:tc>
          <w:tcPr>
            <w:tcW w:type="dxa" w:w="2880"/>
          </w:tcPr>
          <w:p>
            <w:r>
              <w:t>12</w:t>
            </w:r>
          </w:p>
        </w:tc>
      </w:tr>
    </w:tbl>
    <w:p/>
    <w:p>
      <w:r>
        <w:rPr>
          <w:b/>
        </w:rPr>
        <w:t xml:space="preserve">What changed: </w:t>
      </w:r>
      <w:r>
        <w:t>NEW requirement in 2026 not present in the 2021 baseline.</w:t>
      </w:r>
    </w:p>
    <w:p>
      <w:r>
        <w:rPr>
          <w:b/>
          <w:color w:val="0066A0"/>
        </w:rPr>
        <w:t xml:space="preserve">Why it matters: </w:t>
      </w:r>
      <w:r>
        <w:t>This new mandatory site visit at the Eatontown SIF on Saturday, May 9, 2026 at 6:15 PM ET is likely a precondition for bid eligibility, and missing it could disqualify our proposal. Action: immediately register attendees, book travel/lodging for NJ, and assign a capture lead plus technical SME to attend, document site conditions, and capture Q&amp;A.</w:t>
      </w:r>
    </w:p>
    <w:p>
      <w:r>
        <w:rPr>
          <w:i/>
        </w:rPr>
        <w:t xml:space="preserve">Severity: </w:t>
      </w:r>
      <w:r>
        <w:rPr>
          <w:b/>
          <w:color w:val="C62828"/>
        </w:rPr>
        <w:t>CRITICAL</w:t>
      </w:r>
      <w:r>
        <w:rPr>
          <w:i/>
        </w:rPr>
        <w:t xml:space="preserve">   |   Diff record: #8818</w:t>
      </w:r>
    </w:p>
    <w:p/>
    <w:p>
      <w:pPr>
        <w:pStyle w:val="Heading3"/>
      </w:pPr>
      <w:r>
        <w:t>[ADDED] §2.4 — Attend Flemington site visit on May 9, 2026 at 2:30 PM 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2.4</w:t>
            </w:r>
          </w:p>
        </w:tc>
        <w:tc>
          <w:tcPr>
            <w:tcW w:type="dxa" w:w="2880"/>
          </w:tcPr>
          <w:p>
            <w:r>
              <w:t>12</w:t>
            </w:r>
          </w:p>
        </w:tc>
      </w:tr>
    </w:tbl>
    <w:p/>
    <w:p>
      <w:r>
        <w:rPr>
          <w:b/>
        </w:rPr>
        <w:t xml:space="preserve">What changed: </w:t>
      </w:r>
      <w:r>
        <w:t>NEW requirement in 2026 not present in the 2021 baseline.</w:t>
      </w:r>
    </w:p>
    <w:p>
      <w:r>
        <w:rPr>
          <w:b/>
          <w:color w:val="0066A0"/>
        </w:rPr>
        <w:t xml:space="preserve">Why it matters: </w:t>
      </w:r>
      <w:r>
        <w:t>A mandatory site visit at the Flemington Inspection Facility on Saturday, May 9, 2026 at 2:30 PM ET has been added; missing it could disqualify our bid or leave us without firsthand knowledge of the 1978 3-lane station's conditions. Capture should immediately register an attendee, book travel, and prepare site-walk questions to inform pricing and technical approach.</w:t>
      </w:r>
    </w:p>
    <w:p>
      <w:r>
        <w:rPr>
          <w:i/>
        </w:rPr>
        <w:t xml:space="preserve">Severity: </w:t>
      </w:r>
      <w:r>
        <w:rPr>
          <w:b/>
          <w:color w:val="C62828"/>
        </w:rPr>
        <w:t>CRITICAL</w:t>
      </w:r>
      <w:r>
        <w:rPr>
          <w:i/>
        </w:rPr>
        <w:t xml:space="preserve">   |   Diff record: #9170</w:t>
      </w:r>
    </w:p>
    <w:p/>
    <w:p>
      <w:pPr>
        <w:pStyle w:val="Heading3"/>
      </w:pPr>
      <w:r>
        <w:t>[ADDED] §2.4 — Attend Washington site visit on May 9, 2026 at 4:00 PM 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2.4</w:t>
            </w:r>
          </w:p>
        </w:tc>
        <w:tc>
          <w:tcPr>
            <w:tcW w:type="dxa" w:w="2880"/>
          </w:tcPr>
          <w:p>
            <w:r>
              <w:t>12</w:t>
            </w:r>
          </w:p>
        </w:tc>
      </w:tr>
    </w:tbl>
    <w:p/>
    <w:p>
      <w:r>
        <w:rPr>
          <w:b/>
        </w:rPr>
        <w:t xml:space="preserve">What changed: </w:t>
      </w:r>
      <w:r>
        <w:t>NEW requirement in 2026 not present in the 2021 baseline.</w:t>
      </w:r>
    </w:p>
    <w:p>
      <w:r>
        <w:rPr>
          <w:b/>
          <w:color w:val="0066A0"/>
        </w:rPr>
        <w:t xml:space="preserve">Why it matters: </w:t>
      </w:r>
      <w:r>
        <w:t>A mandatory site visit at the Washington Inspection Facility on Saturday, May 9, 2026 at 4:00 PM ET has been added; missing it could disqualify our bid. Capture should immediately register attendees, book travel to Washington, NJ, and prepare site-specific questions to inform our technical approach and pricing.</w:t>
      </w:r>
    </w:p>
    <w:p>
      <w:r>
        <w:rPr>
          <w:i/>
        </w:rPr>
        <w:t xml:space="preserve">Severity: </w:t>
      </w:r>
      <w:r>
        <w:rPr>
          <w:b/>
          <w:color w:val="C62828"/>
        </w:rPr>
        <w:t>CRITICAL</w:t>
      </w:r>
      <w:r>
        <w:rPr>
          <w:i/>
        </w:rPr>
        <w:t xml:space="preserve">   |   Diff record: #9854</w:t>
      </w:r>
    </w:p>
    <w:p/>
    <w:p>
      <w:pPr>
        <w:pStyle w:val="Heading3"/>
      </w:pPr>
      <w:r>
        <w:t>[ADDED] §3.1 — Submit Quote electronically through NJSTART by the required date and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w:t>
            </w:r>
          </w:p>
        </w:tc>
        <w:tc>
          <w:tcPr>
            <w:tcW w:type="dxa" w:w="2880"/>
          </w:tcPr>
          <w:p>
            <w:r>
              <w:t>14</w:t>
            </w:r>
          </w:p>
        </w:tc>
      </w:tr>
    </w:tbl>
    <w:p/>
    <w:p>
      <w:r>
        <w:rPr>
          <w:b/>
        </w:rPr>
        <w:t xml:space="preserve">What changed: </w:t>
      </w:r>
      <w:r>
        <w:t>NEW requirement in 2026 not present in the 2021 baseline.</w:t>
      </w:r>
    </w:p>
    <w:p>
      <w:r>
        <w:rPr>
          <w:b/>
          <w:color w:val="0066A0"/>
        </w:rPr>
        <w:t xml:space="preserve">Why it matters: </w:t>
      </w:r>
      <w:r>
        <w:t>This new requirement makes electronic submission via NJSTART mandatory for award consideration—paper or email submissions will be disqualified. The team must ensure our NJSTART vendor account is active, registered, and tested well before the deadline, and the proposal manager should build buffer time for upload to avoid last-minute portal issues.</w:t>
      </w:r>
    </w:p>
    <w:p>
      <w:r>
        <w:rPr>
          <w:i/>
        </w:rPr>
        <w:t xml:space="preserve">Severity: </w:t>
      </w:r>
      <w:r>
        <w:rPr>
          <w:b/>
          <w:color w:val="C62828"/>
        </w:rPr>
        <w:t>CRITICAL</w:t>
      </w:r>
      <w:r>
        <w:rPr>
          <w:i/>
        </w:rPr>
        <w:t xml:space="preserve">   |   Diff record: #9596</w:t>
      </w:r>
    </w:p>
    <w:p/>
    <w:p>
      <w:pPr>
        <w:pStyle w:val="Heading3"/>
      </w:pPr>
      <w:r>
        <w:t>[ADDED] §3.11 — Remove Bidder additional terms that conflict with SSTC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3.11</w:t>
            </w:r>
          </w:p>
        </w:tc>
        <w:tc>
          <w:tcPr>
            <w:tcW w:type="dxa" w:w="2880"/>
          </w:tcPr>
          <w:p>
            <w:r>
              <w:t>15</w:t>
            </w:r>
          </w:p>
        </w:tc>
      </w:tr>
    </w:tbl>
    <w:p/>
    <w:p>
      <w:r>
        <w:rPr>
          <w:b/>
        </w:rPr>
        <w:t xml:space="preserve">What changed: </w:t>
      </w:r>
      <w:r>
        <w:t>NEW requirement in 2026 not present in the 2021 baseline.</w:t>
      </w:r>
    </w:p>
    <w:p>
      <w:r>
        <w:rPr>
          <w:b/>
          <w:color w:val="0066A0"/>
        </w:rPr>
        <w:t xml:space="preserve">Why it matters: </w:t>
      </w:r>
      <w:r>
        <w:t>This new clause makes any bidder-proposed terms that conflict with the NJ Standard Terms and Conditions an automatic non-responsiveness trigger, eliminating any opportunity to negotiate exceptions post-submission. Legal and proposal teams must scrub all our boilerplate, license terms, and assumptions/exceptions language against the SSTC and remove or reconcile conflicts before submission.</w:t>
      </w:r>
    </w:p>
    <w:p>
      <w:r>
        <w:rPr>
          <w:i/>
        </w:rPr>
        <w:t xml:space="preserve">Severity: </w:t>
      </w:r>
      <w:r>
        <w:rPr>
          <w:b/>
          <w:color w:val="C62828"/>
        </w:rPr>
        <w:t>CRITICAL</w:t>
      </w:r>
      <w:r>
        <w:rPr>
          <w:i/>
        </w:rPr>
        <w:t xml:space="preserve">   |   Diff record: #7902</w:t>
      </w:r>
    </w:p>
    <w:p/>
    <w:p>
      <w:pPr>
        <w:pStyle w:val="Heading3"/>
      </w:pPr>
      <w:r>
        <w:t>[ADDED] §3.13.2 — Failure to submit Ownership Disclosure information results in rejection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3.13.2</w:t>
            </w:r>
          </w:p>
        </w:tc>
        <w:tc>
          <w:tcPr>
            <w:tcW w:type="dxa" w:w="2880"/>
          </w:tcPr>
          <w:p>
            <w:r>
              <w:t>16</w:t>
            </w:r>
          </w:p>
        </w:tc>
      </w:tr>
    </w:tbl>
    <w:p/>
    <w:p>
      <w:r>
        <w:rPr>
          <w:b/>
        </w:rPr>
        <w:t xml:space="preserve">What changed: </w:t>
      </w:r>
      <w:r>
        <w:t>NEW requirement in 2026 not present in the 2021 baseline.</w:t>
      </w:r>
    </w:p>
    <w:p>
      <w:r>
        <w:rPr>
          <w:b/>
          <w:color w:val="0066A0"/>
        </w:rPr>
        <w:t xml:space="preserve">Why it matters: </w:t>
      </w:r>
      <w:r>
        <w:t>This newly added clause makes Ownership Disclosure submission a pass/fail responsiveness gate—omission triggers automatic rejection with no cure period, eliminating any chance of award. The capture team must confirm the N.J.S.A. 52:25-24.2 disclosure form is fully completed, signed, and included in the Quote package before submission, and add it to the final compliance checklist.</w:t>
      </w:r>
    </w:p>
    <w:p>
      <w:r>
        <w:rPr>
          <w:i/>
        </w:rPr>
        <w:t xml:space="preserve">Severity: </w:t>
      </w:r>
      <w:r>
        <w:rPr>
          <w:b/>
          <w:color w:val="C62828"/>
        </w:rPr>
        <w:t>CRITICAL</w:t>
      </w:r>
      <w:r>
        <w:rPr>
          <w:i/>
        </w:rPr>
        <w:t xml:space="preserve">   |   Diff record: #8305</w:t>
      </w:r>
    </w:p>
    <w:p/>
    <w:p>
      <w:pPr>
        <w:pStyle w:val="Heading3"/>
      </w:pPr>
      <w:r>
        <w:t>[ADDED] §3.13.8.1 — Contract is Small Business Subcontracting Set-Aside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3.13.8.1</w:t>
            </w:r>
          </w:p>
        </w:tc>
        <w:tc>
          <w:tcPr>
            <w:tcW w:type="dxa" w:w="2880"/>
          </w:tcPr>
          <w:p>
            <w:r>
              <w:t>18</w:t>
            </w:r>
          </w:p>
        </w:tc>
      </w:tr>
    </w:tbl>
    <w:p/>
    <w:p>
      <w:r>
        <w:rPr>
          <w:b/>
        </w:rPr>
        <w:t xml:space="preserve">What changed: </w:t>
      </w:r>
      <w:r>
        <w:t>NEW requirement in 2026 not present in the 2021 baseline.</w:t>
      </w:r>
    </w:p>
    <w:p>
      <w:r>
        <w:rPr>
          <w:b/>
          <w:color w:val="0066A0"/>
        </w:rPr>
        <w:t xml:space="preserve">Why it matters: </w:t>
      </w:r>
      <w:r>
        <w:t>This new clause makes the contract a NJ Small Business subcontracting set-aside, requiring us to submit a Subcontractor Utilization Plan and document good-faith outreach to eligible NJ SBEs as part of our bid. Compliance team must immediately identify qualified NJ SBE subcontractors, draft the Utilization Plan, and capture solicitation evidence—failure to do so risks bid rejection.</w:t>
      </w:r>
    </w:p>
    <w:p>
      <w:r>
        <w:rPr>
          <w:i/>
        </w:rPr>
        <w:t xml:space="preserve">Severity: </w:t>
      </w:r>
      <w:r>
        <w:rPr>
          <w:b/>
          <w:color w:val="C62828"/>
        </w:rPr>
        <w:t>CRITICAL</w:t>
      </w:r>
      <w:r>
        <w:rPr>
          <w:i/>
        </w:rPr>
        <w:t xml:space="preserve">   |   Diff record: #8116</w:t>
      </w:r>
    </w:p>
    <w:p/>
    <w:p>
      <w:pPr>
        <w:pStyle w:val="Heading3"/>
      </w:pPr>
      <w:r>
        <w:t>[ADDED] §3.3 — Register under Public Works Contractor Registration 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3.3</w:t>
            </w:r>
          </w:p>
        </w:tc>
        <w:tc>
          <w:tcPr>
            <w:tcW w:type="dxa" w:w="2880"/>
          </w:tcPr>
          <w:p>
            <w:r>
              <w:t>5</w:t>
            </w:r>
          </w:p>
        </w:tc>
      </w:tr>
    </w:tbl>
    <w:p/>
    <w:p>
      <w:r>
        <w:rPr>
          <w:b/>
        </w:rPr>
        <w:t xml:space="preserve">What changed: </w:t>
      </w:r>
      <w:r>
        <w:t>NEW requirement in 2026 not present in the 2021 baseline.</w:t>
      </w:r>
    </w:p>
    <w:p>
      <w:r>
        <w:rPr>
          <w:b/>
          <w:color w:val="0066A0"/>
        </w:rPr>
        <w:t xml:space="preserve">Why it matters: </w:t>
      </w:r>
      <w:r>
        <w:t>All contractors and any tier of subcontractors must be registered under the NJ Public Works Contractor Registration Act before bid submission, or our proposal risks being deemed non-responsive. Action: immediately verify our NJDOL registration is current and collect valid registration certificates from every proposed sub and lower-tier sub before submission.</w:t>
      </w:r>
    </w:p>
    <w:p>
      <w:r>
        <w:rPr>
          <w:i/>
        </w:rPr>
        <w:t xml:space="preserve">Severity: </w:t>
      </w:r>
      <w:r>
        <w:rPr>
          <w:b/>
          <w:color w:val="C62828"/>
        </w:rPr>
        <w:t>CRITICAL</w:t>
      </w:r>
      <w:r>
        <w:rPr>
          <w:i/>
        </w:rPr>
        <w:t xml:space="preserve">   |   Diff record: #8256</w:t>
      </w:r>
    </w:p>
    <w:p/>
    <w:p>
      <w:pPr>
        <w:pStyle w:val="Heading3"/>
      </w:pPr>
      <w:r>
        <w:t>[ADDED] §3.8 — Small Business Set-Aside Contracts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3.8</w:t>
            </w:r>
          </w:p>
        </w:tc>
        <w:tc>
          <w:tcPr>
            <w:tcW w:type="dxa" w:w="2880"/>
          </w:tcPr>
          <w:p>
            <w:r>
              <w:t>2</w:t>
            </w:r>
          </w:p>
        </w:tc>
      </w:tr>
    </w:tbl>
    <w:p/>
    <w:p>
      <w:r>
        <w:rPr>
          <w:b/>
        </w:rPr>
        <w:t xml:space="preserve">What changed: </w:t>
      </w:r>
      <w:r>
        <w:t>NEW requirement in 2026 not present in the 2021 baseline.</w:t>
      </w:r>
    </w:p>
    <w:p>
      <w:r>
        <w:rPr>
          <w:b/>
          <w:color w:val="0066A0"/>
        </w:rPr>
        <w:t xml:space="preserve">Why it matters: </w:t>
      </w:r>
      <w:r>
        <w:t>A new Section 3.8 introduces Small Business Set-Aside requirements, which could restrict eligibility or mandate small business subcontracting commitments that directly affect our bid strategy and teaming approach. Capture and contracts should immediately confirm the set-aside designation, verify our size status or partner accordingly, and build a compliant subcontracting plan before proposal development proceeds.</w:t>
      </w:r>
    </w:p>
    <w:p>
      <w:r>
        <w:rPr>
          <w:i/>
        </w:rPr>
        <w:t xml:space="preserve">Severity: </w:t>
      </w:r>
      <w:r>
        <w:rPr>
          <w:b/>
          <w:color w:val="C62828"/>
        </w:rPr>
        <w:t>CRITICAL</w:t>
      </w:r>
      <w:r>
        <w:rPr>
          <w:i/>
        </w:rPr>
        <w:t xml:space="preserve">   |   Diff record: #7855</w:t>
      </w:r>
    </w:p>
    <w:p/>
    <w:p>
      <w:pPr>
        <w:pStyle w:val="Heading3"/>
      </w:pPr>
      <w:r>
        <w:t>[ADDED] §3.9 — Disabled Veterans' Business Set-Aside Contract Provisions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3.9</w:t>
            </w:r>
          </w:p>
        </w:tc>
        <w:tc>
          <w:tcPr>
            <w:tcW w:type="dxa" w:w="2880"/>
          </w:tcPr>
          <w:p>
            <w:r>
              <w:t>2</w:t>
            </w:r>
          </w:p>
        </w:tc>
      </w:tr>
    </w:tbl>
    <w:p/>
    <w:p>
      <w:r>
        <w:rPr>
          <w:b/>
        </w:rPr>
        <w:t xml:space="preserve">What changed: </w:t>
      </w:r>
      <w:r>
        <w:t>NEW requirement in 2026 not present in the 2021 baseline.</w:t>
      </w:r>
    </w:p>
    <w:p>
      <w:r>
        <w:rPr>
          <w:b/>
          <w:color w:val="0066A0"/>
        </w:rPr>
        <w:t xml:space="preserve">Why it matters: </w:t>
      </w:r>
      <w:r>
        <w:t>This new DVBE set-aside provision likely restricts award eligibility or imposes participation/subcontracting thresholds for Disabled Veterans' Business Enterprises, which could disqualify our bid if not addressed. Capture and contracts should immediately confirm the certification requirement, identify qualified DVBE subcontractors/partners, and prepare the required participation documentation.</w:t>
      </w:r>
    </w:p>
    <w:p>
      <w:r>
        <w:rPr>
          <w:i/>
        </w:rPr>
        <w:t xml:space="preserve">Severity: </w:t>
      </w:r>
      <w:r>
        <w:rPr>
          <w:b/>
          <w:color w:val="C62828"/>
        </w:rPr>
        <w:t>CRITICAL</w:t>
      </w:r>
      <w:r>
        <w:rPr>
          <w:i/>
        </w:rPr>
        <w:t xml:space="preserve">   |   Diff record: #7795</w:t>
      </w:r>
    </w:p>
    <w:p/>
    <w:p>
      <w:pPr>
        <w:pStyle w:val="Heading3"/>
      </w:pPr>
      <w:r>
        <w:t>[ADDED] §4.1 — Transition entire Program to NGSystem within 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w:t>
            </w:r>
          </w:p>
        </w:tc>
        <w:tc>
          <w:tcPr>
            <w:tcW w:type="dxa" w:w="2880"/>
          </w:tcPr>
          <w:p>
            <w:r>
              <w:t>24</w:t>
            </w:r>
          </w:p>
        </w:tc>
      </w:tr>
    </w:tbl>
    <w:p/>
    <w:p>
      <w:r>
        <w:rPr>
          <w:b/>
        </w:rPr>
        <w:t xml:space="preserve">What changed: </w:t>
      </w:r>
      <w:r>
        <w:t>NEW requirement in 2026 not present in the 2021 baseline.</w:t>
      </w:r>
    </w:p>
    <w:p>
      <w:r>
        <w:rPr>
          <w:b/>
          <w:color w:val="0066A0"/>
        </w:rPr>
        <w:t xml:space="preserve">Why it matters: </w:t>
      </w:r>
      <w:r>
        <w:t>This new 18-month full transition mandate to NGSystem is a hard schedule and scope driver that will shape staffing, migration architecture, and risk reserves, and missing it could be a disqualifier or trigger major liquidated damages. Solutioning, PMO, and pricing should immediately build a transition plan with milestones, dependencies, and risk mitigations, and confirm feasibility with the NGSystem and legacy SMEs before pricing is locked.</w:t>
      </w:r>
    </w:p>
    <w:p>
      <w:r>
        <w:rPr>
          <w:i/>
        </w:rPr>
        <w:t xml:space="preserve">Severity: </w:t>
      </w:r>
      <w:r>
        <w:rPr>
          <w:b/>
          <w:color w:val="C62828"/>
        </w:rPr>
        <w:t>CRITICAL</w:t>
      </w:r>
      <w:r>
        <w:rPr>
          <w:i/>
        </w:rPr>
        <w:t xml:space="preserve">   |   Diff record: #8086</w:t>
      </w:r>
    </w:p>
    <w:p/>
    <w:p>
      <w:pPr>
        <w:pStyle w:val="Heading3"/>
      </w:pPr>
      <w:r>
        <w:t>[ADDED] §4.1 — Indemnify for injury, loss of life, or property damage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w:t>
            </w:r>
          </w:p>
        </w:tc>
        <w:tc>
          <w:tcPr>
            <w:tcW w:type="dxa" w:w="2880"/>
          </w:tcPr>
          <w:p>
            <w:r>
              <w:t>7</w:t>
            </w:r>
          </w:p>
        </w:tc>
      </w:tr>
    </w:tbl>
    <w:p/>
    <w:p>
      <w:r>
        <w:rPr>
          <w:b/>
        </w:rPr>
        <w:t xml:space="preserve">What changed: </w:t>
      </w:r>
      <w:r>
        <w:t>NEW requirement in 2026 not present in the 2021 baseline.</w:t>
      </w:r>
    </w:p>
    <w:p>
      <w:r>
        <w:rPr>
          <w:b/>
          <w:color w:val="0066A0"/>
        </w:rPr>
        <w:t xml:space="preserve">Why it matters: </w:t>
      </w:r>
      <w:r>
        <w:t>This new broad indemnification clause shifts unlimited liability for any death, injury, or property damage arising directly or indirectly from our work or products onto us, with no cap or carve-outs for the buyer's negligence. Legal and Risk must review for acceptability, propose redlines (cap, mutual indemnity, exclude buyer's negligence/sole fault), and confirm our insurance limits cover the exposure before bid submission.</w:t>
      </w:r>
    </w:p>
    <w:p>
      <w:r>
        <w:rPr>
          <w:i/>
        </w:rPr>
        <w:t xml:space="preserve">Severity: </w:t>
      </w:r>
      <w:r>
        <w:rPr>
          <w:b/>
          <w:color w:val="C62828"/>
        </w:rPr>
        <w:t>CRITICAL</w:t>
      </w:r>
      <w:r>
        <w:rPr>
          <w:i/>
        </w:rPr>
        <w:t xml:space="preserve">   |   Diff record: #9792</w:t>
      </w:r>
    </w:p>
    <w:p/>
    <w:p>
      <w:pPr>
        <w:pStyle w:val="Heading3"/>
      </w:pPr>
      <w:r>
        <w:t>[ADDED] §4.20.4.A — Ensure mobile workstations never end-of-life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4.20.4.A</w:t>
            </w:r>
          </w:p>
        </w:tc>
        <w:tc>
          <w:tcPr>
            <w:tcW w:type="dxa" w:w="2880"/>
          </w:tcPr>
          <w:p>
            <w:r>
              <w:t>54</w:t>
            </w:r>
          </w:p>
        </w:tc>
      </w:tr>
    </w:tbl>
    <w:p/>
    <w:p>
      <w:r>
        <w:rPr>
          <w:b/>
        </w:rPr>
        <w:t xml:space="preserve">What changed: </w:t>
      </w:r>
      <w:r>
        <w:t>NEW requirement in 2026 not present in the 2021 baseline.</w:t>
      </w:r>
    </w:p>
    <w:p>
      <w:r>
        <w:rPr>
          <w:b/>
          <w:color w:val="0066A0"/>
        </w:rPr>
        <w:t xml:space="preserve">Why it matters: </w:t>
      </w:r>
      <w:r>
        <w:t>This is a commercially impossible requirement as written—no OEM can guarantee perpetual support for a hardware SKU, exposing us to indefinite liability and forced no-cost refreshes if accepted verbatim. Submit a clarification/exception during Q&amp;A proposing a tech-refresh commitment (e.g., replace any unit within X days of EOL announcement) before bid submission.</w:t>
      </w:r>
    </w:p>
    <w:p>
      <w:r>
        <w:rPr>
          <w:i/>
        </w:rPr>
        <w:t xml:space="preserve">Severity: </w:t>
      </w:r>
      <w:r>
        <w:rPr>
          <w:b/>
          <w:color w:val="C62828"/>
        </w:rPr>
        <w:t>CRITICAL</w:t>
      </w:r>
      <w:r>
        <w:rPr>
          <w:i/>
        </w:rPr>
        <w:t xml:space="preserve">   |   Diff record: #10384</w:t>
      </w:r>
    </w:p>
    <w:p/>
    <w:p>
      <w:pPr>
        <w:pStyle w:val="Heading3"/>
      </w:pPr>
      <w:r>
        <w:t>[ADDED] §5.2 — Provide Workforce, Connectivity, Utilities, and Equipment Maintenance During Transition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5.2</w:t>
            </w:r>
          </w:p>
        </w:tc>
        <w:tc>
          <w:tcPr>
            <w:tcW w:type="dxa" w:w="2880"/>
          </w:tcPr>
          <w:p>
            <w:r>
              <w:t>90</w:t>
            </w:r>
          </w:p>
        </w:tc>
      </w:tr>
    </w:tbl>
    <w:p/>
    <w:p>
      <w:r>
        <w:rPr>
          <w:b/>
        </w:rPr>
        <w:t xml:space="preserve">What changed: </w:t>
      </w:r>
      <w:r>
        <w:t>NEW requirement in 2026 not present in the 2021 baseline.</w:t>
      </w:r>
    </w:p>
    <w:p>
      <w:r>
        <w:rPr>
          <w:b/>
          <w:color w:val="0066A0"/>
        </w:rPr>
        <w:t xml:space="preserve">Why it matters: </w:t>
      </w:r>
      <w:r>
        <w:t>This new clause shifts substantial operational risk and cost to the contractor during transition—covering labor, internet, utilities, legacy equipment repair, and program oversight—none of which were previously required and all of which must now be priced and staffed. Pricing, solutions, and transition leads should immediately scope these obligations, secure utility/ISP quotes, assess legacy equipment condition, and build a transition cost model with appropriate risk reserves.</w:t>
      </w:r>
    </w:p>
    <w:p>
      <w:r>
        <w:rPr>
          <w:i/>
        </w:rPr>
        <w:t xml:space="preserve">Severity: </w:t>
      </w:r>
      <w:r>
        <w:rPr>
          <w:b/>
          <w:color w:val="C62828"/>
        </w:rPr>
        <w:t>CRITICAL</w:t>
      </w:r>
      <w:r>
        <w:rPr>
          <w:i/>
        </w:rPr>
        <w:t xml:space="preserve">   |   Diff record: #8799</w:t>
      </w:r>
    </w:p>
    <w:p/>
    <w:p>
      <w:pPr>
        <w:pStyle w:val="Heading3"/>
      </w:pPr>
      <w:r>
        <w:t>[ADDED] §8.2.4.1.A.1 — Indemnify the State against third-party claims (IT contracts)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8.2.4.1.A.1</w:t>
            </w:r>
          </w:p>
        </w:tc>
        <w:tc>
          <w:tcPr>
            <w:tcW w:type="dxa" w:w="2880"/>
          </w:tcPr>
          <w:p>
            <w:r>
              <w:t>18</w:t>
            </w:r>
          </w:p>
        </w:tc>
      </w:tr>
    </w:tbl>
    <w:p/>
    <w:p>
      <w:r>
        <w:rPr>
          <w:b/>
        </w:rPr>
        <w:t xml:space="preserve">What changed: </w:t>
      </w:r>
      <w:r>
        <w:t>NEW requirement in 2026 not present in the 2021 baseline.</w:t>
      </w:r>
    </w:p>
    <w:p>
      <w:r>
        <w:rPr>
          <w:b/>
          <w:color w:val="0066A0"/>
        </w:rPr>
        <w:t xml:space="preserve">Why it matters: </w:t>
      </w:r>
      <w:r>
        <w:t>This new uncapped indemnification clause shifts unlimited third-party liability onto us, materially altering our risk profile and likely triggering insurance, pricing, and subcontractor flow-down adjustments. Legal and Risk should review immediately to propose a liability cap or carve-outs (e.g., IP, gross negligence) and confirm coverage before submission.</w:t>
      </w:r>
    </w:p>
    <w:p>
      <w:r>
        <w:rPr>
          <w:i/>
        </w:rPr>
        <w:t xml:space="preserve">Severity: </w:t>
      </w:r>
      <w:r>
        <w:rPr>
          <w:b/>
          <w:color w:val="C62828"/>
        </w:rPr>
        <w:t>CRITICAL</w:t>
      </w:r>
      <w:r>
        <w:rPr>
          <w:i/>
        </w:rPr>
        <w:t xml:space="preserve">   |   Diff record: #7780</w:t>
      </w:r>
    </w:p>
    <w:p/>
    <w:p>
      <w:pPr>
        <w:pStyle w:val="Heading3"/>
      </w:pPr>
      <w:r>
        <w:t>[ADDED] §9.4.4.3.B — Bear costs of Breach from encryption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9.4.4.3.B</w:t>
            </w:r>
          </w:p>
        </w:tc>
        <w:tc>
          <w:tcPr>
            <w:tcW w:type="dxa" w:w="2880"/>
          </w:tcPr>
          <w:p>
            <w:r>
              <w:t>25</w:t>
            </w:r>
          </w:p>
        </w:tc>
      </w:tr>
    </w:tbl>
    <w:p/>
    <w:p>
      <w:r>
        <w:rPr>
          <w:b/>
        </w:rPr>
        <w:t xml:space="preserve">What changed: </w:t>
      </w:r>
      <w:r>
        <w:t>NEW requirement in 2026 not present in the 2021 baseline.</w:t>
      </w:r>
    </w:p>
    <w:p>
      <w:r>
        <w:rPr>
          <w:b/>
          <w:color w:val="0066A0"/>
        </w:rPr>
        <w:t xml:space="preserve">Why it matters: </w:t>
      </w:r>
      <w:r>
        <w:t>This new clause shifts the full financial burden of breach response—investigation, notifications, credit monitoring, and call center—onto the Contractor with no stated cap, creating potentially unlimited liability that must be priced into our bid and underwritten by cyber insurance. Legal and pricing should negotiate a liability cap tied to encryption-failure causation, confirm cyber policy limits/coverage, and add contingency to the cost model.</w:t>
      </w:r>
    </w:p>
    <w:p>
      <w:r>
        <w:rPr>
          <w:i/>
        </w:rPr>
        <w:t xml:space="preserve">Severity: </w:t>
      </w:r>
      <w:r>
        <w:rPr>
          <w:b/>
          <w:color w:val="C62828"/>
        </w:rPr>
        <w:t>CRITICAL</w:t>
      </w:r>
      <w:r>
        <w:rPr>
          <w:i/>
        </w:rPr>
        <w:t xml:space="preserve">   |   Diff record: #9164</w:t>
      </w:r>
    </w:p>
    <w:p/>
    <w:p>
      <w:pPr>
        <w:pStyle w:val="Heading3"/>
      </w:pPr>
      <w:r>
        <w:t>[ADDED] §Appendix 3.4 — Appendices 3.4 A-F – OBD Hardware, Legacy OBD Flow, OBD Exclusion List, AAMVA Barcode Definitions, 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Appendix 3.4</w:t>
            </w:r>
          </w:p>
        </w:tc>
        <w:tc>
          <w:tcPr>
            <w:tcW w:type="dxa" w:w="2880"/>
          </w:tcPr>
          <w:p>
            <w:r>
              <w:t>5</w:t>
            </w:r>
          </w:p>
        </w:tc>
      </w:tr>
    </w:tbl>
    <w:p/>
    <w:p>
      <w:r>
        <w:rPr>
          <w:b/>
        </w:rPr>
        <w:t xml:space="preserve">What changed: </w:t>
      </w:r>
      <w:r>
        <w:t>NEW requirement in 2026 not present in the 2021 baseline.</w:t>
      </w:r>
    </w:p>
    <w:p>
      <w:r>
        <w:rPr>
          <w:b/>
          <w:color w:val="0066A0"/>
        </w:rPr>
        <w:t xml:space="preserve">Why it matters: </w:t>
      </w:r>
      <w:r>
        <w:t>Six new technical appendices (3.4 A-F) introduce binding specifications for OBD hardware, legacy OBD flow, exclusions, AAMVA barcodes, VIR, and rules engine logic that our solution and pricing must conform to. Hardware, software, and integration leads must immediately review each appendix for compliance gaps, BOM impacts, and interface changes, and update the technical volume and cost model accordingly.</w:t>
      </w:r>
    </w:p>
    <w:p>
      <w:r>
        <w:rPr>
          <w:i/>
        </w:rPr>
        <w:t xml:space="preserve">Severity: </w:t>
      </w:r>
      <w:r>
        <w:rPr>
          <w:b/>
          <w:color w:val="C62828"/>
        </w:rPr>
        <w:t>CRITICAL</w:t>
      </w:r>
      <w:r>
        <w:rPr>
          <w:i/>
        </w:rPr>
        <w:t xml:space="preserve">   |   Diff record: #8020</w:t>
      </w:r>
    </w:p>
    <w:p/>
    <w:p>
      <w:pPr>
        <w:pStyle w:val="Heading3"/>
      </w:pPr>
      <w:r>
        <w:t>[ADDED] §Article I.1 — Recognize SEIU Local 518 as exclusive bargaining representative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Article I.1</w:t>
            </w:r>
          </w:p>
        </w:tc>
        <w:tc>
          <w:tcPr>
            <w:tcW w:type="dxa" w:w="2880"/>
          </w:tcPr>
          <w:p>
            <w:r>
              <w:t>3</w:t>
            </w:r>
          </w:p>
        </w:tc>
      </w:tr>
    </w:tbl>
    <w:p/>
    <w:p>
      <w:r>
        <w:rPr>
          <w:b/>
        </w:rPr>
        <w:t xml:space="preserve">What changed: </w:t>
      </w:r>
      <w:r>
        <w:t>NEW requirement in 2026 not present in the 2021 baseline.</w:t>
      </w:r>
    </w:p>
    <w:p>
      <w:r>
        <w:rPr>
          <w:b/>
          <w:color w:val="0066A0"/>
        </w:rPr>
        <w:t xml:space="preserve">Why it matters: </w:t>
      </w:r>
      <w:r>
        <w:t>This new clause mandates recognition of SEIU Local 518 as the exclusive bargaining representative, locking in union labor with prescribed wages, hours, and working conditions that directly drive our cost model and staffing flexibility. Labor and pricing leads must immediately review the SEIU 518 CBA, incorporate union wage scales and benefits into the bid rates, and confirm successorship/incumbent capture obligations before finalizing the proposal.</w:t>
      </w:r>
    </w:p>
    <w:p>
      <w:r>
        <w:rPr>
          <w:i/>
        </w:rPr>
        <w:t xml:space="preserve">Severity: </w:t>
      </w:r>
      <w:r>
        <w:rPr>
          <w:b/>
          <w:color w:val="C62828"/>
        </w:rPr>
        <w:t>CRITICAL</w:t>
      </w:r>
      <w:r>
        <w:rPr>
          <w:i/>
        </w:rPr>
        <w:t xml:space="preserve">   |   Diff record: #10480</w:t>
      </w:r>
    </w:p>
    <w:p/>
    <w:p>
      <w:pPr>
        <w:pStyle w:val="Heading3"/>
      </w:pPr>
      <w:r>
        <w:t>[ADDED] §Bid Solicitation Checklist — Submit State-Supplied Price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Bid Solicitation Checklist</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mandatory submission item means our quote will be rejected outright if we don't include the State-Supplied Price Sheet exactly as provided. Pricing lead must locate the official template, complete it in full, and add it to the submission checklist with a QC sign-off before bid drop.</w:t>
      </w:r>
    </w:p>
    <w:p>
      <w:r>
        <w:rPr>
          <w:i/>
        </w:rPr>
        <w:t xml:space="preserve">Severity: </w:t>
      </w:r>
      <w:r>
        <w:rPr>
          <w:b/>
          <w:color w:val="C62828"/>
        </w:rPr>
        <w:t>CRITICAL</w:t>
      </w:r>
      <w:r>
        <w:rPr>
          <w:i/>
        </w:rPr>
        <w:t xml:space="preserve">   |   Diff record: #7840</w:t>
      </w:r>
    </w:p>
    <w:p/>
    <w:p>
      <w:pPr>
        <w:pStyle w:val="Heading3"/>
      </w:pPr>
      <w:r>
        <w:t>[ADDED] §Cover — Attend Mandatory Site Visit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Cover</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mandatory site visit on May 9, 2026 at 1 pm is a pass/fail gate—failure to attend will disqualify our proposal regardless of merit. Capture lead must immediately register an attendee, book travel, and confirm attendance documentation requirements with the contracting officer.</w:t>
      </w:r>
    </w:p>
    <w:p>
      <w:r>
        <w:rPr>
          <w:i/>
        </w:rPr>
        <w:t xml:space="preserve">Severity: </w:t>
      </w:r>
      <w:r>
        <w:rPr>
          <w:b/>
          <w:color w:val="C62828"/>
        </w:rPr>
        <w:t>CRITICAL</w:t>
      </w:r>
      <w:r>
        <w:rPr>
          <w:i/>
        </w:rPr>
        <w:t xml:space="preserve">   |   Diff record: #7837</w:t>
      </w:r>
    </w:p>
    <w:p/>
    <w:p>
      <w:pPr>
        <w:pStyle w:val="Heading3"/>
      </w:pPr>
      <w:r>
        <w:t>[ADDED] §Cover — Submit Quote by deadline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Cover</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A hard submission deadline of 2pm on August 5, 2026 has been added; missing it disqualifies our bid entirely. Capture and proposal ops must lock the date in the schedule, build in a 24-hour pre-submission buffer, and confirm the submission channel and time zone with the contracting officer.</w:t>
      </w:r>
    </w:p>
    <w:p>
      <w:r>
        <w:rPr>
          <w:i/>
        </w:rPr>
        <w:t xml:space="preserve">Severity: </w:t>
      </w:r>
      <w:r>
        <w:rPr>
          <w:b/>
          <w:color w:val="C62828"/>
        </w:rPr>
        <w:t>CRITICAL</w:t>
      </w:r>
      <w:r>
        <w:rPr>
          <w:i/>
        </w:rPr>
        <w:t xml:space="preserve">   |   Diff record: #10461</w:t>
      </w:r>
    </w:p>
    <w:p/>
    <w:p>
      <w:pPr>
        <w:pStyle w:val="Heading3"/>
      </w:pPr>
      <w:r>
        <w:t>[ADDED] §Section 1 (C.39:8-44 b.(4)) — Contractor prohibition on motor vehicle sales, maintenance, repair, or parts business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1 (C.39:8-44 b.(4))</w:t>
            </w:r>
          </w:p>
        </w:tc>
        <w:tc>
          <w:tcPr>
            <w:tcW w:type="dxa" w:w="2880"/>
          </w:tcPr>
          <w:p>
            <w:r>
              <w:t>3</w:t>
            </w:r>
          </w:p>
        </w:tc>
      </w:tr>
    </w:tbl>
    <w:p/>
    <w:p>
      <w:r>
        <w:rPr>
          <w:b/>
        </w:rPr>
        <w:t xml:space="preserve">What changed: </w:t>
      </w:r>
      <w:r>
        <w:t>NEW requirement in 2026 not present in the 2021 baseline.</w:t>
      </w:r>
    </w:p>
    <w:p>
      <w:r>
        <w:rPr>
          <w:b/>
          <w:color w:val="0066A0"/>
        </w:rPr>
        <w:t xml:space="preserve">Why it matters: </w:t>
      </w:r>
      <w:r>
        <w:t>This new prohibition disqualifies any bidder (or its officers/employees) engaged in motor vehicle sales, service, or parts businesses, creating a hard organizational conflict-of-interest barrier that could eliminate us or key teaming partners. Action: immediately vet our entity, affiliates, subcontractors, and named personnel for any disqualifying business interests and prepare divestiture or restructuring plans before bid submission.</w:t>
      </w:r>
    </w:p>
    <w:p>
      <w:r>
        <w:rPr>
          <w:i/>
        </w:rPr>
        <w:t xml:space="preserve">Severity: </w:t>
      </w:r>
      <w:r>
        <w:rPr>
          <w:b/>
          <w:color w:val="C62828"/>
        </w:rPr>
        <w:t>CRITICAL</w:t>
      </w:r>
      <w:r>
        <w:rPr>
          <w:i/>
        </w:rPr>
        <w:t xml:space="preserve">   |   Diff record: #10810</w:t>
      </w:r>
    </w:p>
    <w:p/>
    <w:p>
      <w:pPr>
        <w:pStyle w:val="Heading3"/>
      </w:pPr>
      <w:r>
        <w:t>[ADDED] §Section 3 — Do not alter the Price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3</w:t>
            </w:r>
          </w:p>
        </w:tc>
        <w:tc>
          <w:tcPr>
            <w:tcW w:type="dxa" w:w="2880"/>
          </w:tcPr>
          <w:p>
            <w:r>
              <w:t>6</w:t>
            </w:r>
          </w:p>
        </w:tc>
      </w:tr>
    </w:tbl>
    <w:p/>
    <w:p>
      <w:r>
        <w:rPr>
          <w:b/>
        </w:rPr>
        <w:t xml:space="preserve">What changed: </w:t>
      </w:r>
      <w:r>
        <w:t>NEW requirement in 2026 not present in the 2021 baseline.</w:t>
      </w:r>
    </w:p>
    <w:p>
      <w:r>
        <w:rPr>
          <w:b/>
          <w:color w:val="0066A0"/>
        </w:rPr>
        <w:t xml:space="preserve">Why it matters: </w:t>
      </w:r>
      <w:r>
        <w:t>This new restriction means any modification to the Price Sheet—added lines, assumptions, or fee notes—risks immediate disqualification, eliminating our usual practice of caveating pricing. Pricing and proposal leads must lock the template as-is and relocate all assumptions/clarifications to an allowed narrative section before submission.</w:t>
      </w:r>
    </w:p>
    <w:p>
      <w:r>
        <w:rPr>
          <w:i/>
        </w:rPr>
        <w:t xml:space="preserve">Severity: </w:t>
      </w:r>
      <w:r>
        <w:rPr>
          <w:b/>
          <w:color w:val="C62828"/>
        </w:rPr>
        <w:t>CRITICAL</w:t>
      </w:r>
      <w:r>
        <w:rPr>
          <w:i/>
        </w:rPr>
        <w:t xml:space="preserve">   |   Diff record: #8259</w:t>
      </w:r>
    </w:p>
    <w:p/>
    <w:p>
      <w:pPr>
        <w:pStyle w:val="Heading3"/>
      </w:pPr>
      <w:r>
        <w:t>[ADDED] §Section 3 — Do not include conditional acceptance language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3</w:t>
            </w:r>
          </w:p>
        </w:tc>
        <w:tc>
          <w:tcPr>
            <w:tcW w:type="dxa" w:w="2880"/>
          </w:tcPr>
          <w:p>
            <w:r>
              <w:t>8</w:t>
            </w:r>
          </w:p>
        </w:tc>
      </w:tr>
    </w:tbl>
    <w:p/>
    <w:p>
      <w:r>
        <w:rPr>
          <w:b/>
        </w:rPr>
        <w:t xml:space="preserve">What changed: </w:t>
      </w:r>
      <w:r>
        <w:t>NEW requirement in 2026 not present in the 2021 baseline.</w:t>
      </w:r>
    </w:p>
    <w:p>
      <w:r>
        <w:rPr>
          <w:b/>
          <w:color w:val="0066A0"/>
        </w:rPr>
        <w:t xml:space="preserve">Why it matters: </w:t>
      </w:r>
      <w:r>
        <w:t>This new clause prohibits conditional acceptance, yet the example language itself reserves Vendor's right to modify Contracted Terms — submitting any such reservation would render our bid non-responsive and subject to rejection. Legal and proposal leads must scrub our response to remove all qualifiers, carve-outs, or 'reserves the right' language and submit unconditional acceptance of all terms.</w:t>
      </w:r>
    </w:p>
    <w:p>
      <w:r>
        <w:rPr>
          <w:i/>
        </w:rPr>
        <w:t xml:space="preserve">Severity: </w:t>
      </w:r>
      <w:r>
        <w:rPr>
          <w:b/>
          <w:color w:val="C62828"/>
        </w:rPr>
        <w:t>CRITICAL</w:t>
      </w:r>
      <w:r>
        <w:rPr>
          <w:i/>
        </w:rPr>
        <w:t xml:space="preserve">   |   Diff record: #9414</w:t>
      </w:r>
    </w:p>
    <w:p/>
    <w:p>
      <w:pPr>
        <w:pStyle w:val="Heading3"/>
      </w:pPr>
      <w:r>
        <w:t>[ADDED] §Section 3 — Submit Quote only through NJSTART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3</w:t>
            </w:r>
          </w:p>
        </w:tc>
        <w:tc>
          <w:tcPr>
            <w:tcW w:type="dxa" w:w="2880"/>
          </w:tcPr>
          <w:p>
            <w:r>
              <w:t>7</w:t>
            </w:r>
          </w:p>
        </w:tc>
      </w:tr>
    </w:tbl>
    <w:p/>
    <w:p>
      <w:r>
        <w:rPr>
          <w:b/>
        </w:rPr>
        <w:t xml:space="preserve">What changed: </w:t>
      </w:r>
      <w:r>
        <w:t>NEW requirement in 2026 not present in the 2021 baseline.</w:t>
      </w:r>
    </w:p>
    <w:p>
      <w:r>
        <w:rPr>
          <w:b/>
          <w:color w:val="0066A0"/>
        </w:rPr>
        <w:t xml:space="preserve">Why it matters: </w:t>
      </w:r>
      <w:r>
        <w:t>Quotes must now be submitted exclusively through the NJSTART portal—email, fax, or hand-delivery will result in automatic disqualification. The team must immediately verify our NJSTART vendor registration is active and complete a submission dry-run well before the deadline to avoid portal-related delays.</w:t>
      </w:r>
    </w:p>
    <w:p>
      <w:r>
        <w:rPr>
          <w:i/>
        </w:rPr>
        <w:t xml:space="preserve">Severity: </w:t>
      </w:r>
      <w:r>
        <w:rPr>
          <w:b/>
          <w:color w:val="C62828"/>
        </w:rPr>
        <w:t>CRITICAL</w:t>
      </w:r>
      <w:r>
        <w:rPr>
          <w:i/>
        </w:rPr>
        <w:t xml:space="preserve">   |   Diff record: #9513</w:t>
      </w:r>
    </w:p>
    <w:p/>
    <w:p>
      <w:pPr>
        <w:pStyle w:val="Heading3"/>
      </w:pPr>
      <w:r>
        <w:t>[ADDED] §Section 8 — Quote Evaluation and Award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8</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A new evaluation and award criteria section defines how quotes will be scored and selected, directly shaping how we must position price, technical approach, and discriminators to win. Capture and proposal leads should immediately parse the criteria, build a compliance/scoring matrix, and align win themes and pricing strategy before drafting begins.</w:t>
      </w:r>
    </w:p>
    <w:p>
      <w:r>
        <w:rPr>
          <w:i/>
        </w:rPr>
        <w:t xml:space="preserve">Severity: </w:t>
      </w:r>
      <w:r>
        <w:rPr>
          <w:b/>
          <w:color w:val="C62828"/>
        </w:rPr>
        <w:t>CRITICAL</w:t>
      </w:r>
      <w:r>
        <w:rPr>
          <w:i/>
        </w:rPr>
        <w:t xml:space="preserve">   |   Diff record: #9678</w:t>
      </w:r>
    </w:p>
    <w:p/>
    <w:p>
      <w:pPr>
        <w:pStyle w:val="Heading3"/>
      </w:pPr>
      <w:r>
        <w:t>[ADDED] §Two-Year Chapter 51/Executive Order 117 Vendor Certification — Sign and date Two-Year Chapter 51/EO 117 Vendor Certification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Two-Year Chapter 51/Executive Order 117 Vendor Certification</w:t>
            </w:r>
          </w:p>
        </w:tc>
        <w:tc>
          <w:tcPr>
            <w:tcW w:type="dxa" w:w="2880"/>
          </w:tcPr>
          <w:p>
            <w:r>
              <w:t>5</w:t>
            </w:r>
          </w:p>
        </w:tc>
      </w:tr>
    </w:tbl>
    <w:p/>
    <w:p>
      <w:r>
        <w:rPr>
          <w:b/>
        </w:rPr>
        <w:t xml:space="preserve">What changed: </w:t>
      </w:r>
      <w:r>
        <w:t>NEW requirement in 2026 not present in the 2021 baseline.</w:t>
      </w:r>
    </w:p>
    <w:p>
      <w:r>
        <w:rPr>
          <w:b/>
          <w:color w:val="0066A0"/>
        </w:rPr>
        <w:t xml:space="preserve">Why it matters: </w:t>
      </w:r>
      <w:r>
        <w:t>This new NJ Chapter 51/EO 117 vendor certification is a mandatory pay-to-play disclosure—an unsigned or missing form will render our bid non-responsive and ineligible for award. Capture must route the form to an authorized signatory immediately, complete the print name/title/date fields, and include the executed certification in the submission package.</w:t>
      </w:r>
    </w:p>
    <w:p>
      <w:r>
        <w:rPr>
          <w:i/>
        </w:rPr>
        <w:t xml:space="preserve">Severity: </w:t>
      </w:r>
      <w:r>
        <w:rPr>
          <w:b/>
          <w:color w:val="C62828"/>
        </w:rPr>
        <w:t>CRITICAL</w:t>
      </w:r>
      <w:r>
        <w:rPr>
          <w:i/>
        </w:rPr>
        <w:t xml:space="preserve">   |   Diff record: #7966</w:t>
      </w:r>
    </w:p>
    <w:p/>
    <w:p>
      <w:r>
        <w:br w:type="page"/>
      </w:r>
    </w:p>
    <w:p>
      <w:pPr>
        <w:pStyle w:val="Heading1"/>
      </w:pPr>
      <w:r>
        <w:t>Liquidated Damages &amp; SLA Penalties</w:t>
      </w:r>
    </w:p>
    <w:p>
      <w:r>
        <w:rPr>
          <w:i/>
        </w:rPr>
        <w:t>48 material changes in this theme.</w:t>
      </w:r>
    </w:p>
    <w:p>
      <w:pPr>
        <w:pStyle w:val="Heading3"/>
      </w:pPr>
      <w:r>
        <w:t>[CHANGED] §4.1 — Convert all inspection facilities to NGSystem within 540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3.1</w:t>
            </w:r>
          </w:p>
        </w:tc>
        <w:tc>
          <w:tcPr>
            <w:tcW w:type="dxa" w:w="2880"/>
          </w:tcPr>
          <w:p>
            <w:r>
              <w:t>1</w:t>
            </w:r>
          </w:p>
        </w:tc>
      </w:tr>
      <w:tr>
        <w:tc>
          <w:tcPr>
            <w:tcW w:type="dxa" w:w="2880"/>
          </w:tcPr>
          <w:p>
            <w:r>
              <w:rPr>
                <w:b/>
              </w:rPr>
              <w:t>2026 RFP</w:t>
            </w:r>
          </w:p>
        </w:tc>
        <w:tc>
          <w:tcPr>
            <w:tcW w:type="dxa" w:w="2880"/>
          </w:tcPr>
          <w:p>
            <w:r>
              <w:t>4.1</w:t>
            </w:r>
          </w:p>
        </w:tc>
        <w:tc>
          <w:tcPr>
            <w:tcW w:type="dxa" w:w="2880"/>
          </w:tcPr>
          <w:p>
            <w:r>
              <w:t>94</w:t>
            </w:r>
          </w:p>
        </w:tc>
      </w:tr>
    </w:tbl>
    <w:p/>
    <w:p>
      <w:r>
        <w:rPr>
          <w:b/>
        </w:rPr>
        <w:t xml:space="preserve">What changed: </w:t>
      </w:r>
      <w:r>
        <w:t>Conversion deadline extended from 365 days to 540 days, and penalty basis changed from $6,000 per calendar day to $6,000 per business day.</w:t>
      </w:r>
    </w:p>
    <w:p>
      <w:r>
        <w:rPr>
          <w:b/>
          <w:color w:val="0066A0"/>
        </w:rPr>
        <w:t xml:space="preserve">Why it matters: </w:t>
      </w:r>
      <w:r>
        <w:t>The conversion window was extended by 175 days (365→540) and the liquidated damages clock changed from calendar days to business days, materially reducing both schedule pressure and worst-case penalty exposure (roughly 30% fewer chargeable days per year). This eases staffing ramp, sequencing, and contingency reserves in our price, and may allow us to lower the risk premium currently loaded into the bid. Schedule and pricing leads should re-baseline the conversion plan to the 540-day deadline and recalculate LD exposure on a business-day basis before finalizing the cost model.</w:t>
      </w:r>
    </w:p>
    <w:p>
      <w:r>
        <w:rPr>
          <w:i/>
        </w:rPr>
        <w:t xml:space="preserve">Severity: </w:t>
      </w:r>
      <w:r>
        <w:rPr>
          <w:b/>
          <w:color w:val="ED6C02"/>
        </w:rPr>
        <w:t>HIGH</w:t>
      </w:r>
      <w:r>
        <w:rPr>
          <w:i/>
        </w:rPr>
        <w:t xml:space="preserve">   |   Diff record: #6336</w:t>
      </w:r>
    </w:p>
    <w:p/>
    <w:p>
      <w:pPr>
        <w:pStyle w:val="Heading3"/>
      </w:pPr>
      <w:r>
        <w:t>[CHANGED] §4.12.D.2 — SLA: Monthly average Wait Time not to exceed 15 minutes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w:t>
            </w:r>
          </w:p>
        </w:tc>
        <w:tc>
          <w:tcPr>
            <w:tcW w:type="dxa" w:w="2880"/>
          </w:tcPr>
          <w:p>
            <w:r>
              <w:t>1</w:t>
            </w:r>
          </w:p>
        </w:tc>
      </w:tr>
      <w:tr>
        <w:tc>
          <w:tcPr>
            <w:tcW w:type="dxa" w:w="2880"/>
          </w:tcPr>
          <w:p>
            <w:r>
              <w:rPr>
                <w:b/>
              </w:rPr>
              <w:t>2026 RFP</w:t>
            </w:r>
          </w:p>
        </w:tc>
        <w:tc>
          <w:tcPr>
            <w:tcW w:type="dxa" w:w="2880"/>
          </w:tcPr>
          <w:p>
            <w:r>
              <w:t>4.12.D.2</w:t>
            </w:r>
          </w:p>
        </w:tc>
        <w:tc>
          <w:tcPr>
            <w:tcW w:type="dxa" w:w="2880"/>
          </w:tcPr>
          <w:p>
            <w:r>
              <w:t>42</w:t>
            </w:r>
          </w:p>
        </w:tc>
      </w:tr>
    </w:tbl>
    <w:p/>
    <w:p>
      <w:r>
        <w:rPr>
          <w:b/>
        </w:rPr>
        <w:t xml:space="preserve">What changed: </w:t>
      </w:r>
      <w:r>
        <w:t>Removed the additional violation at each 10-minute interval over the 15-minute monthly average threshold.</w:t>
      </w:r>
    </w:p>
    <w:p>
      <w:r>
        <w:rPr>
          <w:b/>
          <w:color w:val="0066A0"/>
        </w:rPr>
        <w:t xml:space="preserve">Why it matters: </w:t>
      </w:r>
      <w:r>
        <w:t>The escalating violation structure (one additional violation per 10 minutes over the 15-minute average) has been removed, so a station now incurs at most one violation per month for exceeding the threshold rather than compounding penalties for poor performance. This materially reduces our SLA credit/liquidated damages exposure and lowers the risk premium and staffing buffer we previously priced to avoid runaway breach stacking. Operations and pricing should revisit the SLA risk reserve and contingency staffing assumptions to capture the savings, and confirm no offsetting penalty mechanism appears elsewhere in Section 4.12.</w:t>
      </w:r>
    </w:p>
    <w:p>
      <w:r>
        <w:rPr>
          <w:i/>
        </w:rPr>
        <w:t xml:space="preserve">Severity: </w:t>
      </w:r>
      <w:r>
        <w:rPr>
          <w:b/>
          <w:color w:val="ED6C02"/>
        </w:rPr>
        <w:t>HIGH</w:t>
      </w:r>
      <w:r>
        <w:rPr>
          <w:i/>
        </w:rPr>
        <w:t xml:space="preserve">   |   Diff record: #6420</w:t>
      </w:r>
    </w:p>
    <w:p/>
    <w:p>
      <w:pPr>
        <w:pStyle w:val="Heading3"/>
      </w:pPr>
      <w:r>
        <w:t>[CHANGED] §4.20.8.4 — Limit Production NGSystem downtime during principal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4.20.8.4</w:t>
            </w:r>
          </w:p>
        </w:tc>
        <w:tc>
          <w:tcPr>
            <w:tcW w:type="dxa" w:w="2880"/>
          </w:tcPr>
          <w:p>
            <w:r>
              <w:t>95</w:t>
            </w:r>
          </w:p>
        </w:tc>
      </w:tr>
    </w:tbl>
    <w:p/>
    <w:p>
      <w:r>
        <w:rPr>
          <w:b/>
        </w:rPr>
        <w:t xml:space="preserve">What changed: </w:t>
      </w:r>
      <w:r>
        <w:t>Added financial penalty of $5,000 USD plus $5,000 every 15 minutes for SLA breach.</w:t>
      </w:r>
    </w:p>
    <w:p>
      <w:r>
        <w:rPr>
          <w:b/>
          <w:color w:val="0066A0"/>
        </w:rPr>
        <w:t xml:space="preserve">Why it matters: </w:t>
      </w:r>
      <w:r>
        <w:t>The SLA thresholds are unchanged, but a financial penalty was added: $5,000 per breach plus $5,000 for every additional 15 minutes of downtime. This directly impacts pricing (risk reserve and contingency), insurance/liability posture, and operational staffing to ensure rapid incident response. Action: Ops and Finance should model worst-case penalty exposure, validate monitoring/escalation procedures meet the 4-hour cap, and price in a risk premium or negotiate a cap on cumulative penalties.</w:t>
      </w:r>
    </w:p>
    <w:p>
      <w:r>
        <w:rPr>
          <w:i/>
        </w:rPr>
        <w:t xml:space="preserve">Severity: </w:t>
      </w:r>
      <w:r>
        <w:rPr>
          <w:b/>
          <w:color w:val="ED6C02"/>
        </w:rPr>
        <w:t>HIGH</w:t>
      </w:r>
      <w:r>
        <w:rPr>
          <w:i/>
        </w:rPr>
        <w:t xml:space="preserve">   |   Diff record: #5357</w:t>
      </w:r>
    </w:p>
    <w:p/>
    <w:p>
      <w:pPr>
        <w:pStyle w:val="Heading3"/>
      </w:pPr>
      <w:r>
        <w:t>[CHANGED] §4.20.8.4 — Limit unscheduled Production NGSystem downtime during non-principal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4.20.8.4</w:t>
            </w:r>
          </w:p>
        </w:tc>
        <w:tc>
          <w:tcPr>
            <w:tcW w:type="dxa" w:w="2880"/>
          </w:tcPr>
          <w:p>
            <w:r>
              <w:t>95</w:t>
            </w:r>
          </w:p>
        </w:tc>
      </w:tr>
    </w:tbl>
    <w:p/>
    <w:p>
      <w:r>
        <w:rPr>
          <w:b/>
        </w:rPr>
        <w:t xml:space="preserve">What changed: </w:t>
      </w:r>
      <w:r>
        <w:t>Added financial penalty of $5,000 USD plus $5,000 every 60 minutes for failure, and priority raised from medium to high.</w:t>
      </w:r>
    </w:p>
    <w:p>
      <w:r>
        <w:rPr>
          <w:b/>
          <w:color w:val="0066A0"/>
        </w:rPr>
        <w:t xml:space="preserve">Why it matters: </w:t>
      </w:r>
      <w:r>
        <w:t>The requirement now carries a hard financial penalty ($5,000 per breach plus $5,000 per additional 60 minutes) and has been elevated to high priority, while the underlying downtime thresholds remain unchanged. This materially shifts risk onto us: pricing must include a service-credit/penalty reserve, SLA monitoring and after-hours response capacity need to be sized to actually meet the 8-hour/16-hour caps, and Legal should review liability exposure. Action: have Ops resize on-call/MTTR plans, Pricing add a penalty risk allocation, and Legal/Contracts negotiate a cap on cumulative penalties.</w:t>
      </w:r>
    </w:p>
    <w:p>
      <w:r>
        <w:rPr>
          <w:i/>
        </w:rPr>
        <w:t xml:space="preserve">Severity: </w:t>
      </w:r>
      <w:r>
        <w:rPr>
          <w:b/>
          <w:color w:val="ED6C02"/>
        </w:rPr>
        <w:t>HIGH</w:t>
      </w:r>
      <w:r>
        <w:rPr>
          <w:i/>
        </w:rPr>
        <w:t xml:space="preserve">   |   Diff record: #5392</w:t>
      </w:r>
    </w:p>
    <w:p/>
    <w:p>
      <w:pPr>
        <w:pStyle w:val="Heading3"/>
      </w:pPr>
      <w:r>
        <w:t>[CHANGED] §4.23.2.5.A — Provide NGSystem Capacity, Performance and Monitoring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NGSystem Capacity Plan</w:t>
            </w:r>
          </w:p>
        </w:tc>
        <w:tc>
          <w:tcPr>
            <w:tcW w:type="dxa" w:w="2880"/>
          </w:tcPr>
          <w:p>
            <w:r>
              <w:t>1</w:t>
            </w:r>
          </w:p>
        </w:tc>
      </w:tr>
      <w:tr>
        <w:tc>
          <w:tcPr>
            <w:tcW w:type="dxa" w:w="2880"/>
          </w:tcPr>
          <w:p>
            <w:r>
              <w:rPr>
                <w:b/>
              </w:rPr>
              <w:t>2026 RFP</w:t>
            </w:r>
          </w:p>
        </w:tc>
        <w:tc>
          <w:tcPr>
            <w:tcW w:type="dxa" w:w="2880"/>
          </w:tcPr>
          <w:p>
            <w:r>
              <w:t>4.23.2.5.A</w:t>
            </w:r>
          </w:p>
        </w:tc>
        <w:tc>
          <w:tcPr>
            <w:tcW w:type="dxa" w:w="2880"/>
          </w:tcPr>
          <w:p>
            <w:r>
              <w:t>67</w:t>
            </w:r>
          </w:p>
        </w:tc>
      </w:tr>
    </w:tbl>
    <w:p/>
    <w:p>
      <w:r>
        <w:rPr>
          <w:b/>
        </w:rPr>
        <w:t xml:space="preserve">What changed: </w:t>
      </w:r>
      <w:r>
        <w:t>Reference for performance standards changed from Section 3.49 SLAs to Section 5.8 Liquidated Damages, and 'network storage' was expanded to 'network bandwidth, storage'.</w:t>
      </w:r>
    </w:p>
    <w:p>
      <w:r>
        <w:rPr>
          <w:b/>
          <w:color w:val="0066A0"/>
        </w:rPr>
        <w:t xml:space="preserve">Why it matters: </w:t>
      </w:r>
      <w:r>
        <w:t>The performance benchmark now ties to Section 5.8 Liquidated Damages rather than SLAs, meaning shortfalls trigger financial penalties instead of service credits, materially increasing financial risk exposure. The infrastructure scope also explicitly separates network bandwidth from storage, requiring both to be sized and priced. Pricing and risk teams should review Section 5.8 LD thresholds to adjust contingency, and capacity engineers must produce discrete bandwidth and storage sizing in the plan.</w:t>
      </w:r>
    </w:p>
    <w:p>
      <w:r>
        <w:rPr>
          <w:i/>
        </w:rPr>
        <w:t xml:space="preserve">Severity: </w:t>
      </w:r>
      <w:r>
        <w:rPr>
          <w:b/>
          <w:color w:val="ED6C02"/>
        </w:rPr>
        <w:t>HIGH</w:t>
      </w:r>
      <w:r>
        <w:rPr>
          <w:i/>
        </w:rPr>
        <w:t xml:space="preserve">   |   Diff record: #6265</w:t>
      </w:r>
    </w:p>
    <w:p/>
    <w:p>
      <w:pPr>
        <w:pStyle w:val="Heading3"/>
      </w:pPr>
      <w:r>
        <w:t>[CHANGED] §4.28.3 — Ensure NGSystem operational and free of Critical Severity Defects within 510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3.44</w:t>
            </w:r>
          </w:p>
        </w:tc>
        <w:tc>
          <w:tcPr>
            <w:tcW w:type="dxa" w:w="2880"/>
          </w:tcPr>
          <w:p>
            <w:r>
              <w:t>1</w:t>
            </w:r>
          </w:p>
        </w:tc>
      </w:tr>
      <w:tr>
        <w:tc>
          <w:tcPr>
            <w:tcW w:type="dxa" w:w="2880"/>
          </w:tcPr>
          <w:p>
            <w:r>
              <w:rPr>
                <w:b/>
              </w:rPr>
              <w:t>2026 RFP</w:t>
            </w:r>
          </w:p>
        </w:tc>
        <w:tc>
          <w:tcPr>
            <w:tcW w:type="dxa" w:w="2880"/>
          </w:tcPr>
          <w:p>
            <w:r>
              <w:t>4.28.3</w:t>
            </w:r>
          </w:p>
        </w:tc>
        <w:tc>
          <w:tcPr>
            <w:tcW w:type="dxa" w:w="2880"/>
          </w:tcPr>
          <w:p>
            <w:r>
              <w:t>93</w:t>
            </w:r>
          </w:p>
        </w:tc>
      </w:tr>
    </w:tbl>
    <w:p/>
    <w:p>
      <w:r>
        <w:rPr>
          <w:b/>
        </w:rPr>
        <w:t xml:space="preserve">What changed: </w:t>
      </w:r>
      <w:r>
        <w:t>Deadline extended from 350 days to 510 days and penalty basis changed from per calendar day to per Business Day.</w:t>
      </w:r>
    </w:p>
    <w:p>
      <w:r>
        <w:rPr>
          <w:b/>
          <w:color w:val="0066A0"/>
        </w:rPr>
        <w:t xml:space="preserve">Why it matters: </w:t>
      </w:r>
      <w:r>
        <w:t>The SLA deadline for an operational, defect-free NGSystem has been relaxed from 350 to 510 calendar days, and the $6,000 penalty now accrues per Business Day rather than per calendar day, materially reducing both schedule pressure and worst-case liquidated damages exposure (~5/7 of prior daily run-rate). This eases delivery risk reserves and may allow leaner ramp-up staffing, but our bid pricing, risk register, and schedule baseline were built to the tighter terms. Action: have Scheduling rebaseline to 510 days, Finance reduce the LD contingency accordingly, and Legal confirm the Business Day definition in the new RFP.</w:t>
      </w:r>
    </w:p>
    <w:p>
      <w:r>
        <w:rPr>
          <w:i/>
        </w:rPr>
        <w:t xml:space="preserve">Severity: </w:t>
      </w:r>
      <w:r>
        <w:rPr>
          <w:b/>
          <w:color w:val="ED6C02"/>
        </w:rPr>
        <w:t>HIGH</w:t>
      </w:r>
      <w:r>
        <w:rPr>
          <w:i/>
        </w:rPr>
        <w:t xml:space="preserve">   |   Diff record: #6144</w:t>
      </w:r>
    </w:p>
    <w:p/>
    <w:p>
      <w:pPr>
        <w:pStyle w:val="Heading3"/>
      </w:pPr>
      <w:r>
        <w:t>[CHANGED] §4.28.3.6 — Deploy NGSystem components to PROD within 450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3.45.6</w:t>
            </w:r>
          </w:p>
        </w:tc>
        <w:tc>
          <w:tcPr>
            <w:tcW w:type="dxa" w:w="2880"/>
          </w:tcPr>
          <w:p>
            <w:r>
              <w:t>1</w:t>
            </w:r>
          </w:p>
        </w:tc>
      </w:tr>
      <w:tr>
        <w:tc>
          <w:tcPr>
            <w:tcW w:type="dxa" w:w="2880"/>
          </w:tcPr>
          <w:p>
            <w:r>
              <w:rPr>
                <w:b/>
              </w:rPr>
              <w:t>2026 RFP</w:t>
            </w:r>
          </w:p>
        </w:tc>
        <w:tc>
          <w:tcPr>
            <w:tcW w:type="dxa" w:w="2880"/>
          </w:tcPr>
          <w:p>
            <w:r>
              <w:t>4.28.3.6</w:t>
            </w:r>
          </w:p>
        </w:tc>
        <w:tc>
          <w:tcPr>
            <w:tcW w:type="dxa" w:w="2880"/>
          </w:tcPr>
          <w:p>
            <w:r>
              <w:t>93</w:t>
            </w:r>
          </w:p>
        </w:tc>
      </w:tr>
    </w:tbl>
    <w:p/>
    <w:p>
      <w:r>
        <w:rPr>
          <w:b/>
        </w:rPr>
        <w:t xml:space="preserve">What changed: </w:t>
      </w:r>
      <w:r>
        <w:t>Deployment deadline extended from 270 days to 450 days.</w:t>
      </w:r>
    </w:p>
    <w:p>
      <w:r>
        <w:rPr>
          <w:b/>
          <w:color w:val="0066A0"/>
        </w:rPr>
        <w:t xml:space="preserve">Why it matters: </w:t>
      </w:r>
      <w:r>
        <w:t>The PROD deployment SLA window has been extended from 270 to 450 business days (a 180-day relief), while the $5,000/day liquidated damages rate is unchanged; the SLA ID also shifted from I-13 to I-12 and 'NGContractor' was genericized to 'Contractor'. This materially reduces our schedule risk and LD exposure, and may allow us to right-size deployment staffing and contingency reserves in the bid. Action: have the schedule lead rebaseline the deployment plan to the new 450-day milestone, update LD risk reserves accordingly, and confirm the I-12 reference is consistent across the SLA matrix.</w:t>
      </w:r>
    </w:p>
    <w:p>
      <w:r>
        <w:rPr>
          <w:i/>
        </w:rPr>
        <w:t xml:space="preserve">Severity: </w:t>
      </w:r>
      <w:r>
        <w:rPr>
          <w:b/>
          <w:color w:val="ED6C02"/>
        </w:rPr>
        <w:t>HIGH</w:t>
      </w:r>
      <w:r>
        <w:rPr>
          <w:i/>
        </w:rPr>
        <w:t xml:space="preserve">   |   Diff record: #6288</w:t>
      </w:r>
    </w:p>
    <w:p/>
    <w:p>
      <w:pPr>
        <w:pStyle w:val="Heading3"/>
      </w:pPr>
      <w:r>
        <w:t>[CHANGED] §4.33.1 — Return PIF/PFF Support Hotline Calls Within 2 Business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3.13.1.5</w:t>
            </w:r>
          </w:p>
        </w:tc>
        <w:tc>
          <w:tcPr>
            <w:tcW w:type="dxa" w:w="2880"/>
          </w:tcPr>
          <w:p>
            <w:r>
              <w:t>1</w:t>
            </w:r>
          </w:p>
        </w:tc>
      </w:tr>
      <w:tr>
        <w:tc>
          <w:tcPr>
            <w:tcW w:type="dxa" w:w="2880"/>
          </w:tcPr>
          <w:p>
            <w:r>
              <w:rPr>
                <w:b/>
              </w:rPr>
              <w:t>2026 RFP</w:t>
            </w:r>
          </w:p>
        </w:tc>
        <w:tc>
          <w:tcPr>
            <w:tcW w:type="dxa" w:w="2880"/>
          </w:tcPr>
          <w:p>
            <w:r>
              <w:t>4.33.1</w:t>
            </w:r>
          </w:p>
        </w:tc>
        <w:tc>
          <w:tcPr>
            <w:tcW w:type="dxa" w:w="2880"/>
          </w:tcPr>
          <w:p>
            <w:r>
              <w:t>97</w:t>
            </w:r>
          </w:p>
        </w:tc>
      </w:tr>
    </w:tbl>
    <w:p/>
    <w:p>
      <w:r>
        <w:rPr>
          <w:b/>
        </w:rPr>
        <w:t xml:space="preserve">What changed: </w:t>
      </w:r>
      <w:r>
        <w:t>Added explicit $50 per-call financial penalty for missed callbacks or failure to meet the 98%/10-minute queue answer threshold.</w:t>
      </w:r>
    </w:p>
    <w:p>
      <w:r>
        <w:rPr>
          <w:b/>
          <w:color w:val="0066A0"/>
        </w:rPr>
        <w:t xml:space="preserve">Why it matters: </w:t>
      </w:r>
      <w:r>
        <w:t>The requirement now carries a hard $50-per-call liquidated damage for any unreturned voicemail or for failing the 98%/10-minute queue answer SLA, converting a pure performance obligation into a direct financial exposure. This affects pricing (risk reserve and contingency), staffing models (hotline coverage during business hours), and compliance reporting (per-call tracking and audit trail). Pricing should add a penalty risk loading based on forecast call volume, and Operations must design staffing, IVR queue monitoring, and callback logging to demonstrably hit the thresholds.</w:t>
      </w:r>
    </w:p>
    <w:p>
      <w:r>
        <w:rPr>
          <w:i/>
        </w:rPr>
        <w:t xml:space="preserve">Severity: </w:t>
      </w:r>
      <w:r>
        <w:rPr>
          <w:b/>
          <w:color w:val="ED6C02"/>
        </w:rPr>
        <w:t>HIGH</w:t>
      </w:r>
      <w:r>
        <w:rPr>
          <w:i/>
        </w:rPr>
        <w:t xml:space="preserve">   |   Diff record: #6433</w:t>
      </w:r>
    </w:p>
    <w:p/>
    <w:p>
      <w:pPr>
        <w:pStyle w:val="Heading3"/>
      </w:pPr>
      <w:r>
        <w:t>[CHANGED] §5.8 — Pay $1,000/Workday for Low Severity Defect Tasks Not Addressed by SLAs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7.x Liquidated Damages</w:t>
            </w:r>
          </w:p>
        </w:tc>
        <w:tc>
          <w:tcPr>
            <w:tcW w:type="dxa" w:w="2880"/>
          </w:tcPr>
          <w:p>
            <w:r>
              <w:t>1</w:t>
            </w:r>
          </w:p>
        </w:tc>
      </w:tr>
      <w:tr>
        <w:tc>
          <w:tcPr>
            <w:tcW w:type="dxa" w:w="2880"/>
          </w:tcPr>
          <w:p>
            <w:r>
              <w:rPr>
                <w:b/>
              </w:rPr>
              <w:t>2026 RFP</w:t>
            </w:r>
          </w:p>
        </w:tc>
        <w:tc>
          <w:tcPr>
            <w:tcW w:type="dxa" w:w="2880"/>
          </w:tcPr>
          <w:p>
            <w:r>
              <w:t>5.8</w:t>
            </w:r>
          </w:p>
        </w:tc>
        <w:tc>
          <w:tcPr>
            <w:tcW w:type="dxa" w:w="2880"/>
          </w:tcPr>
          <w:p>
            <w:r>
              <w:t>92</w:t>
            </w:r>
          </w:p>
        </w:tc>
      </w:tr>
    </w:tbl>
    <w:p/>
    <w:p>
      <w:r>
        <w:rPr>
          <w:b/>
        </w:rPr>
        <w:t xml:space="preserve">What changed: </w:t>
      </w:r>
      <w:r>
        <w:t>Scope narrowed to apply only to tasks not addressed by SLAs.</w:t>
      </w:r>
    </w:p>
    <w:p>
      <w:r>
        <w:rPr>
          <w:b/>
          <w:color w:val="0066A0"/>
        </w:rPr>
        <w:t xml:space="preserve">Why it matters: </w:t>
      </w:r>
      <w:r>
        <w:t>The $1,000/workday Low Severity Defect LD now applies only to tasks not already covered by SLAs, narrowing exposure compared to the prior blanket application. This reduces our LD risk contingency and may lower priced reserves, but requires a clear mapping of which operational tasks fall under SLAs versus this residual LD. Action: have ops and legal inventory SLA-covered tasks, confirm the non-SLA gap list, and adjust risk pricing and performance monitoring accordingly.</w:t>
      </w:r>
    </w:p>
    <w:p>
      <w:r>
        <w:rPr>
          <w:i/>
        </w:rPr>
        <w:t xml:space="preserve">Severity: </w:t>
      </w:r>
      <w:r>
        <w:rPr>
          <w:b/>
          <w:color w:val="ED6C02"/>
        </w:rPr>
        <w:t>HIGH</w:t>
      </w:r>
      <w:r>
        <w:rPr>
          <w:i/>
        </w:rPr>
        <w:t xml:space="preserve">   |   Diff record: #5736</w:t>
      </w:r>
    </w:p>
    <w:p/>
    <w:p>
      <w:pPr>
        <w:pStyle w:val="Heading3"/>
      </w:pPr>
      <w:r>
        <w:t>[CHANGED] §5.8 — Pay $5,000/Workday for Critical Severity Defect Tasks Not Addressed by SLAs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7.x Liquidated Damages</w:t>
            </w:r>
          </w:p>
        </w:tc>
        <w:tc>
          <w:tcPr>
            <w:tcW w:type="dxa" w:w="2880"/>
          </w:tcPr>
          <w:p>
            <w:r>
              <w:t>1</w:t>
            </w:r>
          </w:p>
        </w:tc>
      </w:tr>
      <w:tr>
        <w:tc>
          <w:tcPr>
            <w:tcW w:type="dxa" w:w="2880"/>
          </w:tcPr>
          <w:p>
            <w:r>
              <w:rPr>
                <w:b/>
              </w:rPr>
              <w:t>2026 RFP</w:t>
            </w:r>
          </w:p>
        </w:tc>
        <w:tc>
          <w:tcPr>
            <w:tcW w:type="dxa" w:w="2880"/>
          </w:tcPr>
          <w:p>
            <w:r>
              <w:t>5.8</w:t>
            </w:r>
          </w:p>
        </w:tc>
        <w:tc>
          <w:tcPr>
            <w:tcW w:type="dxa" w:w="2880"/>
          </w:tcPr>
          <w:p>
            <w:r>
              <w:t>92</w:t>
            </w:r>
          </w:p>
        </w:tc>
      </w:tr>
    </w:tbl>
    <w:p/>
    <w:p>
      <w:r>
        <w:rPr>
          <w:b/>
        </w:rPr>
        <w:t xml:space="preserve">What changed: </w:t>
      </w:r>
      <w:r>
        <w:t>Scope narrowed to tasks not addressed by SLAs that remain incomplete following a trigger date.</w:t>
      </w:r>
    </w:p>
    <w:p>
      <w:r>
        <w:rPr>
          <w:b/>
          <w:color w:val="0066A0"/>
        </w:rPr>
        <w:t xml:space="preserve">Why it matters: </w:t>
      </w:r>
      <w:r>
        <w:t>The $5,000/workday LD now applies only to Critical Severity Defect tasks that fall outside existing SLAs and remain unresolved past a trigger date, narrowing our LD exposure versus the prior blanket application. This reduces pricing risk contingency but creates a compliance gap: we must clearly map which tasks are SLA-covered vs. not, and define the trigger-date mechanics. Operations and Legal should inventory non-SLA Critical tasks, confirm trigger-date language, and adjust risk reserves and the LD pricing assumption accordingly.</w:t>
      </w:r>
    </w:p>
    <w:p>
      <w:r>
        <w:rPr>
          <w:i/>
        </w:rPr>
        <w:t xml:space="preserve">Severity: </w:t>
      </w:r>
      <w:r>
        <w:rPr>
          <w:b/>
          <w:color w:val="ED6C02"/>
        </w:rPr>
        <w:t>HIGH</w:t>
      </w:r>
      <w:r>
        <w:rPr>
          <w:i/>
        </w:rPr>
        <w:t xml:space="preserve">   |   Diff record: #5854</w:t>
      </w:r>
    </w:p>
    <w:p/>
    <w:p>
      <w:pPr>
        <w:pStyle w:val="Heading3"/>
      </w:pPr>
      <w:r>
        <w:t>[CHANGED] §5.8 — Acknowledge Liquidated Damages Are Cumulative with Other Remedies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7.x Liquidated Damages</w:t>
            </w:r>
          </w:p>
        </w:tc>
        <w:tc>
          <w:tcPr>
            <w:tcW w:type="dxa" w:w="2880"/>
          </w:tcPr>
          <w:p>
            <w:r>
              <w:t>1</w:t>
            </w:r>
          </w:p>
        </w:tc>
      </w:tr>
      <w:tr>
        <w:tc>
          <w:tcPr>
            <w:tcW w:type="dxa" w:w="2880"/>
          </w:tcPr>
          <w:p>
            <w:r>
              <w:rPr>
                <w:b/>
              </w:rPr>
              <w:t>2026 RFP</w:t>
            </w:r>
          </w:p>
        </w:tc>
        <w:tc>
          <w:tcPr>
            <w:tcW w:type="dxa" w:w="2880"/>
          </w:tcPr>
          <w:p>
            <w:r>
              <w:t>5.8</w:t>
            </w:r>
          </w:p>
        </w:tc>
        <w:tc>
          <w:tcPr>
            <w:tcW w:type="dxa" w:w="2880"/>
          </w:tcPr>
          <w:p>
            <w:r>
              <w:t>92</w:t>
            </w:r>
          </w:p>
        </w:tc>
      </w:tr>
    </w:tbl>
    <w:p/>
    <w:p>
      <w:r>
        <w:rPr>
          <w:b/>
        </w:rPr>
        <w:t xml:space="preserve">What changed: </w:t>
      </w:r>
      <w:r>
        <w:t>Added provision entitling the Division to recover liquidated damages under each section applicable to any given incident (cumulative per-section recovery).</w:t>
      </w:r>
    </w:p>
    <w:p>
      <w:r>
        <w:rPr>
          <w:b/>
          <w:color w:val="0066A0"/>
        </w:rPr>
        <w:t xml:space="preserve">Why it matters: </w:t>
      </w:r>
      <w:r>
        <w:t>The new clause adds explicit stacking: the Division may recover liquidated damages under each applicable section for a single incident, rather than capping recovery at one LD provision per event. This materially increases our financial exposure and risk-adjusted pricing, since one operational failure could trigger multiple concurrent LD assessments across SLAs, security, reporting, and performance sections. Legal and pricing should map all LD-bearing sections, model worst-case cumulative exposure per incident, and consider negotiating a per-incident or aggregate cap, plus tightening operational controls and insurance to mitigate.</w:t>
      </w:r>
    </w:p>
    <w:p>
      <w:r>
        <w:rPr>
          <w:i/>
        </w:rPr>
        <w:t xml:space="preserve">Severity: </w:t>
      </w:r>
      <w:r>
        <w:rPr>
          <w:b/>
          <w:color w:val="ED6C02"/>
        </w:rPr>
        <w:t>HIGH</w:t>
      </w:r>
      <w:r>
        <w:rPr>
          <w:i/>
        </w:rPr>
        <w:t xml:space="preserve">   |   Diff record: #5998</w:t>
      </w:r>
    </w:p>
    <w:p/>
    <w:p>
      <w:pPr>
        <w:pStyle w:val="Heading3"/>
      </w:pPr>
      <w:r>
        <w:t>[CHANGED] §5.8 / 4.28.1 — SLA I-8: Submit Acceptance Testing Procedure (ATP) for State Approval Within 335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3.44</w:t>
            </w:r>
          </w:p>
        </w:tc>
        <w:tc>
          <w:tcPr>
            <w:tcW w:type="dxa" w:w="2880"/>
          </w:tcPr>
          <w:p>
            <w:r>
              <w:t>1</w:t>
            </w:r>
          </w:p>
        </w:tc>
      </w:tr>
      <w:tr>
        <w:tc>
          <w:tcPr>
            <w:tcW w:type="dxa" w:w="2880"/>
          </w:tcPr>
          <w:p>
            <w:r>
              <w:rPr>
                <w:b/>
              </w:rPr>
              <w:t>2026 RFP</w:t>
            </w:r>
          </w:p>
        </w:tc>
        <w:tc>
          <w:tcPr>
            <w:tcW w:type="dxa" w:w="2880"/>
          </w:tcPr>
          <w:p>
            <w:r>
              <w:t>5.8 / 4.28.1</w:t>
            </w:r>
          </w:p>
        </w:tc>
        <w:tc>
          <w:tcPr>
            <w:tcW w:type="dxa" w:w="2880"/>
          </w:tcPr>
          <w:p>
            <w:r>
              <w:t>93</w:t>
            </w:r>
          </w:p>
        </w:tc>
      </w:tr>
    </w:tbl>
    <w:p/>
    <w:p>
      <w:r>
        <w:rPr>
          <w:b/>
        </w:rPr>
        <w:t xml:space="preserve">What changed: </w:t>
      </w:r>
      <w:r>
        <w:t>Deadline extended from Start+220 days to 335 days, SLA renumbered from I-9 to I-8, and a $1,000 per business day penalty was added.</w:t>
      </w:r>
    </w:p>
    <w:p>
      <w:r>
        <w:rPr>
          <w:b/>
          <w:color w:val="0066A0"/>
        </w:rPr>
        <w:t xml:space="preserve">Why it matters: </w:t>
      </w:r>
      <w:r>
        <w:t>The ATP submission deadline was extended to 335 days (from Start+220), giving more schedule float, but a new $1,000/business day liquidated damages clause now ties directly to missing that date. This shifts the requirement from a soft milestone to a financially material SLA that must be priced into our risk reserve and reflected in the master schedule. Action: confirm the 335-day path is achievable in our integrated schedule, update the SLA register with the new I-8 numbering, and have pricing/risk add a contingency for potential LDs.</w:t>
      </w:r>
    </w:p>
    <w:p>
      <w:r>
        <w:rPr>
          <w:i/>
        </w:rPr>
        <w:t xml:space="preserve">Severity: </w:t>
      </w:r>
      <w:r>
        <w:rPr>
          <w:b/>
          <w:color w:val="ED6C02"/>
        </w:rPr>
        <w:t>HIGH</w:t>
      </w:r>
      <w:r>
        <w:rPr>
          <w:i/>
        </w:rPr>
        <w:t xml:space="preserve">   |   Diff record: #6145</w:t>
      </w:r>
    </w:p>
    <w:p/>
    <w:p>
      <w:pPr>
        <w:pStyle w:val="Heading3"/>
      </w:pPr>
      <w:r>
        <w:t>[REMOVED] §3.1.2 — Take over CIF operations and management within 90 days (SLA I-1)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3.1.2</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90-day takeover SLA with escalating per-day liquidated damages is a high-value, specific obligation that is unlikely to simply vanish—it's probably relocated into a revised transition/implementation section or SLA appendix under a new label and missed by the matcher. Action: have the compliance lead manually search the new RFP for transition, cutover, and LD clauses to confirm true removal versus relocation, then update the compliance matrix and pricing assumptions accordingly, since LDs materially affect our risk reserve.</w:t>
      </w:r>
    </w:p>
    <w:p>
      <w:r>
        <w:rPr>
          <w:i/>
        </w:rPr>
        <w:t xml:space="preserve">Severity: </w:t>
      </w:r>
      <w:r>
        <w:rPr>
          <w:b/>
          <w:color w:val="ED6C02"/>
        </w:rPr>
        <w:t>HIGH</w:t>
      </w:r>
      <w:r>
        <w:rPr>
          <w:i/>
        </w:rPr>
        <w:t xml:space="preserve">   |   Diff record: #6509</w:t>
      </w:r>
    </w:p>
    <w:p/>
    <w:p>
      <w:pPr>
        <w:pStyle w:val="Heading3"/>
      </w:pPr>
      <w:r>
        <w:t>[REMOVED] §3.17(C) — Liquidated Damages for Wait Time Violations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3.17(C)</w:t>
            </w:r>
          </w:p>
        </w:tc>
        <w:tc>
          <w:tcPr>
            <w:tcW w:type="dxa" w:w="2880"/>
          </w:tcPr>
          <w:p>
            <w:r>
              <w:t>—</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Liquidated damages clauses for wait-time violations are rarely deleted outright—this is most likely relocated to a new section (e.g., a consolidated LD/penalties schedule or SLA exhibit) and missed by the matcher, though a true removal would materially reduce our financial risk on dwell-time performance. Action: have the compliance lead grep the new RFP for 'liquidated damages,' 'wait,' '$1,000,' and 'penalt' to confirm location, then either update the compliance matrix mapping or formally log the removal and re-baseline the risk-adjusted price.</w:t>
      </w:r>
    </w:p>
    <w:p>
      <w:r>
        <w:rPr>
          <w:i/>
        </w:rPr>
        <w:t xml:space="preserve">Severity: </w:t>
      </w:r>
      <w:r>
        <w:rPr>
          <w:b/>
          <w:color w:val="ED6C02"/>
        </w:rPr>
        <w:t>HIGH</w:t>
      </w:r>
      <w:r>
        <w:rPr>
          <w:i/>
        </w:rPr>
        <w:t xml:space="preserve">   |   Diff record: #7585</w:t>
      </w:r>
    </w:p>
    <w:p/>
    <w:p>
      <w:pPr>
        <w:pStyle w:val="Heading3"/>
      </w:pPr>
      <w:r>
        <w:t>[REMOVED] §3.45.7 — Liquidated damages for Critical Severity Defect correction/promotion delays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3.45.7</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likely a relocated/renamed provision rather than a true removal—LDs tied to Critical Severity Defect correction SLAs are a standard contractual hammer that rarely disappears, and may now be consolidated under a general SLA/LD schedule or rolled into the defect remediation clause with revised cure periods or dollar amounts. Action: have the compliance lead grep the new RFP for 'liquidated damages,' 'Critical Severity,' 'promotion to production,' and the SLA exhibit before declaring it removed; if confirmed gone, flag to pricing/risk to potentially relax our remediation staffing buffer, and update the compliance matrix accordingly.</w:t>
      </w:r>
    </w:p>
    <w:p>
      <w:r>
        <w:rPr>
          <w:i/>
        </w:rPr>
        <w:t xml:space="preserve">Severity: </w:t>
      </w:r>
      <w:r>
        <w:rPr>
          <w:b/>
          <w:color w:val="ED6C02"/>
        </w:rPr>
        <w:t>HIGH</w:t>
      </w:r>
      <w:r>
        <w:rPr>
          <w:i/>
        </w:rPr>
        <w:t xml:space="preserve">   |   Diff record: #6733</w:t>
      </w:r>
    </w:p>
    <w:p/>
    <w:p>
      <w:pPr>
        <w:pStyle w:val="Heading3"/>
      </w:pPr>
      <w:r>
        <w:t>[REMOVED] §3.45.7 — Liquidated damages for Moderate Severity Defect delays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3.45.7</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Liquidated damages clauses for defect remediation delays are rarely truly deleted—this language is almost certainly relocated to a consolidated SLA/remedies section or rolled into a broader severity-tiered LD table that our matcher failed to align. Action: have the contracts lead grep the new RFP for 'liquidated damages,' 'business days,' and severity terms to locate the successor clause, confirm the per-day amounts and cure windows, and update the compliance matrix accordingly before assuming any reduction in financial exposure.</w:t>
      </w:r>
    </w:p>
    <w:p>
      <w:r>
        <w:rPr>
          <w:i/>
        </w:rPr>
        <w:t xml:space="preserve">Severity: </w:t>
      </w:r>
      <w:r>
        <w:rPr>
          <w:b/>
          <w:color w:val="ED6C02"/>
        </w:rPr>
        <w:t>HIGH</w:t>
      </w:r>
      <w:r>
        <w:rPr>
          <w:i/>
        </w:rPr>
        <w:t xml:space="preserve">   |   Diff record: #6734</w:t>
      </w:r>
    </w:p>
    <w:p/>
    <w:p>
      <w:pPr>
        <w:pStyle w:val="Heading3"/>
      </w:pPr>
      <w:r>
        <w:t>[REMOVED] §3.6.1 — Limit Production NGSystem downtime — first 180 days (SLA O-7a)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a steep, dollar-denominated SLA ($5K + $5K/15min) tied to a defined 180-day stabilization window, so its disappearance is more likely a relocation/rename (e.g., folded into a consolidated SLA table or warranty section) than a true removal — vendors rarely drop liquidated-damages clauses outright. Action: have the compliance lead grep the new RFP for downtime/availability/liquidated damages language, confirm with the CO in writing whether O-7a is deleted or renumbered, and update the compliance matrix and pricing risk reserve accordingly before assuming relief.</w:t>
      </w:r>
    </w:p>
    <w:p>
      <w:r>
        <w:rPr>
          <w:i/>
        </w:rPr>
        <w:t xml:space="preserve">Severity: </w:t>
      </w:r>
      <w:r>
        <w:rPr>
          <w:b/>
          <w:color w:val="ED6C02"/>
        </w:rPr>
        <w:t>HIGH</w:t>
      </w:r>
      <w:r>
        <w:rPr>
          <w:i/>
        </w:rPr>
        <w:t xml:space="preserve">   |   Diff record: #6769</w:t>
      </w:r>
    </w:p>
    <w:p/>
    <w:p>
      <w:pPr>
        <w:pStyle w:val="Heading3"/>
      </w:pPr>
      <w:r>
        <w:t>[REMOVED] §3.6.1 — Liquidated damages for NJ OIT 1-minute transmission failures (O-5)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Likely a true removal of the per-record $50 LD penalty for 1-minute transmission failures, but given LDs are commonly relocated into a consolidated SLA/penalties section, the team should grep the new RFP for 'liquidated damages,' 'transmission,' '1 minute,' and 'OIT' before declaring it gone. Action: assign capture/compliance to verify removal vs. relocation, then update the compliance matrix and re-baseline pricing assumptions if the LD risk is truly eliminated.</w:t>
      </w:r>
    </w:p>
    <w:p>
      <w:r>
        <w:rPr>
          <w:i/>
        </w:rPr>
        <w:t xml:space="preserve">Severity: </w:t>
      </w:r>
      <w:r>
        <w:rPr>
          <w:b/>
          <w:color w:val="ED6C02"/>
        </w:rPr>
        <w:t>HIGH</w:t>
      </w:r>
      <w:r>
        <w:rPr>
          <w:i/>
        </w:rPr>
        <w:t xml:space="preserve">   |   Diff record: #6774</w:t>
      </w:r>
    </w:p>
    <w:p/>
    <w:p>
      <w:pPr>
        <w:pStyle w:val="Heading3"/>
      </w:pPr>
      <w:r>
        <w:t>[REMOVED] §3.6.1 — Liquidated damages for replication delay &gt;60 seconds (O-6)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Liquidated damages clauses are rarely deleted outright; this O-6 LD provision is more likely relocated to a consolidated SLA/remedies section or rolled into a broader replication SLA in the new RFP rather than truly removed. Action: have legal/compliance search the new doc for replication, RPO, LD, and remedies language to confirm, and only mark as removed in the compliance matrix after written verification—pricing assumptions for LD risk reserves should not be relaxed until then.</w:t>
      </w:r>
    </w:p>
    <w:p>
      <w:r>
        <w:rPr>
          <w:i/>
        </w:rPr>
        <w:t xml:space="preserve">Severity: </w:t>
      </w:r>
      <w:r>
        <w:rPr>
          <w:b/>
          <w:color w:val="ED6C02"/>
        </w:rPr>
        <w:t>HIGH</w:t>
      </w:r>
      <w:r>
        <w:rPr>
          <w:i/>
        </w:rPr>
        <w:t xml:space="preserve">   |   Diff record: #6775</w:t>
      </w:r>
    </w:p>
    <w:p/>
    <w:p>
      <w:pPr>
        <w:pStyle w:val="Heading3"/>
      </w:pPr>
      <w:r>
        <w:t>[REMOVED] §3.6.1 — Liquidated damages for principal-hours downtime (O-7a)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Given the highly specific dollar amounts and tiered structure (e.g., $5K/4hr, 8hr cumulative/180 days, $5K/15min), this LD clause is unlikely to have simply vanished and is more probably relocated or rephrased under a service-levels, penalties, or SLA section in the new RFP. Action: have compliance manually search the new doc for 'liquidated damages,' 'downtime,' and dollar-figure terms before updating the matrix as 'removed'—if truly gone, this materially reduces our financial risk exposure and should trigger a price/contingency review.</w:t>
      </w:r>
    </w:p>
    <w:p>
      <w:r>
        <w:rPr>
          <w:i/>
        </w:rPr>
        <w:t xml:space="preserve">Severity: </w:t>
      </w:r>
      <w:r>
        <w:rPr>
          <w:b/>
          <w:color w:val="ED6C02"/>
        </w:rPr>
        <w:t>HIGH</w:t>
      </w:r>
      <w:r>
        <w:rPr>
          <w:i/>
        </w:rPr>
        <w:t xml:space="preserve">   |   Diff record: #6776</w:t>
      </w:r>
    </w:p>
    <w:p/>
    <w:p>
      <w:pPr>
        <w:pStyle w:val="Heading3"/>
      </w:pPr>
      <w:r>
        <w:t>[REMOVED] §3.6.1 — Liquidated damages for principal-hours downtime (O-7b)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Liquidated damages clauses of this magnitude ($5K/event with escalating per-15-minute penalties) are rarely silently dropped from a solicitation; this is more likely relocated to an SLA/performance annex or renamed (e.g., 'service credits' or 'availability penalties') and missed by the matcher. Team should verify with a keyword sweep (liquidated damages, downtime, service credit, $5,000, 15 minutes) across the new RFP and any referenced attachments before treating it as removed, and flag the compliance matrix entry as 'pending verification' rather than closing it out.</w:t>
      </w:r>
    </w:p>
    <w:p>
      <w:r>
        <w:rPr>
          <w:i/>
        </w:rPr>
        <w:t xml:space="preserve">Severity: </w:t>
      </w:r>
      <w:r>
        <w:rPr>
          <w:b/>
          <w:color w:val="ED6C02"/>
        </w:rPr>
        <w:t>HIGH</w:t>
      </w:r>
      <w:r>
        <w:rPr>
          <w:i/>
        </w:rPr>
        <w:t xml:space="preserve">   |   Diff record: #6777</w:t>
      </w:r>
    </w:p>
    <w:p/>
    <w:p>
      <w:pPr>
        <w:pStyle w:val="Heading3"/>
      </w:pPr>
      <w:r>
        <w:t>[REMOVED] §3.6.1 — Liquidated damages for non-principal-hours downtime (O-8a/O-8b)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Specific dollar-denominated LDs for non-principal-hours downtime ($5K per event after 8 consecutive or 16 cumulative hours/180 days, plus $5K/60 min thereafter) are highly unlikely to simply vanish—LD schedules are typically retained but renamed, consolidated into a single SLA/credits table, or shifted to an attachment/CDRL. Action: have Contracts and the SLA SME do a targeted keyword sweep (LD, liquidated, downtime, service credit, non-principal, O-8) across the new RFP and its attachments before flagging as removed; if truly absent, log as a favorable change in the compliance matrix and confirm with the CO via Q&amp;A.</w:t>
      </w:r>
    </w:p>
    <w:p>
      <w:r>
        <w:rPr>
          <w:i/>
        </w:rPr>
        <w:t xml:space="preserve">Severity: </w:t>
      </w:r>
      <w:r>
        <w:rPr>
          <w:b/>
          <w:color w:val="ED6C02"/>
        </w:rPr>
        <w:t>HIGH</w:t>
      </w:r>
      <w:r>
        <w:rPr>
          <w:i/>
        </w:rPr>
        <w:t xml:space="preserve">   |   Diff record: #6778</w:t>
      </w:r>
    </w:p>
    <w:p/>
    <w:p>
      <w:pPr>
        <w:pStyle w:val="Heading3"/>
      </w:pPr>
      <w:r>
        <w:t>[REMOVED] §3.6.1 — Liquidated damages for NGWorkstation response time &gt;5 sec (O-9)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LD clause ($1,000/day for &gt;5 sec NGWorkstation response time) is highly specific and unlikely to be a rename collision; however, performance-based LDs are commonly relocated into a consolidated SLA/LD schedule or pricing annex, so a true removal cannot be assumed. Action: have compliance manually search the new RFP for 'liquidated damages,' 'response time,' and SLA tables before flagging as removed, then update the compliance matrix and notify pricing/legal since reinstatement materially affects risk pricing.</w:t>
      </w:r>
    </w:p>
    <w:p>
      <w:r>
        <w:rPr>
          <w:i/>
        </w:rPr>
        <w:t xml:space="preserve">Severity: </w:t>
      </w:r>
      <w:r>
        <w:rPr>
          <w:b/>
          <w:color w:val="ED6C02"/>
        </w:rPr>
        <w:t>HIGH</w:t>
      </w:r>
      <w:r>
        <w:rPr>
          <w:i/>
        </w:rPr>
        <w:t xml:space="preserve">   |   Diff record: #6779</w:t>
      </w:r>
    </w:p>
    <w:p/>
    <w:p>
      <w:pPr>
        <w:pStyle w:val="Heading3"/>
      </w:pPr>
      <w:r>
        <w:t>[REMOVED] §3.6.1 — Liquidated damages for UAT NGSystem downtime (O-10)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likely not a true removal—LDs for UAT downtime are a standard risk-shifting clause typically retained and often relocated to an SLA/penalties schedule or renamed (e.g., 'service credits' or 'downtime penalties'); our matcher may have missed it due to changed wording or section renumbering. Action: have the compliance lead manually search the new doc for downtime/LD/service credit language, confirm whether the obligation persists or has been dropped, and update the compliance matrix accordingly before pricing risk reserves.</w:t>
      </w:r>
    </w:p>
    <w:p>
      <w:r>
        <w:rPr>
          <w:i/>
        </w:rPr>
        <w:t xml:space="preserve">Severity: </w:t>
      </w:r>
      <w:r>
        <w:rPr>
          <w:b/>
          <w:color w:val="ED6C02"/>
        </w:rPr>
        <w:t>HIGH</w:t>
      </w:r>
      <w:r>
        <w:rPr>
          <w:i/>
        </w:rPr>
        <w:t xml:space="preserve">   |   Diff record: #6780</w:t>
      </w:r>
    </w:p>
    <w:p/>
    <w:p>
      <w:pPr>
        <w:pStyle w:val="Heading3"/>
      </w:pPr>
      <w:r>
        <w:t>[REMOVED] §3.6.1 — Liquidated damages for OBD communications rate failures (O-13)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3.6.1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LD clause for OBD communications rate failures appears removed, but given its specificity and dollar value, it is more likely relocated/renamed within a consolidated LDs or SLA penalties section that our matcher failed to align. Action: have compliance lead manually search the new RFP for OBD/communications rate, LDs, and SLA penalty language to confirm true removal versus relocation, and update the compliance matrix accordingly before pricing assumes the risk is gone.</w:t>
      </w:r>
    </w:p>
    <w:p>
      <w:r>
        <w:rPr>
          <w:i/>
        </w:rPr>
        <w:t xml:space="preserve">Severity: </w:t>
      </w:r>
      <w:r>
        <w:rPr>
          <w:b/>
          <w:color w:val="ED6C02"/>
        </w:rPr>
        <w:t>HIGH</w:t>
      </w:r>
      <w:r>
        <w:rPr>
          <w:i/>
        </w:rPr>
        <w:t xml:space="preserve">   |   Diff record: #6781</w:t>
      </w:r>
    </w:p>
    <w:p/>
    <w:p>
      <w:pPr>
        <w:pStyle w:val="Heading3"/>
      </w:pPr>
      <w:r>
        <w:t>[REMOVED] §5.14 — Liquidated Damages provisions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5.14</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Liquidated Damages provisions are foundational risk/financial terms that agencies rarely eliminate outright, so this is most likely relocated or renamed (e.g., merged into a Performance Standards, Service Level, or Remedies section) rather than truly removed. Action: have legal/compliance manually search the new RFP for LD, performance credit, or remedies language before updating the compliance matrix, and confirm with the CO if no equivalent is found.</w:t>
      </w:r>
    </w:p>
    <w:p>
      <w:r>
        <w:rPr>
          <w:i/>
        </w:rPr>
        <w:t xml:space="preserve">Severity: </w:t>
      </w:r>
      <w:r>
        <w:rPr>
          <w:b/>
          <w:color w:val="ED6C02"/>
        </w:rPr>
        <w:t>HIGH</w:t>
      </w:r>
      <w:r>
        <w:rPr>
          <w:i/>
        </w:rPr>
        <w:t xml:space="preserve">   |   Diff record: #6800</w:t>
      </w:r>
    </w:p>
    <w:p/>
    <w:p>
      <w:pPr>
        <w:pStyle w:val="Heading3"/>
      </w:pPr>
      <w:r>
        <w:t>[REMOVED] §7.x Liquidated Damages — Service Level Agreements govern in addition to default LD amounts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7.x Liquidated Damages</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LD/SLA stacking provision is fundamental contract risk language and is unlikely to be a true removal—it's almost certainly relocated or restructured within a revised Liquidated Damages, SLA, or Performance Standards section that our matcher failed to align (possibly renumbered or split across Implementation/Operations/Post-Operations SLA tables). Action: have legal/contracts manually search the new RFP for LD, SLA enforcement, and per-phase service level clauses to confirm relocation versus removal, then update the compliance matrix and pricing risk reserve accordingly before assuming relief.</w:t>
      </w:r>
    </w:p>
    <w:p>
      <w:r>
        <w:rPr>
          <w:i/>
        </w:rPr>
        <w:t xml:space="preserve">Severity: </w:t>
      </w:r>
      <w:r>
        <w:rPr>
          <w:b/>
          <w:color w:val="ED6C02"/>
        </w:rPr>
        <w:t>HIGH</w:t>
      </w:r>
      <w:r>
        <w:rPr>
          <w:i/>
        </w:rPr>
        <w:t xml:space="preserve">   |   Diff record: #6856</w:t>
      </w:r>
    </w:p>
    <w:p/>
    <w:p>
      <w:pPr>
        <w:pStyle w:val="Heading3"/>
      </w:pPr>
      <w:r>
        <w:t>[REMOVED] §Audit SLAs — Initial benchmark maximum equipment audit failure rate of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Audit SLAs</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likely a relocated/renamed clause rather than a true removal — audit failure benchmarks are core to State equipment audit programs and typically reappear under 'Performance Standards,' 'Quality Assurance,' or 'Liquidated Damages' sections, possibly with revised thresholds. Team should search the new RFP for any audit failure rate, benchmark, or QA threshold language before updating the compliance matrix, and confirm with the State via Q&amp;A if no equivalent is found.</w:t>
      </w:r>
    </w:p>
    <w:p>
      <w:r>
        <w:rPr>
          <w:i/>
        </w:rPr>
        <w:t xml:space="preserve">Severity: </w:t>
      </w:r>
      <w:r>
        <w:rPr>
          <w:b/>
          <w:color w:val="ED6C02"/>
        </w:rPr>
        <w:t>HIGH</w:t>
      </w:r>
      <w:r>
        <w:rPr>
          <w:i/>
        </w:rPr>
        <w:t xml:space="preserve">   |   Diff record: #6898</w:t>
      </w:r>
    </w:p>
    <w:p/>
    <w:p>
      <w:pPr>
        <w:pStyle w:val="Heading3"/>
      </w:pPr>
      <w:r>
        <w:t>[REMOVED] §NGWorkstation Maintenance at PIFs and PFFs — Refund for late delivery beyond 90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NGWorkstation Maintenance at PIFs and PFFs</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a financially material liquidated-damages clause (escalating 5% refunds for late delivery past 90 days), and such terms are typically retained but moved to a Delivery, Payment, or Remedies section rather than dropped outright—our matcher likely missed a relocation/rename. Action: manually search the new RFP for terms like 'refund', 'late delivery', '90 days', 'deposit', and liquidated damages before treating as removed, and flag in the compliance matrix as 'pending verification' since reintroduction would directly impact pricing and risk reserves.</w:t>
      </w:r>
    </w:p>
    <w:p>
      <w:r>
        <w:rPr>
          <w:i/>
        </w:rPr>
        <w:t xml:space="preserve">Severity: </w:t>
      </w:r>
      <w:r>
        <w:rPr>
          <w:b/>
          <w:color w:val="ED6C02"/>
        </w:rPr>
        <w:t>HIGH</w:t>
      </w:r>
      <w:r>
        <w:rPr>
          <w:i/>
        </w:rPr>
        <w:t xml:space="preserve">   |   Diff record: #7201</w:t>
      </w:r>
    </w:p>
    <w:p/>
    <w:p>
      <w:pPr>
        <w:pStyle w:val="Heading3"/>
      </w:pPr>
      <w:r>
        <w:t>[ADDED] §3.2J Requirements — Audit protocol applicable to CIFs, PIFs, PFFs, SIFs, BITs, and MITs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3.2J Requirements</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audit protocol creates an open-ended right for the state to inspect emissions testing equipment at any inspection facility (CIFs, PIFs, PFFs, SIFs, BITs, MITs) on a scheduled or surprise basis, exposing us to operational disruption, findings, and potential liquidated damages if equipment is out of spec. The team must build a proactive internal QA/calibration and self-audit program, document audit-readiness procedures and staff training in the technical proposal, and price the recurring labor, calibration, and contingency costs into our cost volume.</w:t>
      </w:r>
    </w:p>
    <w:p>
      <w:r>
        <w:rPr>
          <w:i/>
        </w:rPr>
        <w:t xml:space="preserve">Severity: </w:t>
      </w:r>
      <w:r>
        <w:rPr>
          <w:b/>
          <w:color w:val="ED6C02"/>
        </w:rPr>
        <w:t>HIGH</w:t>
      </w:r>
      <w:r>
        <w:rPr>
          <w:i/>
        </w:rPr>
        <w:t xml:space="preserve">   |   Diff record: #8665</w:t>
      </w:r>
    </w:p>
    <w:p/>
    <w:p>
      <w:pPr>
        <w:pStyle w:val="Heading3"/>
      </w:pPr>
      <w:r>
        <w:t>[ADDED] §3.4A-12.4 — Category 1 communications rate ≥ 99.9%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3.4A-12.4</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99.9% communications rate floor for Category 1 OBD-eligible light-duty vehicles (≤8,500 lbs GVWR) imposes a hard performance threshold that directly drives our telematics/OBD hardware selection, network redundancy design, and SLA commitments — failure to meet it risks disqualification or liquidated damages. Engineering and operations should immediately validate whether our current OBD device fleet and carrier coverage can demonstrably achieve ≥99.9% comms uptime, and pricing should reflect any hardware upgrades, multi-carrier failover, or monitoring tooling required.</w:t>
      </w:r>
    </w:p>
    <w:p>
      <w:r>
        <w:rPr>
          <w:i/>
        </w:rPr>
        <w:t xml:space="preserve">Severity: </w:t>
      </w:r>
      <w:r>
        <w:rPr>
          <w:b/>
          <w:color w:val="ED6C02"/>
        </w:rPr>
        <w:t>HIGH</w:t>
      </w:r>
      <w:r>
        <w:rPr>
          <w:i/>
        </w:rPr>
        <w:t xml:space="preserve">   |   Diff record: #8071</w:t>
      </w:r>
    </w:p>
    <w:p/>
    <w:p>
      <w:pPr>
        <w:pStyle w:val="Heading3"/>
      </w:pPr>
      <w:r>
        <w:t>[ADDED] §4.12.D.1 — SLA: Hourly average Wait Time not to exceed 30 minutes in two contiguous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4.12.D.1</w:t>
            </w:r>
          </w:p>
        </w:tc>
        <w:tc>
          <w:tcPr>
            <w:tcW w:type="dxa" w:w="2880"/>
          </w:tcPr>
          <w:p>
            <w:r>
              <w:t>42</w:t>
            </w:r>
          </w:p>
        </w:tc>
      </w:tr>
    </w:tbl>
    <w:p/>
    <w:p>
      <w:r>
        <w:rPr>
          <w:b/>
        </w:rPr>
        <w:t xml:space="preserve">What changed: </w:t>
      </w:r>
      <w:r>
        <w:t>NEW requirement in 2026 not present in the 2021 baseline.</w:t>
      </w:r>
    </w:p>
    <w:p>
      <w:r>
        <w:rPr>
          <w:b/>
          <w:color w:val="0066A0"/>
        </w:rPr>
        <w:t xml:space="preserve">Why it matters: </w:t>
      </w:r>
      <w:r>
        <w:t>This new SLA imposes a measurable hourly wait-time cap (30 min over any two contiguous hours per facility) that creates direct financial and performance risk if breached, requiring our staffing model, queue management, and reporting tools to demonstrate continuous compliance. Operations and pricing leads must validate peak-hour staffing assumptions, build hourly wait-time monitoring/reporting into the CONOPS, and confirm any associated liquidated damages or cure provisions are priced in.</w:t>
      </w:r>
    </w:p>
    <w:p>
      <w:r>
        <w:rPr>
          <w:i/>
        </w:rPr>
        <w:t xml:space="preserve">Severity: </w:t>
      </w:r>
      <w:r>
        <w:rPr>
          <w:b/>
          <w:color w:val="ED6C02"/>
        </w:rPr>
        <w:t>HIGH</w:t>
      </w:r>
      <w:r>
        <w:rPr>
          <w:i/>
        </w:rPr>
        <w:t xml:space="preserve">   |   Diff record: #7911</w:t>
      </w:r>
    </w:p>
    <w:p/>
    <w:p>
      <w:pPr>
        <w:pStyle w:val="Heading3"/>
      </w:pPr>
      <w:r>
        <w:t>[ADDED] §4.12.D.3 — SLA: Wait Time system inoperative no more than one hour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4.12.D.3</w:t>
            </w:r>
          </w:p>
        </w:tc>
        <w:tc>
          <w:tcPr>
            <w:tcW w:type="dxa" w:w="2880"/>
          </w:tcPr>
          <w:p>
            <w:r>
              <w:t>42</w:t>
            </w:r>
          </w:p>
        </w:tc>
      </w:tr>
    </w:tbl>
    <w:p/>
    <w:p>
      <w:r>
        <w:rPr>
          <w:b/>
        </w:rPr>
        <w:t xml:space="preserve">What changed: </w:t>
      </w:r>
      <w:r>
        <w:t>NEW requirement in 2026 not present in the 2021 baseline.</w:t>
      </w:r>
    </w:p>
    <w:p>
      <w:r>
        <w:rPr>
          <w:b/>
          <w:color w:val="0066A0"/>
        </w:rPr>
        <w:t xml:space="preserve">Why it matters: </w:t>
      </w:r>
      <w:r>
        <w:t>This new SLA imposes a strict 1-hour maximum outage window per CIF on the Wait Time system, creating direct financial/violation exposure that drives our redundancy, monitoring, and field response design. Engineering and Ops must price in HA architecture, real-time outage alerting, and a sub-1-hour onsite/remote restoration capability, and Capture should confirm whether violations carry liquidated damages.</w:t>
      </w:r>
    </w:p>
    <w:p>
      <w:r>
        <w:rPr>
          <w:i/>
        </w:rPr>
        <w:t xml:space="preserve">Severity: </w:t>
      </w:r>
      <w:r>
        <w:rPr>
          <w:b/>
          <w:color w:val="ED6C02"/>
        </w:rPr>
        <w:t>HIGH</w:t>
      </w:r>
      <w:r>
        <w:rPr>
          <w:i/>
        </w:rPr>
        <w:t xml:space="preserve">   |   Diff record: #8546</w:t>
      </w:r>
    </w:p>
    <w:p/>
    <w:p>
      <w:pPr>
        <w:pStyle w:val="Heading3"/>
      </w:pPr>
      <w:r>
        <w:t>[ADDED] §4.20.4.D — Complete full rollout and activation within 18 months of Contract Effective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4.20.4.D</w:t>
            </w:r>
          </w:p>
        </w:tc>
        <w:tc>
          <w:tcPr>
            <w:tcW w:type="dxa" w:w="2880"/>
          </w:tcPr>
          <w:p>
            <w:r>
              <w:t>54</w:t>
            </w:r>
          </w:p>
        </w:tc>
      </w:tr>
    </w:tbl>
    <w:p/>
    <w:p>
      <w:r>
        <w:rPr>
          <w:b/>
        </w:rPr>
        <w:t xml:space="preserve">What changed: </w:t>
      </w:r>
      <w:r>
        <w:t>NEW requirement in 2026 not present in the 2021 baseline.</w:t>
      </w:r>
    </w:p>
    <w:p>
      <w:r>
        <w:rPr>
          <w:b/>
          <w:color w:val="0066A0"/>
        </w:rPr>
        <w:t xml:space="preserve">Why it matters: </w:t>
      </w:r>
      <w:r>
        <w:t>This new 18-month full rollout and activation deadline imposes a hard schedule constraint that drives equipment procurement lead times, installation sequencing, and activation testing—missing it likely triggers default or liquidated damages. Capture and operations should immediately build a deployment schedule with vendor commitments and risk buffers, and price in expedited logistics and surge labor to ensure on-time activation.</w:t>
      </w:r>
    </w:p>
    <w:p>
      <w:r>
        <w:rPr>
          <w:i/>
        </w:rPr>
        <w:t xml:space="preserve">Severity: </w:t>
      </w:r>
      <w:r>
        <w:rPr>
          <w:b/>
          <w:color w:val="ED6C02"/>
        </w:rPr>
        <w:t>HIGH</w:t>
      </w:r>
      <w:r>
        <w:rPr>
          <w:i/>
        </w:rPr>
        <w:t xml:space="preserve">   |   Diff record: #8246</w:t>
      </w:r>
    </w:p>
    <w:p/>
    <w:p>
      <w:pPr>
        <w:pStyle w:val="Heading3"/>
      </w:pPr>
      <w:r>
        <w:t>[ADDED] §4.28.2 — Conduct User Acceptance Testing within 365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4.28.2</w:t>
            </w:r>
          </w:p>
        </w:tc>
        <w:tc>
          <w:tcPr>
            <w:tcW w:type="dxa" w:w="2880"/>
          </w:tcPr>
          <w:p>
            <w:r>
              <w:t>93</w:t>
            </w:r>
          </w:p>
        </w:tc>
      </w:tr>
    </w:tbl>
    <w:p/>
    <w:p>
      <w:r>
        <w:rPr>
          <w:b/>
        </w:rPr>
        <w:t xml:space="preserve">What changed: </w:t>
      </w:r>
      <w:r>
        <w:t>NEW requirement in 2026 not present in the 2021 baseline.</w:t>
      </w:r>
    </w:p>
    <w:p>
      <w:r>
        <w:rPr>
          <w:b/>
          <w:color w:val="0066A0"/>
        </w:rPr>
        <w:t xml:space="preserve">Why it matters: </w:t>
      </w:r>
      <w:r>
        <w:t>This new requirement imposes a hard 365-day deadline for completing UAT with $1,000/business day liquidated damages, creating direct schedule and financial risk if our delivery plan slips. The team must validate that our project schedule, UAT environment readiness, and ATP/script delivery align to this timeline and price the LD exposure into our risk reserve.</w:t>
      </w:r>
    </w:p>
    <w:p>
      <w:r>
        <w:rPr>
          <w:i/>
        </w:rPr>
        <w:t xml:space="preserve">Severity: </w:t>
      </w:r>
      <w:r>
        <w:rPr>
          <w:b/>
          <w:color w:val="ED6C02"/>
        </w:rPr>
        <w:t>HIGH</w:t>
      </w:r>
      <w:r>
        <w:rPr>
          <w:i/>
        </w:rPr>
        <w:t xml:space="preserve">   |   Diff record: #7805</w:t>
      </w:r>
    </w:p>
    <w:p/>
    <w:p>
      <w:pPr>
        <w:pStyle w:val="Heading3"/>
      </w:pPr>
      <w:r>
        <w:t>[ADDED] §4.31.2 — Implement Major Software Releases Within 180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4.31.2</w:t>
            </w:r>
          </w:p>
        </w:tc>
        <w:tc>
          <w:tcPr>
            <w:tcW w:type="dxa" w:w="2880"/>
          </w:tcPr>
          <w:p>
            <w:r>
              <w:t>97</w:t>
            </w:r>
          </w:p>
        </w:tc>
      </w:tr>
    </w:tbl>
    <w:p/>
    <w:p>
      <w:r>
        <w:rPr>
          <w:b/>
        </w:rPr>
        <w:t xml:space="preserve">What changed: </w:t>
      </w:r>
      <w:r>
        <w:t>NEW requirement in 2026 not present in the 2021 baseline.</w:t>
      </w:r>
    </w:p>
    <w:p>
      <w:r>
        <w:rPr>
          <w:b/>
          <w:color w:val="0066A0"/>
        </w:rPr>
        <w:t xml:space="preserve">Why it matters: </w:t>
      </w:r>
      <w:r>
        <w:t>This new clause imposes $500/day liquidated damages if major software releases aren't deployed within 180 days of the manufacturer's issuance, creating direct financial risk and a hard SLA obligation. Engineering and pricing teams must validate our release-management cadence, build the LD risk into pricing/contingency, and define a tracked compliance process for vendor release intake.</w:t>
      </w:r>
    </w:p>
    <w:p>
      <w:r>
        <w:rPr>
          <w:i/>
        </w:rPr>
        <w:t xml:space="preserve">Severity: </w:t>
      </w:r>
      <w:r>
        <w:rPr>
          <w:b/>
          <w:color w:val="ED6C02"/>
        </w:rPr>
        <w:t>HIGH</w:t>
      </w:r>
      <w:r>
        <w:rPr>
          <w:i/>
        </w:rPr>
        <w:t xml:space="preserve">   |   Diff record: #8519</w:t>
      </w:r>
    </w:p>
    <w:p/>
    <w:p>
      <w:pPr>
        <w:pStyle w:val="Heading3"/>
      </w:pPr>
      <w:r>
        <w:t>[ADDED] §4.33.1 — Return Motorist Hotline Calls Within 2 Business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4.33.1</w:t>
            </w:r>
          </w:p>
        </w:tc>
        <w:tc>
          <w:tcPr>
            <w:tcW w:type="dxa" w:w="2880"/>
          </w:tcPr>
          <w:p>
            <w:r>
              <w:t>96</w:t>
            </w:r>
          </w:p>
        </w:tc>
      </w:tr>
    </w:tbl>
    <w:p/>
    <w:p>
      <w:r>
        <w:rPr>
          <w:b/>
        </w:rPr>
        <w:t xml:space="preserve">What changed: </w:t>
      </w:r>
      <w:r>
        <w:t>NEW requirement in 2026 not present in the 2021 baseline.</w:t>
      </w:r>
    </w:p>
    <w:p>
      <w:r>
        <w:rPr>
          <w:b/>
          <w:color w:val="0066A0"/>
        </w:rPr>
        <w:t xml:space="preserve">Why it matters: </w:t>
      </w:r>
      <w:r>
        <w:t>This new SLA introduces a $50-per-call liquidated damage for unreturned motorist messages and any callbacks beyond a 98% compliance threshold, creating a measurable financial risk tied directly to call center performance. Operations and pricing must staff the hotline accordingly, build callback tracking/reporting into the CRM, and load expected penalty exposure into the cost model.</w:t>
      </w:r>
    </w:p>
    <w:p>
      <w:r>
        <w:rPr>
          <w:i/>
        </w:rPr>
        <w:t xml:space="preserve">Severity: </w:t>
      </w:r>
      <w:r>
        <w:rPr>
          <w:b/>
          <w:color w:val="ED6C02"/>
        </w:rPr>
        <w:t>HIGH</w:t>
      </w:r>
      <w:r>
        <w:rPr>
          <w:i/>
        </w:rPr>
        <w:t xml:space="preserve">   |   Diff record: #8030</w:t>
      </w:r>
    </w:p>
    <w:p/>
    <w:p>
      <w:pPr>
        <w:pStyle w:val="Heading3"/>
      </w:pPr>
      <w:r>
        <w:t>[ADDED] §4.9.1.3.D — Complete installation/activation within 180 Calendar Days of deposit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4.9.1.3.D</w:t>
            </w:r>
          </w:p>
        </w:tc>
        <w:tc>
          <w:tcPr>
            <w:tcW w:type="dxa" w:w="2880"/>
          </w:tcPr>
          <w:p>
            <w:r>
              <w:t>32</w:t>
            </w:r>
          </w:p>
        </w:tc>
      </w:tr>
    </w:tbl>
    <w:p/>
    <w:p>
      <w:r>
        <w:rPr>
          <w:b/>
        </w:rPr>
        <w:t xml:space="preserve">What changed: </w:t>
      </w:r>
      <w:r>
        <w:t>NEW requirement in 2026 not present in the 2021 baseline.</w:t>
      </w:r>
    </w:p>
    <w:p>
      <w:r>
        <w:rPr>
          <w:b/>
          <w:color w:val="0066A0"/>
        </w:rPr>
        <w:t xml:space="preserve">Why it matters: </w:t>
      </w:r>
      <w:r>
        <w:t>This new clause imposes a firm 180-day clock from deposit collection to fully activated NGWorkstation(s) and final payment, exposing us to schedule risk, potential liquidated damages, and cash-flow impact if logistics, site readiness, or activation slip. Operations and supply chain must validate our deployment cadence against this SLA, build deposit-to-activation tracking into the PMP, and price contingency for site-access delays outside our control.</w:t>
      </w:r>
    </w:p>
    <w:p>
      <w:r>
        <w:rPr>
          <w:i/>
        </w:rPr>
        <w:t xml:space="preserve">Severity: </w:t>
      </w:r>
      <w:r>
        <w:rPr>
          <w:b/>
          <w:color w:val="ED6C02"/>
        </w:rPr>
        <w:t>HIGH</w:t>
      </w:r>
      <w:r>
        <w:rPr>
          <w:i/>
        </w:rPr>
        <w:t xml:space="preserve">   |   Diff record: #8956</w:t>
      </w:r>
    </w:p>
    <w:p/>
    <w:p>
      <w:pPr>
        <w:pStyle w:val="Heading3"/>
      </w:pPr>
      <w:r>
        <w:t>[ADDED] §5.11.F — Immediately replace rejected material during warranty period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5.11.F</w:t>
            </w:r>
          </w:p>
        </w:tc>
        <w:tc>
          <w:tcPr>
            <w:tcW w:type="dxa" w:w="2880"/>
          </w:tcPr>
          <w:p>
            <w:r>
              <w:t>9</w:t>
            </w:r>
          </w:p>
        </w:tc>
      </w:tr>
    </w:tbl>
    <w:p/>
    <w:p>
      <w:r>
        <w:rPr>
          <w:b/>
        </w:rPr>
        <w:t xml:space="preserve">What changed: </w:t>
      </w:r>
      <w:r>
        <w:t>NEW requirement in 2026 not present in the 2021 baseline.</w:t>
      </w:r>
    </w:p>
    <w:p>
      <w:r>
        <w:rPr>
          <w:b/>
          <w:color w:val="0066A0"/>
        </w:rPr>
        <w:t xml:space="preserve">Why it matters: </w:t>
      </w:r>
      <w:r>
        <w:t>This new clause imposes an immediate replacement obligation during warranty for any rejected material, exposing us to expedited logistics costs, supplier penalties, and potential liquidated damages if 'immediately' is undefined. Bid team must price warranty reserve and expedited replacement stock, flow the obligation down to suppliers, and seek clarification on the response timeframe and whether 'immediately' permits a reasonable cure period.</w:t>
      </w:r>
    </w:p>
    <w:p>
      <w:r>
        <w:rPr>
          <w:i/>
        </w:rPr>
        <w:t xml:space="preserve">Severity: </w:t>
      </w:r>
      <w:r>
        <w:rPr>
          <w:b/>
          <w:color w:val="ED6C02"/>
        </w:rPr>
        <w:t>HIGH</w:t>
      </w:r>
      <w:r>
        <w:rPr>
          <w:i/>
        </w:rPr>
        <w:t xml:space="preserve">   |   Diff record: #10244</w:t>
      </w:r>
    </w:p>
    <w:p/>
    <w:p>
      <w:pPr>
        <w:pStyle w:val="Heading3"/>
      </w:pPr>
      <w:r>
        <w:t>[ADDED] §5.8 / 4.23.2.10 — SLA I-9: Provision Production (PROD) Environment Within 395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5.8 / 4.23.2.10</w:t>
            </w:r>
          </w:p>
        </w:tc>
        <w:tc>
          <w:tcPr>
            <w:tcW w:type="dxa" w:w="2880"/>
          </w:tcPr>
          <w:p>
            <w:r>
              <w:t>93</w:t>
            </w:r>
          </w:p>
        </w:tc>
      </w:tr>
    </w:tbl>
    <w:p/>
    <w:p>
      <w:r>
        <w:rPr>
          <w:b/>
        </w:rPr>
        <w:t xml:space="preserve">What changed: </w:t>
      </w:r>
      <w:r>
        <w:t>NEW requirement in 2026 not present in the 2021 baseline.</w:t>
      </w:r>
    </w:p>
    <w:p>
      <w:r>
        <w:rPr>
          <w:b/>
          <w:color w:val="0066A0"/>
        </w:rPr>
        <w:t xml:space="preserve">Why it matters: </w:t>
      </w:r>
      <w:r>
        <w:t>A new SLA imposes $1,000/business day in liquidated damages if the PROD environment isn't provisioned within 395 days, creating direct financial risk tied to our implementation schedule. Solutioning and PMO must validate the 395-day provisioning timeline against our delivery plan, build buffer into the schedule, and price the LD risk into our bid.</w:t>
      </w:r>
    </w:p>
    <w:p>
      <w:r>
        <w:rPr>
          <w:i/>
        </w:rPr>
        <w:t xml:space="preserve">Severity: </w:t>
      </w:r>
      <w:r>
        <w:rPr>
          <w:b/>
          <w:color w:val="ED6C02"/>
        </w:rPr>
        <w:t>HIGH</w:t>
      </w:r>
      <w:r>
        <w:rPr>
          <w:i/>
        </w:rPr>
        <w:t xml:space="preserve">   |   Diff record: #7938</w:t>
      </w:r>
    </w:p>
    <w:p/>
    <w:p>
      <w:pPr>
        <w:pStyle w:val="Heading3"/>
      </w:pPr>
      <w:r>
        <w:t>[ADDED] §5.8 / 4.28.1 — SLA I-10: Correct All UAT Defects Within 450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5.8 / 4.28.1</w:t>
            </w:r>
          </w:p>
        </w:tc>
        <w:tc>
          <w:tcPr>
            <w:tcW w:type="dxa" w:w="2880"/>
          </w:tcPr>
          <w:p>
            <w:r>
              <w:t>93</w:t>
            </w:r>
          </w:p>
        </w:tc>
      </w:tr>
    </w:tbl>
    <w:p/>
    <w:p>
      <w:r>
        <w:rPr>
          <w:b/>
        </w:rPr>
        <w:t xml:space="preserve">What changed: </w:t>
      </w:r>
      <w:r>
        <w:t>NEW requirement in 2026 not present in the 2021 baseline.</w:t>
      </w:r>
    </w:p>
    <w:p>
      <w:r>
        <w:rPr>
          <w:b/>
          <w:color w:val="0066A0"/>
        </w:rPr>
        <w:t xml:space="preserve">Why it matters: </w:t>
      </w:r>
      <w:r>
        <w:t>A new UAT defect-cure SLA imposes $5,000/business day liquidated damages after a 450-day window, creating direct financial exposure tied to defect resolution velocity and State acceptance timing. Capture, QA, and Legal should size the risk reserve, confirm defect triage/remediation capacity in the schedule, and negotiate clear definitions of 'defect,' acceptance, and tolling for State-caused delays.</w:t>
      </w:r>
    </w:p>
    <w:p>
      <w:r>
        <w:rPr>
          <w:i/>
        </w:rPr>
        <w:t xml:space="preserve">Severity: </w:t>
      </w:r>
      <w:r>
        <w:rPr>
          <w:b/>
          <w:color w:val="ED6C02"/>
        </w:rPr>
        <w:t>HIGH</w:t>
      </w:r>
      <w:r>
        <w:rPr>
          <w:i/>
        </w:rPr>
        <w:t xml:space="preserve">   |   Diff record: #7868</w:t>
      </w:r>
    </w:p>
    <w:p/>
    <w:p>
      <w:pPr>
        <w:pStyle w:val="Heading3"/>
      </w:pPr>
      <w:r>
        <w:t>[ADDED] §5.8 / 4.28.3.6 — SLA I-12: Deploy NGSystem Components to PROD Within 450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5.8 / 4.28.3.6</w:t>
            </w:r>
          </w:p>
        </w:tc>
        <w:tc>
          <w:tcPr>
            <w:tcW w:type="dxa" w:w="2880"/>
          </w:tcPr>
          <w:p>
            <w:r>
              <w:t>93</w:t>
            </w:r>
          </w:p>
        </w:tc>
      </w:tr>
    </w:tbl>
    <w:p/>
    <w:p>
      <w:r>
        <w:rPr>
          <w:b/>
        </w:rPr>
        <w:t xml:space="preserve">What changed: </w:t>
      </w:r>
      <w:r>
        <w:t>NEW requirement in 2026 not present in the 2021 baseline.</w:t>
      </w:r>
    </w:p>
    <w:p>
      <w:r>
        <w:rPr>
          <w:b/>
          <w:color w:val="0066A0"/>
        </w:rPr>
        <w:t xml:space="preserve">Why it matters: </w:t>
      </w:r>
      <w:r>
        <w:t>This new SLA imposes a hard 450-day PROD deployment deadline for NGSystem components with $5,000/business day liquidated damages, directly exposing the bid to schedule-driven financial penalties. Solutions and PMO must validate the deployment plan against this timeline, build in float, and price the LD risk into contingency before submission.</w:t>
      </w:r>
    </w:p>
    <w:p>
      <w:r>
        <w:rPr>
          <w:i/>
        </w:rPr>
        <w:t xml:space="preserve">Severity: </w:t>
      </w:r>
      <w:r>
        <w:rPr>
          <w:b/>
          <w:color w:val="ED6C02"/>
        </w:rPr>
        <w:t>HIGH</w:t>
      </w:r>
      <w:r>
        <w:rPr>
          <w:i/>
        </w:rPr>
        <w:t xml:space="preserve">   |   Diff record: #7811</w:t>
      </w:r>
    </w:p>
    <w:p/>
    <w:p>
      <w:pPr>
        <w:pStyle w:val="Heading3"/>
      </w:pPr>
      <w:r>
        <w:t>[ADDED] §5.8 / 4.30.2 — SLA I-11: Migrate Legacy Data to PROD Environment Within 425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5.8 / 4.30.2</w:t>
            </w:r>
          </w:p>
        </w:tc>
        <w:tc>
          <w:tcPr>
            <w:tcW w:type="dxa" w:w="2880"/>
          </w:tcPr>
          <w:p>
            <w:r>
              <w:t>93</w:t>
            </w:r>
          </w:p>
        </w:tc>
      </w:tr>
    </w:tbl>
    <w:p/>
    <w:p>
      <w:r>
        <w:rPr>
          <w:b/>
        </w:rPr>
        <w:t xml:space="preserve">What changed: </w:t>
      </w:r>
      <w:r>
        <w:t>NEW requirement in 2026 not present in the 2021 baseline.</w:t>
      </w:r>
    </w:p>
    <w:p>
      <w:r>
        <w:rPr>
          <w:b/>
          <w:color w:val="0066A0"/>
        </w:rPr>
        <w:t xml:space="preserve">Why it matters: </w:t>
      </w:r>
      <w:r>
        <w:t>This new SLA imposes a hard 425-day deadline for full, accurate migration of legacy data to PROD, with $1,000/business day liquidated damages for delay—creating direct financial and schedule risk if migration scope, source data quality, or cutover dependencies slip. The team should validate the 425-day timeline against our migration plan, pressure-test data quality and dependency assumptions, and price contingency/insurance for potential LD exposure.</w:t>
      </w:r>
    </w:p>
    <w:p>
      <w:r>
        <w:rPr>
          <w:i/>
        </w:rPr>
        <w:t xml:space="preserve">Severity: </w:t>
      </w:r>
      <w:r>
        <w:rPr>
          <w:b/>
          <w:color w:val="ED6C02"/>
        </w:rPr>
        <w:t>HIGH</w:t>
      </w:r>
      <w:r>
        <w:rPr>
          <w:i/>
        </w:rPr>
        <w:t xml:space="preserve">   |   Diff record: #7793</w:t>
      </w:r>
    </w:p>
    <w:p/>
    <w:p>
      <w:pPr>
        <w:pStyle w:val="Heading3"/>
      </w:pPr>
      <w:r>
        <w:t>[ADDED] §5.8 / 4.31.3 — SLA I-13: Begin NGSystem Training Sessions with State Staff Within 510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5.8 / 4.31.3</w:t>
            </w:r>
          </w:p>
        </w:tc>
        <w:tc>
          <w:tcPr>
            <w:tcW w:type="dxa" w:w="2880"/>
          </w:tcPr>
          <w:p>
            <w:r>
              <w:t>93</w:t>
            </w:r>
          </w:p>
        </w:tc>
      </w:tr>
    </w:tbl>
    <w:p/>
    <w:p>
      <w:r>
        <w:rPr>
          <w:b/>
        </w:rPr>
        <w:t xml:space="preserve">What changed: </w:t>
      </w:r>
      <w:r>
        <w:t>NEW requirement in 2026 not present in the 2021 baseline.</w:t>
      </w:r>
    </w:p>
    <w:p>
      <w:r>
        <w:rPr>
          <w:b/>
          <w:color w:val="0066A0"/>
        </w:rPr>
        <w:t xml:space="preserve">Why it matters: </w:t>
      </w:r>
      <w:r>
        <w:t>This new SLA imposes a hard 510-day deadline to commence NGSystem training for State staff, with $1,000/business day liquidated damages for delay—directly tying our implementation schedule to financial risk. The team must align the training kickoff milestone in our project plan, staffing ramp, and curriculum readiness to land safely before day 510, and price contingency for potential slippage.</w:t>
      </w:r>
    </w:p>
    <w:p>
      <w:r>
        <w:rPr>
          <w:i/>
        </w:rPr>
        <w:t xml:space="preserve">Severity: </w:t>
      </w:r>
      <w:r>
        <w:rPr>
          <w:b/>
          <w:color w:val="ED6C02"/>
        </w:rPr>
        <w:t>HIGH</w:t>
      </w:r>
      <w:r>
        <w:rPr>
          <w:i/>
        </w:rPr>
        <w:t xml:space="preserve">   |   Diff record: #7816</w:t>
      </w:r>
    </w:p>
    <w:p/>
    <w:p>
      <w:pPr>
        <w:pStyle w:val="Heading3"/>
      </w:pPr>
      <w:r>
        <w:t>[ADDED] §5345 / Q33 — Tail Lights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5345 / Q33</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out-of-service tail light spec (item 5345/Q33) introduces a safety-critical defect criterion that will trigger immediate vehicle downtime and likely liquidated damages if missed during inspections. Engineering and operations must add tail light condition to daily pre-trip checks and the preventive maintenance checklist, and pricing should reflect added inspection labor and spare lamp inventory.</w:t>
      </w:r>
    </w:p>
    <w:p>
      <w:r>
        <w:rPr>
          <w:i/>
        </w:rPr>
        <w:t xml:space="preserve">Severity: </w:t>
      </w:r>
      <w:r>
        <w:rPr>
          <w:b/>
          <w:color w:val="ED6C02"/>
        </w:rPr>
        <w:t>HIGH</w:t>
      </w:r>
      <w:r>
        <w:rPr>
          <w:i/>
        </w:rPr>
        <w:t xml:space="preserve">   |   Diff record: #10373</w:t>
      </w:r>
    </w:p>
    <w:p/>
    <w:p>
      <w:pPr>
        <w:pStyle w:val="Heading3"/>
      </w:pPr>
      <w:r>
        <w:t>[ADDED] §7.7(1) — Pay Overtime for Hours Over 40 per Workweek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7.7(1)</w:t>
            </w:r>
          </w:p>
        </w:tc>
        <w:tc>
          <w:tcPr>
            <w:tcW w:type="dxa" w:w="2880"/>
          </w:tcPr>
          <w:p>
            <w:r>
              <w:t>16</w:t>
            </w:r>
          </w:p>
        </w:tc>
      </w:tr>
    </w:tbl>
    <w:p/>
    <w:p>
      <w:r>
        <w:rPr>
          <w:b/>
        </w:rPr>
        <w:t xml:space="preserve">What changed: </w:t>
      </w:r>
      <w:r>
        <w:t>NEW requirement in 2026 not present in the 2021 baseline.</w:t>
      </w:r>
    </w:p>
    <w:p>
      <w:r>
        <w:rPr>
          <w:b/>
          <w:color w:val="0066A0"/>
        </w:rPr>
        <w:t xml:space="preserve">Why it matters: </w:t>
      </w:r>
      <w:r>
        <w:t>This newly added Contract Work Hours and Safety Standards Act clause requires 1.5x overtime pay for all laborer/mechanic hours over 40/week across the prime and all subcontractors, directly affecting labor cost estimates and exposing us to back-wage liability and liquidated damages for noncompliance. Pricing/HR should reprice labor with OT loading, flow the clause down to all subs, and confirm timekeeping and certified payroll controls are in place before submission.</w:t>
      </w:r>
    </w:p>
    <w:p>
      <w:r>
        <w:rPr>
          <w:i/>
        </w:rPr>
        <w:t xml:space="preserve">Severity: </w:t>
      </w:r>
      <w:r>
        <w:rPr>
          <w:b/>
          <w:color w:val="ED6C02"/>
        </w:rPr>
        <w:t>HIGH</w:t>
      </w:r>
      <w:r>
        <w:rPr>
          <w:i/>
        </w:rPr>
        <w:t xml:space="preserve">   |   Diff record: #11199</w:t>
      </w:r>
    </w:p>
    <w:p/>
    <w:p>
      <w:pPr>
        <w:pStyle w:val="Heading3"/>
      </w:pPr>
      <w:r>
        <w:t>[ADDED] §7.7(2) — Liability for Unpaid Wages and Liquidated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7.7(2)</w:t>
            </w:r>
          </w:p>
        </w:tc>
        <w:tc>
          <w:tcPr>
            <w:tcW w:type="dxa" w:w="2880"/>
          </w:tcPr>
          <w:p>
            <w:r>
              <w:t>16</w:t>
            </w:r>
          </w:p>
        </w:tc>
      </w:tr>
    </w:tbl>
    <w:p/>
    <w:p>
      <w:r>
        <w:rPr>
          <w:b/>
        </w:rPr>
        <w:t xml:space="preserve">What changed: </w:t>
      </w:r>
      <w:r>
        <w:t>NEW requirement in 2026 not present in the 2021 baseline.</w:t>
      </w:r>
    </w:p>
    <w:p>
      <w:r>
        <w:rPr>
          <w:b/>
          <w:color w:val="0066A0"/>
        </w:rPr>
        <w:t xml:space="preserve">Why it matters: </w:t>
      </w:r>
      <w:r>
        <w:t>This new clause exposes us and our subs to direct liability for unpaid wages plus liquidated damages to the U.S., materially increasing wage compliance risk on the contract. Legal and Subcontracts must add flow-down language and indemnification to sub agreements, and Pricing should account for enhanced payroll/DBA-FLSA compliance monitoring.</w:t>
      </w:r>
    </w:p>
    <w:p>
      <w:r>
        <w:rPr>
          <w:i/>
        </w:rPr>
        <w:t xml:space="preserve">Severity: </w:t>
      </w:r>
      <w:r>
        <w:rPr>
          <w:b/>
          <w:color w:val="ED6C02"/>
        </w:rPr>
        <w:t>HIGH</w:t>
      </w:r>
      <w:r>
        <w:rPr>
          <w:i/>
        </w:rPr>
        <w:t xml:space="preserve">   |   Diff record: #8904</w:t>
      </w:r>
    </w:p>
    <w:p/>
    <w:p>
      <w:pPr>
        <w:pStyle w:val="Heading3"/>
      </w:pPr>
      <w:r>
        <w:t>[ADDED] §7.7(3) — Withholding of Funds for Unpaid Wages and Liquidated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7.7(3)</w:t>
            </w:r>
          </w:p>
        </w:tc>
        <w:tc>
          <w:tcPr>
            <w:tcW w:type="dxa" w:w="2880"/>
          </w:tcPr>
          <w:p>
            <w:r>
              <w:t>16</w:t>
            </w:r>
          </w:p>
        </w:tc>
      </w:tr>
    </w:tbl>
    <w:p/>
    <w:p>
      <w:r>
        <w:rPr>
          <w:b/>
        </w:rPr>
        <w:t xml:space="preserve">What changed: </w:t>
      </w:r>
      <w:r>
        <w:t>NEW requirement in 2026 not present in the 2021 baseline.</w:t>
      </w:r>
    </w:p>
    <w:p>
      <w:r>
        <w:rPr>
          <w:b/>
          <w:color w:val="0066A0"/>
        </w:rPr>
        <w:t xml:space="preserve">Why it matters: </w:t>
      </w:r>
      <w:r>
        <w:t>This new clause grants the government cross-contract withholding authority, allowing funds to be withheld from ANY of our federal contracts to satisfy unpaid wage liabilities under this one—materially increasing cash-flow and subcontractor flow-down risk. Legal and Finance must add this clause to subcontracts, update wage compliance monitoring, and Pricing should consider a contingency for potential withholding exposure.</w:t>
      </w:r>
    </w:p>
    <w:p>
      <w:r>
        <w:rPr>
          <w:i/>
        </w:rPr>
        <w:t xml:space="preserve">Severity: </w:t>
      </w:r>
      <w:r>
        <w:rPr>
          <w:b/>
          <w:color w:val="ED6C02"/>
        </w:rPr>
        <w:t>HIGH</w:t>
      </w:r>
      <w:r>
        <w:rPr>
          <w:i/>
        </w:rPr>
        <w:t xml:space="preserve">   |   Diff record: #8859</w:t>
      </w:r>
    </w:p>
    <w:p/>
    <w:p>
      <w:r>
        <w:br w:type="page"/>
      </w:r>
    </w:p>
    <w:p>
      <w:pPr>
        <w:pStyle w:val="Heading1"/>
      </w:pPr>
      <w:r>
        <w:t>Liability Caps</w:t>
      </w:r>
    </w:p>
    <w:p>
      <w:r>
        <w:rPr>
          <w:i/>
        </w:rPr>
        <w:t>20 material changes in this theme.</w:t>
      </w:r>
    </w:p>
    <w:p>
      <w:pPr>
        <w:pStyle w:val="Heading3"/>
      </w:pPr>
      <w:r>
        <w:t>[CHANGED] §5.8 / 4.28.3 — SLA I-14: Ensure NGSystem Is Operational and Free of Critical Severity Defects Within 510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3.44</w:t>
            </w:r>
          </w:p>
        </w:tc>
        <w:tc>
          <w:tcPr>
            <w:tcW w:type="dxa" w:w="2880"/>
          </w:tcPr>
          <w:p>
            <w:r>
              <w:t>1</w:t>
            </w:r>
          </w:p>
        </w:tc>
      </w:tr>
      <w:tr>
        <w:tc>
          <w:tcPr>
            <w:tcW w:type="dxa" w:w="2880"/>
          </w:tcPr>
          <w:p>
            <w:r>
              <w:rPr>
                <w:b/>
              </w:rPr>
              <w:t>2026 RFP</w:t>
            </w:r>
          </w:p>
        </w:tc>
        <w:tc>
          <w:tcPr>
            <w:tcW w:type="dxa" w:w="2880"/>
          </w:tcPr>
          <w:p>
            <w:r>
              <w:t>5.8 / 4.28.3</w:t>
            </w:r>
          </w:p>
        </w:tc>
        <w:tc>
          <w:tcPr>
            <w:tcW w:type="dxa" w:w="2880"/>
          </w:tcPr>
          <w:p>
            <w:r>
              <w:t>93</w:t>
            </w:r>
          </w:p>
        </w:tc>
      </w:tr>
    </w:tbl>
    <w:p/>
    <w:p>
      <w:r>
        <w:rPr>
          <w:b/>
        </w:rPr>
        <w:t xml:space="preserve">What changed: </w:t>
      </w:r>
      <w:r>
        <w:t>Deadline extended from Start+350 days to 510 days and adds $6,000 per business day penalty for non-compliance.</w:t>
      </w:r>
    </w:p>
    <w:p>
      <w:r>
        <w:rPr>
          <w:b/>
          <w:color w:val="0066A0"/>
        </w:rPr>
        <w:t xml:space="preserve">Why it matters: </w:t>
      </w:r>
      <w:r>
        <w:t>The operational/Critical-Defect-free milestone is pushed from 350 to 510 days, but a new $6,000/business-day penalty now attaches to missing it. This shifts the requirement from a soft schedule item to a priced SLA with direct margin exposure, requiring risk reserve in pricing and tighter defect-remediation governance. Action: have Delivery confirm the 510-day plan is achievable, and have Pricing/Risk add a contingency for potential SLA credits and reflect the liability cap interaction in the cost model.</w:t>
      </w:r>
    </w:p>
    <w:p>
      <w:r>
        <w:rPr>
          <w:i/>
        </w:rPr>
        <w:t xml:space="preserve">Severity: </w:t>
      </w:r>
      <w:r>
        <w:rPr>
          <w:b/>
          <w:color w:val="ED6C02"/>
        </w:rPr>
        <w:t>HIGH</w:t>
      </w:r>
      <w:r>
        <w:rPr>
          <w:i/>
        </w:rPr>
        <w:t xml:space="preserve">   |   Diff record: #6222</w:t>
      </w:r>
    </w:p>
    <w:p/>
    <w:p>
      <w:pPr>
        <w:pStyle w:val="Heading3"/>
      </w:pPr>
      <w:r>
        <w:t>[CHANGED] §7.2.3 / 4.3 — Contractor liability cap acknowledgment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4.1.1</w:t>
            </w:r>
          </w:p>
        </w:tc>
        <w:tc>
          <w:tcPr>
            <w:tcW w:type="dxa" w:w="2880"/>
          </w:tcPr>
          <w:p>
            <w:r>
              <w:t>1</w:t>
            </w:r>
          </w:p>
        </w:tc>
      </w:tr>
      <w:tr>
        <w:tc>
          <w:tcPr>
            <w:tcW w:type="dxa" w:w="2880"/>
          </w:tcPr>
          <w:p>
            <w:r>
              <w:rPr>
                <w:b/>
              </w:rPr>
              <w:t>2026 RFP</w:t>
            </w:r>
          </w:p>
        </w:tc>
        <w:tc>
          <w:tcPr>
            <w:tcW w:type="dxa" w:w="2880"/>
          </w:tcPr>
          <w:p>
            <w:r>
              <w:t>7.2.3 / 4.3</w:t>
            </w:r>
          </w:p>
        </w:tc>
        <w:tc>
          <w:tcPr>
            <w:tcW w:type="dxa" w:w="2880"/>
          </w:tcPr>
          <w:p>
            <w:r>
              <w:t>105</w:t>
            </w:r>
          </w:p>
        </w:tc>
      </w:tr>
    </w:tbl>
    <w:p/>
    <w:p>
      <w:r>
        <w:rPr>
          <w:b/>
        </w:rPr>
        <w:t xml:space="preserve">What changed: </w:t>
      </w:r>
      <w:r>
        <w:t>Liability cap raised from 100% of fees paid to 200% of fees paid in the previous twelve months, with a new $1,000,000 minimum floor.</w:t>
      </w:r>
    </w:p>
    <w:p>
      <w:r>
        <w:rPr>
          <w:b/>
          <w:color w:val="0066A0"/>
        </w:rPr>
        <w:t xml:space="preserve">Why it matters: </w:t>
      </w:r>
      <w:r>
        <w:t>The liability cap doubled from 100% to 200% of fees paid in the trailing twelve months and now carries a $1,000,000 minimum floor, materially increasing our maximum exposure—especially in early contract months when 200% of fees could be far below the floor. This directly affects pricing (risk loading), insurance coverage limits, and legal sign-off, and may require subcontractor flow-down updates. Action: Risk/Legal to validate insurance towers meet the $1M floor and revised cap, Pricing to incorporate the added risk premium, and Contracts to review subcontractor and indemnity alignment before submission.</w:t>
      </w:r>
    </w:p>
    <w:p>
      <w:r>
        <w:rPr>
          <w:i/>
        </w:rPr>
        <w:t xml:space="preserve">Severity: </w:t>
      </w:r>
      <w:r>
        <w:rPr>
          <w:b/>
          <w:color w:val="ED6C02"/>
        </w:rPr>
        <w:t>HIGH</w:t>
      </w:r>
      <w:r>
        <w:rPr>
          <w:i/>
        </w:rPr>
        <w:t xml:space="preserve">   |   Diff record: #6372</w:t>
      </w:r>
    </w:p>
    <w:p/>
    <w:p>
      <w:pPr>
        <w:pStyle w:val="Heading3"/>
      </w:pPr>
      <w:r>
        <w:t>[REMOVED] §4.1.1 — No liability for consequential or incidental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4.1.1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consequential/incidental damages liability cap is a standard limitation-of-liability clause that is rarely truly removed; it is most likely relocated to a Limitation of Liability, Indemnification, or Terms &amp; Conditions section in the new doc that the matcher missed due to rewording. Action: have legal/contracts search the new RFP for any LoL or damages language and confirm before updating the compliance matrix—if genuinely removed, escalate immediately as unlimited consequential damages exposure materially changes bid risk and pricing.</w:t>
      </w:r>
    </w:p>
    <w:p>
      <w:r>
        <w:rPr>
          <w:i/>
        </w:rPr>
        <w:t xml:space="preserve">Severity: </w:t>
      </w:r>
      <w:r>
        <w:rPr>
          <w:b/>
          <w:color w:val="ED6C02"/>
        </w:rPr>
        <w:t>HIGH</w:t>
      </w:r>
      <w:r>
        <w:rPr>
          <w:i/>
        </w:rPr>
        <w:t xml:space="preserve">   |   Diff record: #6783</w:t>
      </w:r>
    </w:p>
    <w:p/>
    <w:p>
      <w:pPr>
        <w:pStyle w:val="Heading3"/>
      </w:pPr>
      <w:r>
        <w:t>[REMOVED] §4.1.1 — Limitation of liability exceptions include confidentiality breach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4.1.1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carve-out from the liability cap for confidentiality breaches is a standard SSTC construct and is very likely relocated or rephrased elsewhere (e.g., within a revised Section 4.1 indemnification/limitation clause or the Section 5.9 confidentiality terms) rather than truly removed, since dropping it would uncap our exposure for confidentiality breaches—a material risk shift in our favor that buyers rarely concede. Action: have legal verify by searching the new doc for liability-cap exceptions and confidentiality references, confirm whether the carve-out persists, and update the compliance matrix and risk register accordingly before pricing.</w:t>
      </w:r>
    </w:p>
    <w:p>
      <w:r>
        <w:rPr>
          <w:i/>
        </w:rPr>
        <w:t xml:space="preserve">Severity: </w:t>
      </w:r>
      <w:r>
        <w:rPr>
          <w:b/>
          <w:color w:val="ED6C02"/>
        </w:rPr>
        <w:t>HIGH</w:t>
      </w:r>
      <w:r>
        <w:rPr>
          <w:i/>
        </w:rPr>
        <w:t xml:space="preserve">   |   Diff record: #6784</w:t>
      </w:r>
    </w:p>
    <w:p/>
    <w:p>
      <w:pPr>
        <w:pStyle w:val="Heading3"/>
      </w:pPr>
      <w:r>
        <w:t>[ADDED] §2.2 — Submit Exceptions to State Standard Terms and Conditions (SSTC)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2.2</w:t>
            </w:r>
          </w:p>
        </w:tc>
        <w:tc>
          <w:tcPr>
            <w:tcW w:type="dxa" w:w="2880"/>
          </w:tcPr>
          <w:p>
            <w:r>
              <w:t>2</w:t>
            </w:r>
          </w:p>
        </w:tc>
      </w:tr>
    </w:tbl>
    <w:p/>
    <w:p>
      <w:r>
        <w:rPr>
          <w:b/>
        </w:rPr>
        <w:t xml:space="preserve">What changed: </w:t>
      </w:r>
      <w:r>
        <w:t>NEW requirement in 2026 not present in the 2021 baseline.</w:t>
      </w:r>
    </w:p>
    <w:p>
      <w:r>
        <w:rPr>
          <w:b/>
          <w:color w:val="0066A0"/>
        </w:rPr>
        <w:t xml:space="preserve">Why it matters: </w:t>
      </w:r>
      <w:r>
        <w:t>This new section requires us to formally submit any exceptions to New Jersey's Standard Terms and Conditions with our proposal, meaning silence will be deemed full acceptance and any later objections will be waived. Legal and contracts must immediately review the SSTC against our standard positions (liability caps, IP, indemnification, governing law) and prepare a documented exceptions list for submission.</w:t>
      </w:r>
    </w:p>
    <w:p>
      <w:r>
        <w:rPr>
          <w:i/>
        </w:rPr>
        <w:t xml:space="preserve">Severity: </w:t>
      </w:r>
      <w:r>
        <w:rPr>
          <w:b/>
          <w:color w:val="ED6C02"/>
        </w:rPr>
        <w:t>HIGH</w:t>
      </w:r>
      <w:r>
        <w:rPr>
          <w:i/>
        </w:rPr>
        <w:t xml:space="preserve">   |   Diff record: #8173</w:t>
      </w:r>
    </w:p>
    <w:p/>
    <w:p>
      <w:pPr>
        <w:pStyle w:val="Heading3"/>
      </w:pPr>
      <w:r>
        <w:t>[ADDED] §4.3 — Contractor not liable for punitive, special, indirect, incidental, or consequential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4.3</w:t>
            </w:r>
          </w:p>
        </w:tc>
        <w:tc>
          <w:tcPr>
            <w:tcW w:type="dxa" w:w="2880"/>
          </w:tcPr>
          <w:p>
            <w:r>
              <w:t>105</w:t>
            </w:r>
          </w:p>
        </w:tc>
      </w:tr>
    </w:tbl>
    <w:p/>
    <w:p>
      <w:r>
        <w:rPr>
          <w:b/>
        </w:rPr>
        <w:t xml:space="preserve">What changed: </w:t>
      </w:r>
      <w:r>
        <w:t>NEW requirement in 2026 not present in the 2021 baseline.</w:t>
      </w:r>
    </w:p>
    <w:p>
      <w:r>
        <w:rPr>
          <w:b/>
          <w:color w:val="0066A0"/>
        </w:rPr>
        <w:t xml:space="preserve">Why it matters: </w:t>
      </w:r>
      <w:r>
        <w:t>This new clause is a favorable liability cap that shields us from punitive, special, indirect, incidental, and consequential damages, materially reducing our risk exposure and potentially lowering required contingency pricing. Legal and pricing should confirm the language survives final negotiation and align our T&amp;Cs and risk reserves accordingly.</w:t>
      </w:r>
    </w:p>
    <w:p>
      <w:r>
        <w:rPr>
          <w:i/>
        </w:rPr>
        <w:t xml:space="preserve">Severity: </w:t>
      </w:r>
      <w:r>
        <w:rPr>
          <w:b/>
          <w:color w:val="ED6C02"/>
        </w:rPr>
        <w:t>HIGH</w:t>
      </w:r>
      <w:r>
        <w:rPr>
          <w:i/>
        </w:rPr>
        <w:t xml:space="preserve">   |   Diff record: #8429</w:t>
      </w:r>
    </w:p>
    <w:p/>
    <w:p>
      <w:pPr>
        <w:pStyle w:val="Heading3"/>
      </w:pPr>
      <w:r>
        <w:t>[ADDED] §5.12.D — Pay price difference if delivery not made on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5.12.D</w:t>
            </w:r>
          </w:p>
        </w:tc>
        <w:tc>
          <w:tcPr>
            <w:tcW w:type="dxa" w:w="2880"/>
          </w:tcPr>
          <w:p>
            <w:r>
              <w:t>10</w:t>
            </w:r>
          </w:p>
        </w:tc>
      </w:tr>
    </w:tbl>
    <w:p/>
    <w:p>
      <w:r>
        <w:rPr>
          <w:b/>
        </w:rPr>
        <w:t xml:space="preserve">What changed: </w:t>
      </w:r>
      <w:r>
        <w:t>NEW requirement in 2026 not present in the 2021 baseline.</w:t>
      </w:r>
    </w:p>
    <w:p>
      <w:r>
        <w:rPr>
          <w:b/>
          <w:color w:val="0066A0"/>
        </w:rPr>
        <w:t xml:space="preserve">Why it matters: </w:t>
      </w:r>
      <w:r>
        <w:t>This new clause exposes us to uncapped cover-purchase liability if we miss delivery dates—the agency can buy elsewhere and bill us the price difference, which can materially erode margin on volatile or long-lead items. Supply chain and legal must validate delivery commitments, build buffer into lead times, and price in risk; pricing should consider a contingency reserve and pursue a liability cap or force majeure carve-out via a clarification request.</w:t>
      </w:r>
    </w:p>
    <w:p>
      <w:r>
        <w:rPr>
          <w:i/>
        </w:rPr>
        <w:t xml:space="preserve">Severity: </w:t>
      </w:r>
      <w:r>
        <w:rPr>
          <w:b/>
          <w:color w:val="ED6C02"/>
        </w:rPr>
        <w:t>HIGH</w:t>
      </w:r>
      <w:r>
        <w:rPr>
          <w:i/>
        </w:rPr>
        <w:t xml:space="preserve">   |   Diff record: #8996</w:t>
      </w:r>
    </w:p>
    <w:p/>
    <w:p>
      <w:pPr>
        <w:pStyle w:val="Heading3"/>
      </w:pPr>
      <w:r>
        <w:t>[ADDED] §6.3.A — Reimburse State full purchase price for violating deliveries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6.3.A</w:t>
            </w:r>
          </w:p>
        </w:tc>
        <w:tc>
          <w:tcPr>
            <w:tcW w:type="dxa" w:w="2880"/>
          </w:tcPr>
          <w:p>
            <w:r>
              <w:t>12</w:t>
            </w:r>
          </w:p>
        </w:tc>
      </w:tr>
    </w:tbl>
    <w:p/>
    <w:p>
      <w:r>
        <w:rPr>
          <w:b/>
        </w:rPr>
        <w:t xml:space="preserve">What changed: </w:t>
      </w:r>
      <w:r>
        <w:t>NEW requirement in 2026 not present in the 2021 baseline.</w:t>
      </w:r>
    </w:p>
    <w:p>
      <w:r>
        <w:rPr>
          <w:b/>
          <w:color w:val="0066A0"/>
        </w:rPr>
        <w:t xml:space="preserve">Why it matters: </w:t>
      </w:r>
      <w:r>
        <w:t>This new clause exposes us to full purchase price reimbursement for any non-compliant delivery, creating uncapped financial liability that bypasses standard limitation-of-liability protections. Legal and pricing teams should negotiate a liability cap or cure period and bake the residual risk into our contingency pricing.</w:t>
      </w:r>
    </w:p>
    <w:p>
      <w:r>
        <w:rPr>
          <w:i/>
        </w:rPr>
        <w:t xml:space="preserve">Severity: </w:t>
      </w:r>
      <w:r>
        <w:rPr>
          <w:b/>
          <w:color w:val="ED6C02"/>
        </w:rPr>
        <w:t>HIGH</w:t>
      </w:r>
      <w:r>
        <w:rPr>
          <w:i/>
        </w:rPr>
        <w:t xml:space="preserve">   |   Diff record: #10557</w:t>
      </w:r>
    </w:p>
    <w:p/>
    <w:p>
      <w:pPr>
        <w:pStyle w:val="Heading3"/>
      </w:pPr>
      <w:r>
        <w:t>[ADDED] §7.1 / 4.1(A)(1) — Indemnify State in third-party suits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 / 4.1(A)(1)</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indemnification clause shifts unlimited third-party liability onto us with no cap, carve-outs for State negligence, or notice/control-of-defense provisions, materially increasing legal and insurance exposure. Legal and Risk should review immediately to negotiate a liability cap and standard carve-outs, and Insurance must confirm coverage limits align before bid submission.</w:t>
      </w:r>
    </w:p>
    <w:p>
      <w:r>
        <w:rPr>
          <w:i/>
        </w:rPr>
        <w:t xml:space="preserve">Severity: </w:t>
      </w:r>
      <w:r>
        <w:rPr>
          <w:b/>
          <w:color w:val="ED6C02"/>
        </w:rPr>
        <w:t>HIGH</w:t>
      </w:r>
      <w:r>
        <w:rPr>
          <w:i/>
        </w:rPr>
        <w:t xml:space="preserve">   |   Diff record: #7781</w:t>
      </w:r>
    </w:p>
    <w:p/>
    <w:p>
      <w:pPr>
        <w:pStyle w:val="Heading3"/>
      </w:pPr>
      <w:r>
        <w:t>[ADDED] §8.2.4.1.B — Indemnification is in addition to insurance obligations and contract liabilities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8.2.4.1.B</w:t>
            </w:r>
          </w:p>
        </w:tc>
        <w:tc>
          <w:tcPr>
            <w:tcW w:type="dxa" w:w="2880"/>
          </w:tcPr>
          <w:p>
            <w:r>
              <w:t>19</w:t>
            </w:r>
          </w:p>
        </w:tc>
      </w:tr>
    </w:tbl>
    <w:p/>
    <w:p>
      <w:r>
        <w:rPr>
          <w:b/>
        </w:rPr>
        <w:t xml:space="preserve">What changed: </w:t>
      </w:r>
      <w:r>
        <w:t>NEW requirement in 2026 not present in the 2021 baseline.</w:t>
      </w:r>
    </w:p>
    <w:p>
      <w:r>
        <w:rPr>
          <w:b/>
          <w:color w:val="0066A0"/>
        </w:rPr>
        <w:t xml:space="preserve">Why it matters: </w:t>
      </w:r>
      <w:r>
        <w:t>This new clause stacks indemnification on top of insurance limits and preserves all other State remedies, exposing us to uncapped liability beyond our insurance coverage and any contractual liability caps. Legal and risk should review insurance towers and pricing contingency, and we should evaluate negotiating a liability cap or carve-outs before bid submission.</w:t>
      </w:r>
    </w:p>
    <w:p>
      <w:r>
        <w:rPr>
          <w:i/>
        </w:rPr>
        <w:t xml:space="preserve">Severity: </w:t>
      </w:r>
      <w:r>
        <w:rPr>
          <w:b/>
          <w:color w:val="ED6C02"/>
        </w:rPr>
        <w:t>HIGH</w:t>
      </w:r>
      <w:r>
        <w:rPr>
          <w:i/>
        </w:rPr>
        <w:t xml:space="preserve">   |   Diff record: #8283</w:t>
      </w:r>
    </w:p>
    <w:p/>
    <w:p>
      <w:pPr>
        <w:pStyle w:val="Heading3"/>
      </w:pPr>
      <w:r>
        <w:t>[ADDED] §8.2.F — State will not indemnify, defend, or hold Contractor harmless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8.2.F</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This newly added clause makes indemnification a one-way street—New Jersey explicitly refuses to indemnify, defend, or hold us harmless, leaving Contractor solely exposed to third-party claims, state-caused damages, and IP/data breach liabilities with no state cost-sharing. Legal and Risk must price this asymmetric exposure into our cost model, expand insurance limits (CGL, E&amp;O, cyber), tighten subcontractor flow-downs, and flag whether to take exception or seek mitigations (e.g., liability caps, mutual carve-outs for state negligence) during Q&amp;A.</w:t>
      </w:r>
    </w:p>
    <w:p>
      <w:r>
        <w:rPr>
          <w:i/>
        </w:rPr>
        <w:t xml:space="preserve">Severity: </w:t>
      </w:r>
      <w:r>
        <w:rPr>
          <w:b/>
          <w:color w:val="ED6C02"/>
        </w:rPr>
        <w:t>HIGH</w:t>
      </w:r>
      <w:r>
        <w:rPr>
          <w:i/>
        </w:rPr>
        <w:t xml:space="preserve">   |   Diff record: #7992</w:t>
      </w:r>
    </w:p>
    <w:p/>
    <w:p>
      <w:pPr>
        <w:pStyle w:val="Heading3"/>
      </w:pPr>
      <w:r>
        <w:t>[ADDED] §8.3/4.3 — Limitation of liability – 200% of Contract value, minimum $1,000,000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8.3/4.3</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This new clause caps our liability at 200% of contract value (floor $1M), creating significant financial exposure that must be priced into risk reserves and validated against our insurance coverage limits. Legal and finance should review immediately, confirm insurability, and consider negotiating a lower cap (e.g., 1x contract value) or carve-outs before submission.</w:t>
      </w:r>
    </w:p>
    <w:p>
      <w:r>
        <w:rPr>
          <w:i/>
        </w:rPr>
        <w:t xml:space="preserve">Severity: </w:t>
      </w:r>
      <w:r>
        <w:rPr>
          <w:b/>
          <w:color w:val="ED6C02"/>
        </w:rPr>
        <w:t>HIGH</w:t>
      </w:r>
      <w:r>
        <w:rPr>
          <w:i/>
        </w:rPr>
        <w:t xml:space="preserve">   |   Diff record: #8217</w:t>
      </w:r>
    </w:p>
    <w:p/>
    <w:p>
      <w:pPr>
        <w:pStyle w:val="Heading3"/>
      </w:pPr>
      <w:r>
        <w:t>[ADDED] §8.3/4.3 — Limitation of liability exclusions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8.3/4.3</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This carve-out exposes us to uncapped liability for indemnification, confidentiality breaches, and copyright IP claims, materially shifting risk beyond our standard liability cap and likely impacting insurance, pricing, and subcontractor flow-downs. Legal and Risk should review against our risk thresholds, confirm insurance coverage limits, and decide whether to accept, negotiate sub-caps, or take exception in the proposal.</w:t>
      </w:r>
    </w:p>
    <w:p>
      <w:r>
        <w:rPr>
          <w:i/>
        </w:rPr>
        <w:t xml:space="preserve">Severity: </w:t>
      </w:r>
      <w:r>
        <w:rPr>
          <w:b/>
          <w:color w:val="ED6C02"/>
        </w:rPr>
        <w:t>HIGH</w:t>
      </w:r>
      <w:r>
        <w:rPr>
          <w:i/>
        </w:rPr>
        <w:t xml:space="preserve">   |   Diff record: #8243</w:t>
      </w:r>
    </w:p>
    <w:p/>
    <w:p>
      <w:pPr>
        <w:pStyle w:val="Heading3"/>
      </w:pPr>
      <w:r>
        <w:t>[ADDED] §8.3/4.3 — Indemnification obligation in addition to insurance; exclusion of indirect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8.3/4.3</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This new clause stacks indemnification on top of insurance limits, exposing us to uncapped out-of-pocket liability, while the consequential damages waiver is mutual-silent and may not protect us from the customer's claims. Legal and risk should negotiate a liability cap tied to contract value, confirm the consequential damages waiver applies bilaterally, and price any residual risk into the bid.</w:t>
      </w:r>
    </w:p>
    <w:p>
      <w:r>
        <w:rPr>
          <w:i/>
        </w:rPr>
        <w:t xml:space="preserve">Severity: </w:t>
      </w:r>
      <w:r>
        <w:rPr>
          <w:b/>
          <w:color w:val="ED6C02"/>
        </w:rPr>
        <w:t>HIGH</w:t>
      </w:r>
      <w:r>
        <w:rPr>
          <w:i/>
        </w:rPr>
        <w:t xml:space="preserve">   |   Diff record: #8474</w:t>
      </w:r>
    </w:p>
    <w:p/>
    <w:p>
      <w:pPr>
        <w:pStyle w:val="Heading3"/>
      </w:pPr>
      <w:r>
        <w:t>[ADDED] §8.4.1.c — Warranty does not limit breach-of-confidentiality obligations (COTS/Customized)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8.4.1.c</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This addition decouples confidentiality breach liability from the warranty's standard remedies and caps, exposing us to potentially uncapped damages for data incidents on COTS/Customized deliverables. Legal and pricing must review liability caps, cyber/E&amp;O insurance limits, and subcontractor flow-downs, and Security should tighten data-handling controls before bid submission.</w:t>
      </w:r>
    </w:p>
    <w:p>
      <w:r>
        <w:rPr>
          <w:i/>
        </w:rPr>
        <w:t xml:space="preserve">Severity: </w:t>
      </w:r>
      <w:r>
        <w:rPr>
          <w:b/>
          <w:color w:val="ED6C02"/>
        </w:rPr>
        <w:t>HIGH</w:t>
      </w:r>
      <w:r>
        <w:rPr>
          <w:i/>
        </w:rPr>
        <w:t xml:space="preserve">   |   Diff record: #7796</w:t>
      </w:r>
    </w:p>
    <w:p/>
    <w:p>
      <w:pPr>
        <w:pStyle w:val="Heading3"/>
      </w:pPr>
      <w:r>
        <w:t>[ADDED] §9.2.4.1.A.1 — Indemnify State for third-party claims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9.2.4.1.A.1</w:t>
            </w:r>
          </w:p>
        </w:tc>
        <w:tc>
          <w:tcPr>
            <w:tcW w:type="dxa" w:w="2880"/>
          </w:tcPr>
          <w:p>
            <w:r>
              <w:t>24</w:t>
            </w:r>
          </w:p>
        </w:tc>
      </w:tr>
    </w:tbl>
    <w:p/>
    <w:p>
      <w:r>
        <w:rPr>
          <w:b/>
        </w:rPr>
        <w:t xml:space="preserve">What changed: </w:t>
      </w:r>
      <w:r>
        <w:t>NEW requirement in 2026 not present in the 2021 baseline.</w:t>
      </w:r>
    </w:p>
    <w:p>
      <w:r>
        <w:rPr>
          <w:b/>
          <w:color w:val="0066A0"/>
        </w:rPr>
        <w:t xml:space="preserve">Why it matters: </w:t>
      </w:r>
      <w:r>
        <w:t>This new uncapped indemnification obligation shifts unlimited third-party liability risk to us, which directly affects insurance requirements, contingency pricing, and may conflict with our standard liability caps. Legal and Risk should review immediately to assess insurability, propose mutual/capped indemnity language, and quantify the cost loading before bid submission.</w:t>
      </w:r>
    </w:p>
    <w:p>
      <w:r>
        <w:rPr>
          <w:i/>
        </w:rPr>
        <w:t xml:space="preserve">Severity: </w:t>
      </w:r>
      <w:r>
        <w:rPr>
          <w:b/>
          <w:color w:val="ED6C02"/>
        </w:rPr>
        <w:t>HIGH</w:t>
      </w:r>
      <w:r>
        <w:rPr>
          <w:i/>
        </w:rPr>
        <w:t xml:space="preserve">   |   Diff record: #7774</w:t>
      </w:r>
    </w:p>
    <w:p/>
    <w:p>
      <w:pPr>
        <w:pStyle w:val="Heading3"/>
      </w:pPr>
      <w:r>
        <w:t>[ADDED] §9.2.4.1.A.1.iii — Indemnify for Breach of Security from encryption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9.2.4.1.A.1.iii</w:t>
            </w:r>
          </w:p>
        </w:tc>
        <w:tc>
          <w:tcPr>
            <w:tcW w:type="dxa" w:w="2880"/>
          </w:tcPr>
          <w:p>
            <w:r>
              <w:t>24</w:t>
            </w:r>
          </w:p>
        </w:tc>
      </w:tr>
    </w:tbl>
    <w:p/>
    <w:p>
      <w:r>
        <w:rPr>
          <w:b/>
        </w:rPr>
        <w:t xml:space="preserve">What changed: </w:t>
      </w:r>
      <w:r>
        <w:t>NEW requirement in 2026 not present in the 2021 baseline.</w:t>
      </w:r>
    </w:p>
    <w:p>
      <w:r>
        <w:rPr>
          <w:b/>
          <w:color w:val="0066A0"/>
        </w:rPr>
        <w:t xml:space="preserve">Why it matters: </w:t>
      </w:r>
      <w:r>
        <w:t>This new clause creates uncapped indemnification exposure tied to encryption failures and Personal Data breaches, materially shifting cyber/data-breach risk to us and likely triggering insurance, subcontractor flow-down, and pricing implications. Legal and Security must validate encryption controls coverage, confirm cyber liability limits, and pursue a liability cap or carve-back; Pricing should load contingency for residual risk.</w:t>
      </w:r>
    </w:p>
    <w:p>
      <w:r>
        <w:rPr>
          <w:i/>
        </w:rPr>
        <w:t xml:space="preserve">Severity: </w:t>
      </w:r>
      <w:r>
        <w:rPr>
          <w:b/>
          <w:color w:val="ED6C02"/>
        </w:rPr>
        <w:t>HIGH</w:t>
      </w:r>
      <w:r>
        <w:rPr>
          <w:i/>
        </w:rPr>
        <w:t xml:space="preserve">   |   Diff record: #9059</w:t>
      </w:r>
    </w:p>
    <w:p/>
    <w:p>
      <w:pPr>
        <w:pStyle w:val="Heading3"/>
      </w:pPr>
      <w:r>
        <w:t>[ADDED] §9.2.4.1.B — Indemnification in addition to insurance and other obligations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9.2.4.1.B</w:t>
            </w:r>
          </w:p>
        </w:tc>
        <w:tc>
          <w:tcPr>
            <w:tcW w:type="dxa" w:w="2880"/>
          </w:tcPr>
          <w:p>
            <w:r>
              <w:t>24</w:t>
            </w:r>
          </w:p>
        </w:tc>
      </w:tr>
    </w:tbl>
    <w:p/>
    <w:p>
      <w:r>
        <w:rPr>
          <w:b/>
        </w:rPr>
        <w:t xml:space="preserve">What changed: </w:t>
      </w:r>
      <w:r>
        <w:t>NEW requirement in 2026 not present in the 2021 baseline.</w:t>
      </w:r>
    </w:p>
    <w:p>
      <w:r>
        <w:rPr>
          <w:b/>
          <w:color w:val="0066A0"/>
        </w:rPr>
        <w:t xml:space="preserve">Why it matters: </w:t>
      </w:r>
      <w:r>
        <w:t>This new clause makes the Contractor's indemnification fully uncapped and stacked on top of insurance limits and all other contractual liabilities, materially expanding our risk exposure beyond what insurance will cover. Legal and Risk should price in additional excess/umbrella coverage, attempt to negotiate a liability cap or carve-outs, and confirm our insurers will accept this broadened indemnity before bid submission.</w:t>
      </w:r>
    </w:p>
    <w:p>
      <w:r>
        <w:rPr>
          <w:i/>
        </w:rPr>
        <w:t xml:space="preserve">Severity: </w:t>
      </w:r>
      <w:r>
        <w:rPr>
          <w:b/>
          <w:color w:val="ED6C02"/>
        </w:rPr>
        <w:t>HIGH</w:t>
      </w:r>
      <w:r>
        <w:rPr>
          <w:i/>
        </w:rPr>
        <w:t xml:space="preserve">   |   Diff record: #8192</w:t>
      </w:r>
    </w:p>
    <w:p/>
    <w:p>
      <w:pPr>
        <w:pStyle w:val="Heading3"/>
      </w:pPr>
      <w:r>
        <w:t>[ADDED] §9.4.4.3.A — Limitation of liability cap - 200% of fees / $1M minimum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9.4.4.3.A</w:t>
            </w:r>
          </w:p>
        </w:tc>
        <w:tc>
          <w:tcPr>
            <w:tcW w:type="dxa" w:w="2880"/>
          </w:tcPr>
          <w:p>
            <w:r>
              <w:t>25</w:t>
            </w:r>
          </w:p>
        </w:tc>
      </w:tr>
    </w:tbl>
    <w:p/>
    <w:p>
      <w:r>
        <w:rPr>
          <w:b/>
        </w:rPr>
        <w:t xml:space="preserve">What changed: </w:t>
      </w:r>
      <w:r>
        <w:t>NEW requirement in 2026 not present in the 2021 baseline.</w:t>
      </w:r>
    </w:p>
    <w:p>
      <w:r>
        <w:rPr>
          <w:b/>
          <w:color w:val="0066A0"/>
        </w:rPr>
        <w:t xml:space="preserve">Why it matters: </w:t>
      </w:r>
      <w:r>
        <w:t>This newly introduced liability cap (200% of trailing 12-month fees, $1M floor, with carve-outs for indemnification and confidentiality breaches) creates uncapped exposure in two areas and a potentially low cap in early contract years when fees are minimal. Legal and Risk should review against our standard liability terms and insurance limits, price any residual risk into the bid, and flag whether to negotiate a super-cap or expanded carve-outs.</w:t>
      </w:r>
    </w:p>
    <w:p>
      <w:r>
        <w:rPr>
          <w:i/>
        </w:rPr>
        <w:t xml:space="preserve">Severity: </w:t>
      </w:r>
      <w:r>
        <w:rPr>
          <w:b/>
          <w:color w:val="ED6C02"/>
        </w:rPr>
        <w:t>HIGH</w:t>
      </w:r>
      <w:r>
        <w:rPr>
          <w:i/>
        </w:rPr>
        <w:t xml:space="preserve">   |   Diff record: #7827</w:t>
      </w:r>
    </w:p>
    <w:p/>
    <w:p>
      <w:pPr>
        <w:pStyle w:val="Heading3"/>
      </w:pPr>
      <w:r>
        <w:t>[ADDED] §Attachment 1 — Comply with State of New Jersey Standard Terms and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Attachment 1</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attachment binds us to NJ's Standard Terms and Conditions, which can override our standard contract positions on indemnification, liability caps, IP rights, and dispute venue. Legal must review Attachment 1 immediately to flag unacceptable clauses, log exceptions, and confirm whether deviations are permitted before bid submission.</w:t>
      </w:r>
    </w:p>
    <w:p>
      <w:r>
        <w:rPr>
          <w:i/>
        </w:rPr>
        <w:t xml:space="preserve">Severity: </w:t>
      </w:r>
      <w:r>
        <w:rPr>
          <w:b/>
          <w:color w:val="ED6C02"/>
        </w:rPr>
        <w:t>HIGH</w:t>
      </w:r>
      <w:r>
        <w:rPr>
          <w:i/>
        </w:rPr>
        <w:t xml:space="preserve">   |   Diff record: #7935</w:t>
      </w:r>
    </w:p>
    <w:p/>
    <w:p>
      <w:r>
        <w:br w:type="page"/>
      </w:r>
    </w:p>
    <w:p>
      <w:pPr>
        <w:pStyle w:val="Heading1"/>
      </w:pPr>
      <w:r>
        <w:t>Indemnification &amp; Risk Allocation</w:t>
      </w:r>
    </w:p>
    <w:p>
      <w:r>
        <w:rPr>
          <w:i/>
        </w:rPr>
        <w:t>39 material changes in this theme.</w:t>
      </w:r>
    </w:p>
    <w:p>
      <w:pPr>
        <w:pStyle w:val="Heading3"/>
      </w:pPr>
      <w:r>
        <w:t>[CHANGED] §4.14.A — State not liable for damages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w:t>
            </w:r>
          </w:p>
        </w:tc>
        <w:tc>
          <w:tcPr>
            <w:tcW w:type="dxa" w:w="2880"/>
          </w:tcPr>
          <w:p>
            <w:r>
              <w:t>1</w:t>
            </w:r>
          </w:p>
        </w:tc>
      </w:tr>
      <w:tr>
        <w:tc>
          <w:tcPr>
            <w:tcW w:type="dxa" w:w="2880"/>
          </w:tcPr>
          <w:p>
            <w:r>
              <w:rPr>
                <w:b/>
              </w:rPr>
              <w:t>2026 RFP</w:t>
            </w:r>
          </w:p>
        </w:tc>
        <w:tc>
          <w:tcPr>
            <w:tcW w:type="dxa" w:w="2880"/>
          </w:tcPr>
          <w:p>
            <w:r>
              <w:t>4.14.A</w:t>
            </w:r>
          </w:p>
        </w:tc>
        <w:tc>
          <w:tcPr>
            <w:tcW w:type="dxa" w:w="2880"/>
          </w:tcPr>
          <w:p>
            <w:r>
              <w:t>40</w:t>
            </w:r>
          </w:p>
        </w:tc>
      </w:tr>
    </w:tbl>
    <w:p/>
    <w:p>
      <w:r>
        <w:rPr>
          <w:b/>
        </w:rPr>
        <w:t xml:space="preserve">What changed: </w:t>
      </w:r>
      <w:r>
        <w:t>Requirement reclassified from informational/medium to mandatory/high priority.</w:t>
      </w:r>
    </w:p>
    <w:p>
      <w:r>
        <w:rPr>
          <w:b/>
          <w:color w:val="0066A0"/>
        </w:rPr>
        <w:t xml:space="preserve">Why it matters: </w:t>
      </w:r>
      <w:r>
        <w:t>The clause was relocated to section 4.14.A and broadened from facility-specific to all damages, and is now flagged mandatory/high priority rather than informational. This shifts liability allocation squarely onto us across a wider scope, with potential pricing and insurance implications (coverage limits, indemnification reserves, risk contingency). Legal and risk should review acceptance, confirm insurance coverage aligns with the broader exposure, and pricing should validate the contingency assumption before submission.</w:t>
      </w:r>
    </w:p>
    <w:p>
      <w:r>
        <w:rPr>
          <w:i/>
        </w:rPr>
        <w:t xml:space="preserve">Severity: </w:t>
      </w:r>
      <w:r>
        <w:rPr>
          <w:b/>
          <w:color w:val="ED6C02"/>
        </w:rPr>
        <w:t>HIGH</w:t>
      </w:r>
      <w:r>
        <w:rPr>
          <w:i/>
        </w:rPr>
        <w:t xml:space="preserve">   |   Diff record: #6194</w:t>
      </w:r>
    </w:p>
    <w:p/>
    <w:p>
      <w:pPr>
        <w:pStyle w:val="Heading3"/>
      </w:pPr>
      <w:r>
        <w:t>[CHANGED] §8.4.2.c/d — Custom Software warranty does not limit breach-of-confidentiality obligations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5.11</w:t>
            </w:r>
          </w:p>
        </w:tc>
        <w:tc>
          <w:tcPr>
            <w:tcW w:type="dxa" w:w="2880"/>
          </w:tcPr>
          <w:p>
            <w:r>
              <w:t>1</w:t>
            </w:r>
          </w:p>
        </w:tc>
      </w:tr>
      <w:tr>
        <w:tc>
          <w:tcPr>
            <w:tcW w:type="dxa" w:w="2880"/>
          </w:tcPr>
          <w:p>
            <w:r>
              <w:rPr>
                <w:b/>
              </w:rPr>
              <w:t>2026 RFP</w:t>
            </w:r>
          </w:p>
        </w:tc>
        <w:tc>
          <w:tcPr>
            <w:tcW w:type="dxa" w:w="2880"/>
          </w:tcPr>
          <w:p>
            <w:r>
              <w:t>8.4.2.c/d</w:t>
            </w:r>
          </w:p>
        </w:tc>
        <w:tc>
          <w:tcPr>
            <w:tcW w:type="dxa" w:w="2880"/>
          </w:tcPr>
          <w:p>
            <w:r>
              <w:t>21</w:t>
            </w:r>
          </w:p>
        </w:tc>
      </w:tr>
    </w:tbl>
    <w:p/>
    <w:p>
      <w:r>
        <w:rPr>
          <w:b/>
        </w:rPr>
        <w:t xml:space="preserve">What changed: </w:t>
      </w:r>
      <w:r>
        <w:t>Scope narrowed to Custom Software warranty provisions specifically, and priority/category elevated to mandatory/high.</w:t>
      </w:r>
    </w:p>
    <w:p>
      <w:r>
        <w:rPr>
          <w:b/>
          <w:color w:val="0066A0"/>
        </w:rPr>
        <w:t xml:space="preserve">Why it matters: </w:t>
      </w:r>
      <w:r>
        <w:t>The clause is now explicitly tied to the Custom Software warranty (sections 8.4.2.c/d) and elevated to a mandatory/high-priority requirement, meaning warranty caps cannot shield us from confidentiality-breach liability on custom-developed code. This carves out unlimited exposure from our standard warranty limitations, which directly affects risk pricing, insurance/indemnity reserves, and subcontractor flow-downs for any custom development scope. Legal and pricing should confirm acceptance of uncapped confidentiality liability for Custom Software, align subcontractor agreements, and adjust risk contingency in the cost model.</w:t>
      </w:r>
    </w:p>
    <w:p>
      <w:r>
        <w:rPr>
          <w:i/>
        </w:rPr>
        <w:t xml:space="preserve">Severity: </w:t>
      </w:r>
      <w:r>
        <w:rPr>
          <w:b/>
          <w:color w:val="ED6C02"/>
        </w:rPr>
        <w:t>HIGH</w:t>
      </w:r>
      <w:r>
        <w:rPr>
          <w:i/>
        </w:rPr>
        <w:t xml:space="preserve">   |   Diff record: #5893</w:t>
      </w:r>
    </w:p>
    <w:p/>
    <w:p>
      <w:pPr>
        <w:pStyle w:val="Heading3"/>
      </w:pPr>
      <w:r>
        <w:t>[CHANGED] §9.2.4.1.H — IP indemnification exclusions - Contractor non-liability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4.1</w:t>
            </w:r>
          </w:p>
        </w:tc>
        <w:tc>
          <w:tcPr>
            <w:tcW w:type="dxa" w:w="2880"/>
          </w:tcPr>
          <w:p>
            <w:r>
              <w:t>1</w:t>
            </w:r>
          </w:p>
        </w:tc>
      </w:tr>
      <w:tr>
        <w:tc>
          <w:tcPr>
            <w:tcW w:type="dxa" w:w="2880"/>
          </w:tcPr>
          <w:p>
            <w:r>
              <w:rPr>
                <w:b/>
              </w:rPr>
              <w:t>2026 RFP</w:t>
            </w:r>
          </w:p>
        </w:tc>
        <w:tc>
          <w:tcPr>
            <w:tcW w:type="dxa" w:w="2880"/>
          </w:tcPr>
          <w:p>
            <w:r>
              <w:t>9.2.4.1.H</w:t>
            </w:r>
          </w:p>
        </w:tc>
        <w:tc>
          <w:tcPr>
            <w:tcW w:type="dxa" w:w="2880"/>
          </w:tcPr>
          <w:p>
            <w:r>
              <w:t>25</w:t>
            </w:r>
          </w:p>
        </w:tc>
      </w:tr>
    </w:tbl>
    <w:p/>
    <w:p>
      <w:r>
        <w:rPr>
          <w:b/>
        </w:rPr>
        <w:t xml:space="preserve">What changed: </w:t>
      </w:r>
      <w:r>
        <w:t>Exclusion (4) now requires Contractor's prior written notice to the State before the State's failure to implement an update triggers the liability exclusion.</w:t>
      </w:r>
    </w:p>
    <w:p>
      <w:r>
        <w:rPr>
          <w:b/>
          <w:color w:val="0066A0"/>
        </w:rPr>
        <w:t xml:space="preserve">Why it matters: </w:t>
      </w:r>
      <w:r>
        <w:t>Exclusion (4) now only applies if Contractor has given the State prior written notice that an update or modification is needed; without that notice, we cannot disclaim IP infringement liability for the State's failure to update. This shifts an affirmative notification burden onto us and expands our residual indemnity exposure, with downstream impact on legal reserves, insurance pricing, and product lifecycle support staffing. Action: add a documented update-notice process (owner, template, delivery/tracking method) to our compliance plan, confirm contract management staffing covers it, and have Legal/Risk reprice indemnity contingency accordingly.</w:t>
      </w:r>
    </w:p>
    <w:p>
      <w:r>
        <w:rPr>
          <w:i/>
        </w:rPr>
        <w:t xml:space="preserve">Severity: </w:t>
      </w:r>
      <w:r>
        <w:rPr>
          <w:b/>
          <w:color w:val="ED6C02"/>
        </w:rPr>
        <w:t>HIGH</w:t>
      </w:r>
      <w:r>
        <w:rPr>
          <w:i/>
        </w:rPr>
        <w:t xml:space="preserve">   |   Diff record: #6173</w:t>
      </w:r>
    </w:p>
    <w:p/>
    <w:p>
      <w:pPr>
        <w:pStyle w:val="Heading3"/>
      </w:pPr>
      <w:r>
        <w:t>[REMOVED] §4.1 — Indemnification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4.1</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The duplicate section numbering (4.1 and 5.17.1) in the prior text strongly suggests indemnification was relocated/renumbered in the new RFP rather than truly removed, as indemnification clauses are virtually never dropped from government/commercial solicitations. Action: search the new document for 'indemnif' and related liability terms, confirm the relocated section, and update the compliance matrix mapping before flagging as a removal.</w:t>
      </w:r>
    </w:p>
    <w:p>
      <w:r>
        <w:rPr>
          <w:i/>
        </w:rPr>
        <w:t xml:space="preserve">Severity: </w:t>
      </w:r>
      <w:r>
        <w:rPr>
          <w:b/>
          <w:color w:val="ED6C02"/>
        </w:rPr>
        <w:t>HIGH</w:t>
      </w:r>
      <w:r>
        <w:rPr>
          <w:i/>
        </w:rPr>
        <w:t xml:space="preserve">   |   Diff record: #6804</w:t>
      </w:r>
    </w:p>
    <w:p/>
    <w:p>
      <w:pPr>
        <w:pStyle w:val="Heading3"/>
      </w:pPr>
      <w:r>
        <w:t>[ADDED] §3.13.7 — Submit Confidentiality/Commitment to Defend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3.13.7</w:t>
            </w:r>
          </w:p>
        </w:tc>
        <w:tc>
          <w:tcPr>
            <w:tcW w:type="dxa" w:w="2880"/>
          </w:tcPr>
          <w:p>
            <w:r>
              <w:t>2</w:t>
            </w:r>
          </w:p>
        </w:tc>
      </w:tr>
    </w:tbl>
    <w:p/>
    <w:p>
      <w:r>
        <w:rPr>
          <w:b/>
        </w:rPr>
        <w:t xml:space="preserve">What changed: </w:t>
      </w:r>
      <w:r>
        <w:t>NEW requirement in 2026 not present in the 2021 baseline.</w:t>
      </w:r>
    </w:p>
    <w:p>
      <w:r>
        <w:rPr>
          <w:b/>
          <w:color w:val="0066A0"/>
        </w:rPr>
        <w:t xml:space="preserve">Why it matters: </w:t>
      </w:r>
      <w:r>
        <w:t>This new clause likely obligates us to sign a confidentiality agreement and commit to defend the agency against third-party IP/disclosure claims, which carries material legal and indemnification exposure. Legal must review the exact language, confirm flow-down to subcontractors, and validate insurance/indemnity limits before submission.</w:t>
      </w:r>
    </w:p>
    <w:p>
      <w:r>
        <w:rPr>
          <w:i/>
        </w:rPr>
        <w:t xml:space="preserve">Severity: </w:t>
      </w:r>
      <w:r>
        <w:rPr>
          <w:b/>
          <w:color w:val="ED6C02"/>
        </w:rPr>
        <w:t>HIGH</w:t>
      </w:r>
      <w:r>
        <w:rPr>
          <w:i/>
        </w:rPr>
        <w:t xml:space="preserve">   |   Diff record: #11005</w:t>
      </w:r>
    </w:p>
    <w:p/>
    <w:p>
      <w:pPr>
        <w:pStyle w:val="Heading3"/>
      </w:pPr>
      <w:r>
        <w:t>[ADDED] §4.1 — Remedy IP infringement claims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w:t>
            </w:r>
          </w:p>
        </w:tc>
        <w:tc>
          <w:tcPr>
            <w:tcW w:type="dxa" w:w="2880"/>
          </w:tcPr>
          <w:p>
            <w:r>
              <w:t>7</w:t>
            </w:r>
          </w:p>
        </w:tc>
      </w:tr>
    </w:tbl>
    <w:p/>
    <w:p>
      <w:r>
        <w:rPr>
          <w:b/>
        </w:rPr>
        <w:t xml:space="preserve">What changed: </w:t>
      </w:r>
      <w:r>
        <w:t>NEW requirement in 2026 not present in the 2021 baseline.</w:t>
      </w:r>
    </w:p>
    <w:p>
      <w:r>
        <w:rPr>
          <w:b/>
          <w:color w:val="0066A0"/>
        </w:rPr>
        <w:t xml:space="preserve">Why it matters: </w:t>
      </w:r>
      <w:r>
        <w:t>This new IP indemnification clause shifts third-party patent/copyright infringement risk to us with prescribed remedies (procure rights, replace/modify, or refund), which directly affects warranty exposure, pricing contingency, and supplier flow-down obligations. Legal and pricing should review for indemnity caps, confirm OEM/subcontractor back-to-back IP indemnities, and add a risk reserve to the cost model.</w:t>
      </w:r>
    </w:p>
    <w:p>
      <w:r>
        <w:rPr>
          <w:i/>
        </w:rPr>
        <w:t xml:space="preserve">Severity: </w:t>
      </w:r>
      <w:r>
        <w:rPr>
          <w:b/>
          <w:color w:val="ED6C02"/>
        </w:rPr>
        <w:t>HIGH</w:t>
      </w:r>
      <w:r>
        <w:rPr>
          <w:i/>
        </w:rPr>
        <w:t xml:space="preserve">   |   Diff record: #7764</w:t>
      </w:r>
    </w:p>
    <w:p/>
    <w:p>
      <w:pPr>
        <w:pStyle w:val="Heading3"/>
      </w:pPr>
      <w:r>
        <w:t>[ADDED] §4.1 — Indemnify for Intellectual Property Rights infringement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w:t>
            </w:r>
          </w:p>
        </w:tc>
        <w:tc>
          <w:tcPr>
            <w:tcW w:type="dxa" w:w="2880"/>
          </w:tcPr>
          <w:p>
            <w:r>
              <w:t>7</w:t>
            </w:r>
          </w:p>
        </w:tc>
      </w:tr>
    </w:tbl>
    <w:p/>
    <w:p>
      <w:r>
        <w:rPr>
          <w:b/>
        </w:rPr>
        <w:t xml:space="preserve">What changed: </w:t>
      </w:r>
      <w:r>
        <w:t>NEW requirement in 2026 not present in the 2021 baseline.</w:t>
      </w:r>
    </w:p>
    <w:p>
      <w:r>
        <w:rPr>
          <w:b/>
          <w:color w:val="0066A0"/>
        </w:rPr>
        <w:t xml:space="preserve">Why it matters: </w:t>
      </w:r>
      <w:r>
        <w:t>This new clause imposes uncapped IP infringement indemnification, exposing us to potentially unlimited liability for any patent, copyright, trademark, or trade secret claims tied to deliverables or tools used in performance. Legal and contracts must review for caps/carve-outs, supply chain (subcontractors, COTS/OSS) must be vetted for IP clearance, and pricing should reflect the added risk and insurance coverage.</w:t>
      </w:r>
    </w:p>
    <w:p>
      <w:r>
        <w:rPr>
          <w:i/>
        </w:rPr>
        <w:t xml:space="preserve">Severity: </w:t>
      </w:r>
      <w:r>
        <w:rPr>
          <w:b/>
          <w:color w:val="ED6C02"/>
        </w:rPr>
        <w:t>HIGH</w:t>
      </w:r>
      <w:r>
        <w:rPr>
          <w:i/>
        </w:rPr>
        <w:t xml:space="preserve">   |   Diff record: #7773</w:t>
      </w:r>
    </w:p>
    <w:p/>
    <w:p>
      <w:pPr>
        <w:pStyle w:val="Heading3"/>
      </w:pPr>
      <w:r>
        <w:t>[ADDED] §4.1 — Indemnification not limited by insurance obligations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w:t>
            </w:r>
          </w:p>
        </w:tc>
        <w:tc>
          <w:tcPr>
            <w:tcW w:type="dxa" w:w="2880"/>
          </w:tcPr>
          <w:p>
            <w:r>
              <w:t>4</w:t>
            </w:r>
          </w:p>
        </w:tc>
      </w:tr>
    </w:tbl>
    <w:p/>
    <w:p>
      <w:r>
        <w:rPr>
          <w:b/>
        </w:rPr>
        <w:t xml:space="preserve">What changed: </w:t>
      </w:r>
      <w:r>
        <w:t>NEW requirement in 2026 not present in the 2021 baseline.</w:t>
      </w:r>
    </w:p>
    <w:p>
      <w:r>
        <w:rPr>
          <w:b/>
          <w:color w:val="0066A0"/>
        </w:rPr>
        <w:t xml:space="preserve">Why it matters: </w:t>
      </w:r>
      <w:r>
        <w:t>This new clause makes indemnification uncapped and explicitly stacked on top of insurance, meaning our liability exposure is no longer bounded by policy limits and State approvals won't waive any obligations. Legal and Risk must review for acceptability, confirm our insurance towers can absorb potential gaps, and decide whether to bid as-is or submit an exception/cap proposal.</w:t>
      </w:r>
    </w:p>
    <w:p>
      <w:r>
        <w:rPr>
          <w:i/>
        </w:rPr>
        <w:t xml:space="preserve">Severity: </w:t>
      </w:r>
      <w:r>
        <w:rPr>
          <w:b/>
          <w:color w:val="ED6C02"/>
        </w:rPr>
        <w:t>HIGH</w:t>
      </w:r>
      <w:r>
        <w:rPr>
          <w:i/>
        </w:rPr>
        <w:t xml:space="preserve">   |   Diff record: #8341</w:t>
      </w:r>
    </w:p>
    <w:p/>
    <w:p>
      <w:pPr>
        <w:pStyle w:val="Heading3"/>
      </w:pPr>
      <w:r>
        <w:t>[ADDED] §4.1.E.2 — State approval required for settlement of claims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4.1.E.2</w:t>
            </w:r>
          </w:p>
        </w:tc>
        <w:tc>
          <w:tcPr>
            <w:tcW w:type="dxa" w:w="2880"/>
          </w:tcPr>
          <w:p>
            <w:r>
              <w:t>7</w:t>
            </w:r>
          </w:p>
        </w:tc>
      </w:tr>
    </w:tbl>
    <w:p/>
    <w:p>
      <w:r>
        <w:rPr>
          <w:b/>
        </w:rPr>
        <w:t xml:space="preserve">What changed: </w:t>
      </w:r>
      <w:r>
        <w:t>NEW requirement in 2026 not present in the 2021 baseline.</w:t>
      </w:r>
    </w:p>
    <w:p>
      <w:r>
        <w:rPr>
          <w:b/>
          <w:color w:val="0066A0"/>
        </w:rPr>
        <w:t xml:space="preserve">Why it matters: </w:t>
      </w:r>
      <w:r>
        <w:t>This new clause restricts our unilateral settlement authority on indemnified claims by requiring State approval, which can delay resolution, increase legal spend, and complicate insurer/carrier coordination on covered matters. Legal and Risk should confirm carrier acceptance of the consent-to-settle constraint, add language ensuring State decisions are timely, and price contingency for extended defense costs.</w:t>
      </w:r>
    </w:p>
    <w:p>
      <w:r>
        <w:rPr>
          <w:i/>
        </w:rPr>
        <w:t xml:space="preserve">Severity: </w:t>
      </w:r>
      <w:r>
        <w:rPr>
          <w:b/>
          <w:color w:val="ED6C02"/>
        </w:rPr>
        <w:t>HIGH</w:t>
      </w:r>
      <w:r>
        <w:rPr>
          <w:i/>
        </w:rPr>
        <w:t xml:space="preserve">   |   Diff record: #7812</w:t>
      </w:r>
    </w:p>
    <w:p/>
    <w:p>
      <w:pPr>
        <w:pStyle w:val="Heading3"/>
      </w:pPr>
      <w:r>
        <w:t>[ADDED] §4.10.4.B — Maintain inspection employees as Contractor employees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4.10.4.B</w:t>
            </w:r>
          </w:p>
        </w:tc>
        <w:tc>
          <w:tcPr>
            <w:tcW w:type="dxa" w:w="2880"/>
          </w:tcPr>
          <w:p>
            <w:r>
              <w:t>40</w:t>
            </w:r>
          </w:p>
        </w:tc>
      </w:tr>
    </w:tbl>
    <w:p/>
    <w:p>
      <w:r>
        <w:rPr>
          <w:b/>
        </w:rPr>
        <w:t xml:space="preserve">What changed: </w:t>
      </w:r>
      <w:r>
        <w:t>NEW requirement in 2026 not present in the 2021 baseline.</w:t>
      </w:r>
    </w:p>
    <w:p>
      <w:r>
        <w:rPr>
          <w:b/>
          <w:color w:val="0066A0"/>
        </w:rPr>
        <w:t xml:space="preserve">Why it matters: </w:t>
      </w:r>
      <w:r>
        <w:t>This new clause makes clear that all inspection staff are solely our employees, not State personnel, shifting full responsibility for HR, payroll, benefits, taxes, workers' comp, and employment liability onto us with no co-employment recourse. HR/Legal must confirm our staffing model, employment agreements, and insurance/indemnification provisions reflect sole-employer status, and Pricing should validate fully-loaded labor rates accordingly.</w:t>
      </w:r>
    </w:p>
    <w:p>
      <w:r>
        <w:rPr>
          <w:i/>
        </w:rPr>
        <w:t xml:space="preserve">Severity: </w:t>
      </w:r>
      <w:r>
        <w:rPr>
          <w:b/>
          <w:color w:val="ED6C02"/>
        </w:rPr>
        <w:t>HIGH</w:t>
      </w:r>
      <w:r>
        <w:rPr>
          <w:i/>
        </w:rPr>
        <w:t xml:space="preserve">   |   Diff record: #8712</w:t>
      </w:r>
    </w:p>
    <w:p/>
    <w:p>
      <w:pPr>
        <w:pStyle w:val="Heading3"/>
      </w:pPr>
      <w:r>
        <w:t>[ADDED] §4.3 — Breach of Security cost cap tied to Ponemon Institute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4.3</w:t>
            </w:r>
          </w:p>
        </w:tc>
        <w:tc>
          <w:tcPr>
            <w:tcW w:type="dxa" w:w="2880"/>
          </w:tcPr>
          <w:p>
            <w:r>
              <w:t>105</w:t>
            </w:r>
          </w:p>
        </w:tc>
      </w:tr>
    </w:tbl>
    <w:p/>
    <w:p>
      <w:r>
        <w:rPr>
          <w:b/>
        </w:rPr>
        <w:t xml:space="preserve">What changed: </w:t>
      </w:r>
      <w:r>
        <w:t>NEW requirement in 2026 not present in the 2021 baseline.</w:t>
      </w:r>
    </w:p>
    <w:p>
      <w:r>
        <w:rPr>
          <w:b/>
          <w:color w:val="0066A0"/>
        </w:rPr>
        <w:t xml:space="preserve">Why it matters: </w:t>
      </w:r>
      <w:r>
        <w:t>This new clause caps our breach liability at the Ponemon Institute's most recent per-record/per-person public sector figure, creating a variable, externally-defined exposure ceiling that must be priced into our cyber insurance, indemnification, and breach response reserves. Legal and pricing teams should pull the latest Ponemon public sector figure, model worst-case record counts, and confirm our insurance limits and subcontractor flow-downs cover this cap before submission.</w:t>
      </w:r>
    </w:p>
    <w:p>
      <w:r>
        <w:rPr>
          <w:i/>
        </w:rPr>
        <w:t xml:space="preserve">Severity: </w:t>
      </w:r>
      <w:r>
        <w:rPr>
          <w:b/>
          <w:color w:val="ED6C02"/>
        </w:rPr>
        <w:t>HIGH</w:t>
      </w:r>
      <w:r>
        <w:rPr>
          <w:i/>
        </w:rPr>
        <w:t xml:space="preserve">   |   Diff record: #8805</w:t>
      </w:r>
    </w:p>
    <w:p/>
    <w:p>
      <w:pPr>
        <w:pStyle w:val="Heading3"/>
      </w:pPr>
      <w:r>
        <w:t>[ADDED] §4.3 — Bear costs of Breach of Security due to failure to encrypt Personal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4.3</w:t>
            </w:r>
          </w:p>
        </w:tc>
        <w:tc>
          <w:tcPr>
            <w:tcW w:type="dxa" w:w="2880"/>
          </w:tcPr>
          <w:p>
            <w:r>
              <w:t>105</w:t>
            </w:r>
          </w:p>
        </w:tc>
      </w:tr>
    </w:tbl>
    <w:p/>
    <w:p>
      <w:r>
        <w:rPr>
          <w:b/>
        </w:rPr>
        <w:t xml:space="preserve">What changed: </w:t>
      </w:r>
      <w:r>
        <w:t>NEW requirement in 2026 not present in the 2021 baseline.</w:t>
      </w:r>
    </w:p>
    <w:p>
      <w:r>
        <w:rPr>
          <w:b/>
          <w:color w:val="0066A0"/>
        </w:rPr>
        <w:t xml:space="preserve">Why it matters: </w:t>
      </w:r>
      <w:r>
        <w:t>This new clause shifts full financial liability for encryption-related breaches onto the Contractor, including investigation, notification, credit monitoring, and call center costs—an uncapped exposure that materially affects pricing, insurance, and risk reserves. Legal and security should validate encryption controls across all Personal Data flows, confirm cyber liability coverage limits, and price contingency into the bid.</w:t>
      </w:r>
    </w:p>
    <w:p>
      <w:r>
        <w:rPr>
          <w:i/>
        </w:rPr>
        <w:t xml:space="preserve">Severity: </w:t>
      </w:r>
      <w:r>
        <w:rPr>
          <w:b/>
          <w:color w:val="ED6C02"/>
        </w:rPr>
        <w:t>HIGH</w:t>
      </w:r>
      <w:r>
        <w:rPr>
          <w:i/>
        </w:rPr>
        <w:t xml:space="preserve">   |   Diff record: #9029</w:t>
      </w:r>
    </w:p>
    <w:p/>
    <w:p>
      <w:pPr>
        <w:pStyle w:val="Heading3"/>
      </w:pPr>
      <w:r>
        <w:t>[ADDED] §4.9.1.3.D — Additional 5% refund for each successive 30-day delay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4.9.1.3.D</w:t>
            </w:r>
          </w:p>
        </w:tc>
        <w:tc>
          <w:tcPr>
            <w:tcW w:type="dxa" w:w="2880"/>
          </w:tcPr>
          <w:p>
            <w:r>
              <w:t>32</w:t>
            </w:r>
          </w:p>
        </w:tc>
      </w:tr>
    </w:tbl>
    <w:p/>
    <w:p>
      <w:r>
        <w:rPr>
          <w:b/>
        </w:rPr>
        <w:t xml:space="preserve">What changed: </w:t>
      </w:r>
      <w:r>
        <w:t>NEW requirement in 2026 not present in the 2021 baseline.</w:t>
      </w:r>
    </w:p>
    <w:p>
      <w:r>
        <w:rPr>
          <w:b/>
          <w:color w:val="0066A0"/>
        </w:rPr>
        <w:t xml:space="preserve">Why it matters: </w:t>
      </w:r>
      <w:r>
        <w:t>This new escalating penalty clause stacks an additional 5% refund for every 30-day delay, creating uncapped financial exposure that could erode or eliminate margin on delayed deliveries. Legal and pricing teams must model worst-case delay scenarios, push to negotiate a cap or cure period, and ensure our delivery schedule includes hard buffers and supplier-backed commitments.</w:t>
      </w:r>
    </w:p>
    <w:p>
      <w:r>
        <w:rPr>
          <w:i/>
        </w:rPr>
        <w:t xml:space="preserve">Severity: </w:t>
      </w:r>
      <w:r>
        <w:rPr>
          <w:b/>
          <w:color w:val="ED6C02"/>
        </w:rPr>
        <w:t>HIGH</w:t>
      </w:r>
      <w:r>
        <w:rPr>
          <w:i/>
        </w:rPr>
        <w:t xml:space="preserve">   |   Diff record: #10608</w:t>
      </w:r>
    </w:p>
    <w:p/>
    <w:p>
      <w:pPr>
        <w:pStyle w:val="Heading3"/>
      </w:pPr>
      <w:r>
        <w:t>[ADDED] §5.22 — Defend and indemnify State against Section 508/VPAT claims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5.22</w:t>
            </w:r>
          </w:p>
        </w:tc>
        <w:tc>
          <w:tcPr>
            <w:tcW w:type="dxa" w:w="2880"/>
          </w:tcPr>
          <w:p>
            <w:r>
              <w:t>11</w:t>
            </w:r>
          </w:p>
        </w:tc>
      </w:tr>
    </w:tbl>
    <w:p/>
    <w:p>
      <w:r>
        <w:rPr>
          <w:b/>
        </w:rPr>
        <w:t xml:space="preserve">What changed: </w:t>
      </w:r>
      <w:r>
        <w:t>NEW requirement in 2026 not present in the 2021 baseline.</w:t>
      </w:r>
    </w:p>
    <w:p>
      <w:r>
        <w:rPr>
          <w:b/>
          <w:color w:val="0066A0"/>
        </w:rPr>
        <w:t xml:space="preserve">Why it matters: </w:t>
      </w:r>
      <w:r>
        <w:t>This new clause obligates us to defend and indemnify the State for any Section 508/VPAT accessibility claims tied to our Software, transferring uncapped third-party IP/compliance liability that our standard VPAT and indemnity language likely don't cover. Legal and Accessibility leads must validate current VPAT accuracy, remediate any gaps before submission, and price/negotiate this exposure (carve-outs, cap, or insurance) with Risk before bid finalization.</w:t>
      </w:r>
    </w:p>
    <w:p>
      <w:r>
        <w:rPr>
          <w:i/>
        </w:rPr>
        <w:t xml:space="preserve">Severity: </w:t>
      </w:r>
      <w:r>
        <w:rPr>
          <w:b/>
          <w:color w:val="ED6C02"/>
        </w:rPr>
        <w:t>HIGH</w:t>
      </w:r>
      <w:r>
        <w:rPr>
          <w:i/>
        </w:rPr>
        <w:t xml:space="preserve">   |   Diff record: #9154</w:t>
      </w:r>
    </w:p>
    <w:p/>
    <w:p>
      <w:pPr>
        <w:pStyle w:val="Heading3"/>
      </w:pPr>
      <w:r>
        <w:t>[ADDED] §5.4.D — Prohibition on Third Party Terms Requiring Indemnification or Arbitration by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5.4.D</w:t>
            </w:r>
          </w:p>
        </w:tc>
        <w:tc>
          <w:tcPr>
            <w:tcW w:type="dxa" w:w="2880"/>
          </w:tcPr>
          <w:p>
            <w:r>
              <w:t>91</w:t>
            </w:r>
          </w:p>
        </w:tc>
      </w:tr>
    </w:tbl>
    <w:p/>
    <w:p>
      <w:r>
        <w:rPr>
          <w:b/>
        </w:rPr>
        <w:t xml:space="preserve">What changed: </w:t>
      </w:r>
      <w:r>
        <w:t>NEW requirement in 2026 not present in the 2021 baseline.</w:t>
      </w:r>
    </w:p>
    <w:p>
      <w:r>
        <w:rPr>
          <w:b/>
          <w:color w:val="0066A0"/>
        </w:rPr>
        <w:t xml:space="preserve">Why it matters: </w:t>
      </w:r>
      <w:r>
        <w:t>This new clause voids any third-party/OEM terms that require the State to indemnify or arbitrate, which directly conflicts with standard pass-through EULA, SaaS, and cloud provider agreements we typically rely on. Legal and partner management must scrub all flow-down OEM/subcontractor terms now and secure carve-outs or alternate language before submission, or we risk non-compliance and unpriced liability exposure.</w:t>
      </w:r>
    </w:p>
    <w:p>
      <w:r>
        <w:rPr>
          <w:i/>
        </w:rPr>
        <w:t xml:space="preserve">Severity: </w:t>
      </w:r>
      <w:r>
        <w:rPr>
          <w:b/>
          <w:color w:val="ED6C02"/>
        </w:rPr>
        <w:t>HIGH</w:t>
      </w:r>
      <w:r>
        <w:rPr>
          <w:i/>
        </w:rPr>
        <w:t xml:space="preserve">   |   Diff record: #9110</w:t>
      </w:r>
    </w:p>
    <w:p/>
    <w:p>
      <w:pPr>
        <w:pStyle w:val="Heading3"/>
      </w:pPr>
      <w:r>
        <w:t>[ADDED] §5.4.D — Indemnify State for Third Party IP Infringement Claims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5.4.D</w:t>
            </w:r>
          </w:p>
        </w:tc>
        <w:tc>
          <w:tcPr>
            <w:tcW w:type="dxa" w:w="2880"/>
          </w:tcPr>
          <w:p>
            <w:r>
              <w:t>91</w:t>
            </w:r>
          </w:p>
        </w:tc>
      </w:tr>
    </w:tbl>
    <w:p/>
    <w:p>
      <w:r>
        <w:rPr>
          <w:b/>
        </w:rPr>
        <w:t xml:space="preserve">What changed: </w:t>
      </w:r>
      <w:r>
        <w:t>NEW requirement in 2026 not present in the 2021 baseline.</w:t>
      </w:r>
    </w:p>
    <w:p>
      <w:r>
        <w:rPr>
          <w:b/>
          <w:color w:val="0066A0"/>
        </w:rPr>
        <w:t xml:space="preserve">Why it matters: </w:t>
      </w:r>
      <w:r>
        <w:t>This new clause exposes us to unlimited indemnification liability for third-party IP we incorporate (open source, COTS, libraries), which our standard subcontractor and OEM flow-downs may not fully cover. Legal and supply chain must inventory all third-party IP in the proposed solution, secure back-to-back indemnities from vendors, and price residual risk; pricing and risk register must be updated accordingly.</w:t>
      </w:r>
    </w:p>
    <w:p>
      <w:r>
        <w:rPr>
          <w:i/>
        </w:rPr>
        <w:t xml:space="preserve">Severity: </w:t>
      </w:r>
      <w:r>
        <w:rPr>
          <w:b/>
          <w:color w:val="ED6C02"/>
        </w:rPr>
        <w:t>HIGH</w:t>
      </w:r>
      <w:r>
        <w:rPr>
          <w:i/>
        </w:rPr>
        <w:t xml:space="preserve">   |   Diff record: #9833</w:t>
      </w:r>
    </w:p>
    <w:p/>
    <w:p>
      <w:pPr>
        <w:pStyle w:val="Heading3"/>
      </w:pPr>
      <w:r>
        <w:t>[ADDED] §5.8 — Be responsible for subcontractor performance and compliance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5.8</w:t>
            </w:r>
          </w:p>
        </w:tc>
        <w:tc>
          <w:tcPr>
            <w:tcW w:type="dxa" w:w="2880"/>
          </w:tcPr>
          <w:p>
            <w:r>
              <w:t>9</w:t>
            </w:r>
          </w:p>
        </w:tc>
      </w:tr>
    </w:tbl>
    <w:p/>
    <w:p>
      <w:r>
        <w:rPr>
          <w:b/>
        </w:rPr>
        <w:t xml:space="preserve">What changed: </w:t>
      </w:r>
      <w:r>
        <w:t>NEW requirement in 2026 not present in the 2021 baseline.</w:t>
      </w:r>
    </w:p>
    <w:p>
      <w:r>
        <w:rPr>
          <w:b/>
          <w:color w:val="0066A0"/>
        </w:rPr>
        <w:t xml:space="preserve">Why it matters: </w:t>
      </w:r>
      <w:r>
        <w:t>This new flow-down clause makes us fully liable for any subcontractor's performance, contract compliance, and legal compliance, materially increasing our risk exposure and pricing assumptions. Action: tighten subcontractor vetting, ensure all prime terms flow down in subcontract agreements, and add indemnification, insurance, and audit-rights provisions before bid submission.</w:t>
      </w:r>
    </w:p>
    <w:p>
      <w:r>
        <w:rPr>
          <w:i/>
        </w:rPr>
        <w:t xml:space="preserve">Severity: </w:t>
      </w:r>
      <w:r>
        <w:rPr>
          <w:b/>
          <w:color w:val="ED6C02"/>
        </w:rPr>
        <w:t>HIGH</w:t>
      </w:r>
      <w:r>
        <w:rPr>
          <w:i/>
        </w:rPr>
        <w:t xml:space="preserve">   |   Diff record: #9785</w:t>
      </w:r>
    </w:p>
    <w:p/>
    <w:p>
      <w:pPr>
        <w:pStyle w:val="Heading3"/>
      </w:pPr>
      <w:r>
        <w:t>[ADDED] §7.1 — IP indemnification is exclusive remedy; warranties disclaimed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clause caps our IP risk exposure to the indemnity remedy alone and disclaims all non-infringement and title warranties, which is favorable but must be reflected consistently in our proposed T&amp;Cs, pricing assumptions, and subcontractor flow-downs. Legal should validate the indemnity scope is acceptable as the sole remedy, and the capture team should ensure our warranty and IP sections mirror this exclusivity to avoid contradictions.</w:t>
      </w:r>
    </w:p>
    <w:p>
      <w:r>
        <w:rPr>
          <w:i/>
        </w:rPr>
        <w:t xml:space="preserve">Severity: </w:t>
      </w:r>
      <w:r>
        <w:rPr>
          <w:b/>
          <w:color w:val="ED6C02"/>
        </w:rPr>
        <w:t>HIGH</w:t>
      </w:r>
      <w:r>
        <w:rPr>
          <w:i/>
        </w:rPr>
        <w:t xml:space="preserve">   |   Diff record: #7778</w:t>
      </w:r>
    </w:p>
    <w:p/>
    <w:p>
      <w:pPr>
        <w:pStyle w:val="Heading3"/>
      </w:pPr>
      <w:r>
        <w:t>[ADDED] §7.1 — Acknowledge replacement of SSTC Section 4.1 Indemnification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A new Section 7.1 replaces the State Standard T&amp;Cs Section 4.1 Indemnification language entirely, meaning our standard risk assumptions and insurance/liability posture may no longer apply. Legal and Risk must immediately review the substituted indemnification text against our approved fallback positions, flag any uncapped or one-way indemnity exposure, and confirm pricing/insurance coverage before submission.</w:t>
      </w:r>
    </w:p>
    <w:p>
      <w:r>
        <w:rPr>
          <w:i/>
        </w:rPr>
        <w:t xml:space="preserve">Severity: </w:t>
      </w:r>
      <w:r>
        <w:rPr>
          <w:b/>
          <w:color w:val="ED6C02"/>
        </w:rPr>
        <w:t>HIGH</w:t>
      </w:r>
      <w:r>
        <w:rPr>
          <w:i/>
        </w:rPr>
        <w:t xml:space="preserve">   |   Diff record: #8547</w:t>
      </w:r>
    </w:p>
    <w:p/>
    <w:p>
      <w:pPr>
        <w:pStyle w:val="Heading3"/>
      </w:pPr>
      <w:r>
        <w:t>[ADDED] §7.1 — Indemnification clause does not limit Contractor's other Contract obligations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clause makes indemnification non-exclusive and uncapped, meaning the State retains all other contractual, legal, and equitable remedies on top of indemnity—significantly expanding Contractor liability exposure beyond the indemnification language itself. Legal and risk teams must review insurance limits, reserve pricing, and assess whether to flag/negotiate this term or price in additional contingency.</w:t>
      </w:r>
    </w:p>
    <w:p>
      <w:r>
        <w:rPr>
          <w:i/>
        </w:rPr>
        <w:t xml:space="preserve">Severity: </w:t>
      </w:r>
      <w:r>
        <w:rPr>
          <w:b/>
          <w:color w:val="ED6C02"/>
        </w:rPr>
        <w:t>HIGH</w:t>
      </w:r>
      <w:r>
        <w:rPr>
          <w:i/>
        </w:rPr>
        <w:t xml:space="preserve">   |   Diff record: #9589</w:t>
      </w:r>
    </w:p>
    <w:p/>
    <w:p>
      <w:pPr>
        <w:pStyle w:val="Heading3"/>
      </w:pPr>
      <w:r>
        <w:t>[ADDED] §7.1 / 4.1(A)(1)(i) — Indemnify for loss of life or property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 / 4.1(A)(1)(i)</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indemnification clause shifts broad liability for bodily injury, death, and property damage arising from our work or products onto us, materially increasing our risk exposure and likely insurance costs. Legal and Risk should review for caps, carve-outs, and negligence qualifiers, and Pricing must confirm coverage limits align with our CGL/umbrella policies before bid submission.</w:t>
      </w:r>
    </w:p>
    <w:p>
      <w:r>
        <w:rPr>
          <w:i/>
        </w:rPr>
        <w:t xml:space="preserve">Severity: </w:t>
      </w:r>
      <w:r>
        <w:rPr>
          <w:b/>
          <w:color w:val="ED6C02"/>
        </w:rPr>
        <w:t>HIGH</w:t>
      </w:r>
      <w:r>
        <w:rPr>
          <w:i/>
        </w:rPr>
        <w:t xml:space="preserve">   |   Diff record: #9472</w:t>
      </w:r>
    </w:p>
    <w:p/>
    <w:p>
      <w:pPr>
        <w:pStyle w:val="Heading3"/>
      </w:pPr>
      <w:r>
        <w:t>[ADDED] §7.1 / 4.1(A)(1)(iii) — Indemnify for Breach of Security from encryption failure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 / 4.1(A)(1)(iii)</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clause creates uncapped indemnification exposure tied specifically to encryption failures and Personal Data breaches, materially shifting cybersecurity liability onto us and likely triggering insurance, pricing, and risk-reserve adjustments. Security, Legal, and Pricing should validate encryption controls (at-rest/in-transit/key management) against this obligation, confirm cyber liability coverage limits, and decide whether to accept, negotiate a cap/carve-outs, or take exception.</w:t>
      </w:r>
    </w:p>
    <w:p>
      <w:r>
        <w:rPr>
          <w:i/>
        </w:rPr>
        <w:t xml:space="preserve">Severity: </w:t>
      </w:r>
      <w:r>
        <w:rPr>
          <w:b/>
          <w:color w:val="ED6C02"/>
        </w:rPr>
        <w:t>HIGH</w:t>
      </w:r>
      <w:r>
        <w:rPr>
          <w:i/>
        </w:rPr>
        <w:t xml:space="preserve">   |   Diff record: #9147</w:t>
      </w:r>
    </w:p>
    <w:p/>
    <w:p>
      <w:pPr>
        <w:pStyle w:val="Heading3"/>
      </w:pPr>
      <w:r>
        <w:t>[ADDED] §7.1 / 4.1(A)(2) — Acknowledge State's right to assume own defense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 / 4.1(A)(2)</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clause lets New Jersey take over its own defense and settlement at any time, which shifts control away from us and creates risk that we'd still owe indemnity for outcomes we didn't manage—legal and insurance should review our indemnification language and confirm carrier acceptance before submission.</w:t>
      </w:r>
    </w:p>
    <w:p>
      <w:r>
        <w:rPr>
          <w:i/>
        </w:rPr>
        <w:t xml:space="preserve">Severity: </w:t>
      </w:r>
      <w:r>
        <w:rPr>
          <w:b/>
          <w:color w:val="ED6C02"/>
        </w:rPr>
        <w:t>HIGH</w:t>
      </w:r>
      <w:r>
        <w:rPr>
          <w:i/>
        </w:rPr>
        <w:t xml:space="preserve">   |   Diff record: #7748</w:t>
      </w:r>
    </w:p>
    <w:p/>
    <w:p>
      <w:pPr>
        <w:pStyle w:val="Heading3"/>
      </w:pPr>
      <w:r>
        <w:t>[ADDED] §7.1 / 4.1(A)(2) — Acknowledge State's right to prompt notification of IP claim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 / 4.1(A)(2)</w:t>
            </w:r>
          </w:p>
        </w:tc>
        <w:tc>
          <w:tcPr>
            <w:tcW w:type="dxa" w:w="2880"/>
          </w:tcPr>
          <w:p>
            <w:r>
              <w:t>104</w:t>
            </w:r>
          </w:p>
        </w:tc>
      </w:tr>
    </w:tbl>
    <w:p/>
    <w:p>
      <w:r>
        <w:rPr>
          <w:b/>
        </w:rPr>
        <w:t xml:space="preserve">What changed: </w:t>
      </w:r>
      <w:r>
        <w:t>NEW requirement in 2026 not present in the 2021 baseline.</w:t>
      </w:r>
    </w:p>
    <w:p>
      <w:r>
        <w:rPr>
          <w:b/>
          <w:color w:val="0066A0"/>
        </w:rPr>
        <w:t xml:space="preserve">Why it matters: </w:t>
      </w:r>
      <w:r>
        <w:t>This new clause obligates the State to promptly notify us in writing of any IP infringement claim and grants Contractor control of the defense and settlement, which directly affects our IP indemnity exposure and litigation strategy. Legal must confirm the notice/control terms align with our standard indemnity language and insurance, and Proposal should mirror these conditions in our IP indemnification response.</w:t>
      </w:r>
    </w:p>
    <w:p>
      <w:r>
        <w:rPr>
          <w:i/>
        </w:rPr>
        <w:t xml:space="preserve">Severity: </w:t>
      </w:r>
      <w:r>
        <w:rPr>
          <w:b/>
          <w:color w:val="ED6C02"/>
        </w:rPr>
        <w:t>HIGH</w:t>
      </w:r>
      <w:r>
        <w:rPr>
          <w:i/>
        </w:rPr>
        <w:t xml:space="preserve">   |   Diff record: #7889</w:t>
      </w:r>
    </w:p>
    <w:p/>
    <w:p>
      <w:pPr>
        <w:pStyle w:val="Heading3"/>
      </w:pPr>
      <w:r>
        <w:t>[ADDED] §7.1(A)(8) — State will not indemnify Contractor; claim payment conditions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7.1(A)(8)</w:t>
            </w:r>
          </w:p>
        </w:tc>
        <w:tc>
          <w:tcPr>
            <w:tcW w:type="dxa" w:w="2880"/>
          </w:tcPr>
          <w:p>
            <w:r>
              <w:t>105</w:t>
            </w:r>
          </w:p>
        </w:tc>
      </w:tr>
    </w:tbl>
    <w:p/>
    <w:p>
      <w:r>
        <w:rPr>
          <w:b/>
        </w:rPr>
        <w:t xml:space="preserve">What changed: </w:t>
      </w:r>
      <w:r>
        <w:t>NEW requirement in 2026 not present in the 2021 baseline.</w:t>
      </w:r>
    </w:p>
    <w:p>
      <w:r>
        <w:rPr>
          <w:b/>
          <w:color w:val="0066A0"/>
        </w:rPr>
        <w:t xml:space="preserve">Why it matters: </w:t>
      </w:r>
      <w:r>
        <w:t>This new clause explicitly bars the State from indemnifying, defending, or holding us harmless, and conditions any claim payment on strict compliance with Section 4.1(B) plus either a State determination or a final court order—shifting all third-party liability and dispute risk onto the Contractor. Legal and pricing must review insurance limits, contingency reserves, and subcontractor flow-down terms, and the capture team should evaluate whether to price in the added risk or seek clarification/exception during Q&amp;A.</w:t>
      </w:r>
    </w:p>
    <w:p>
      <w:r>
        <w:rPr>
          <w:i/>
        </w:rPr>
        <w:t xml:space="preserve">Severity: </w:t>
      </w:r>
      <w:r>
        <w:rPr>
          <w:b/>
          <w:color w:val="ED6C02"/>
        </w:rPr>
        <w:t>HIGH</w:t>
      </w:r>
      <w:r>
        <w:rPr>
          <w:i/>
        </w:rPr>
        <w:t xml:space="preserve">   |   Diff record: #8303</w:t>
      </w:r>
    </w:p>
    <w:p/>
    <w:p>
      <w:pPr>
        <w:pStyle w:val="Heading3"/>
      </w:pPr>
      <w:r>
        <w:t>[ADDED] §7.1(B) — State responsibility subject to NJ Tort Claims Act and Contractual Liability 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7.1(B)</w:t>
            </w:r>
          </w:p>
        </w:tc>
        <w:tc>
          <w:tcPr>
            <w:tcW w:type="dxa" w:w="2880"/>
          </w:tcPr>
          <w:p>
            <w:r>
              <w:t>105</w:t>
            </w:r>
          </w:p>
        </w:tc>
      </w:tr>
    </w:tbl>
    <w:p/>
    <w:p>
      <w:r>
        <w:rPr>
          <w:b/>
        </w:rPr>
        <w:t xml:space="preserve">What changed: </w:t>
      </w:r>
      <w:r>
        <w:t>NEW requirement in 2026 not present in the 2021 baseline.</w:t>
      </w:r>
    </w:p>
    <w:p>
      <w:r>
        <w:rPr>
          <w:b/>
          <w:color w:val="0066A0"/>
        </w:rPr>
        <w:t xml:space="preserve">Why it matters: </w:t>
      </w:r>
      <w:r>
        <w:t>This new clause expressly limits the State's liability to acts/inactions under Section 4.1(A)(1)(i)-(iii) and conditions it on appropriation, meaning we bear residual third-party risk for all other scenarios — directly impacting our indemnification, insurance limits, and risk pricing assumptions. Legal and pricing should map our indemnity language and insurance coverage to this carve-out and confirm reserves/contingency reflect the non-covered exposure.</w:t>
      </w:r>
    </w:p>
    <w:p>
      <w:r>
        <w:rPr>
          <w:i/>
        </w:rPr>
        <w:t xml:space="preserve">Severity: </w:t>
      </w:r>
      <w:r>
        <w:rPr>
          <w:b/>
          <w:color w:val="ED6C02"/>
        </w:rPr>
        <w:t>HIGH</w:t>
      </w:r>
      <w:r>
        <w:rPr>
          <w:i/>
        </w:rPr>
        <w:t xml:space="preserve">   |   Diff record: #7755</w:t>
      </w:r>
    </w:p>
    <w:p/>
    <w:p>
      <w:pPr>
        <w:pStyle w:val="Heading3"/>
      </w:pPr>
      <w:r>
        <w:t>[ADDED] §8.2 — SSTC Section 4.1 Indemnification replaced for IT contracts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8.2</w:t>
            </w:r>
          </w:p>
        </w:tc>
        <w:tc>
          <w:tcPr>
            <w:tcW w:type="dxa" w:w="2880"/>
          </w:tcPr>
          <w:p>
            <w:r>
              <w:t>18</w:t>
            </w:r>
          </w:p>
        </w:tc>
      </w:tr>
    </w:tbl>
    <w:p/>
    <w:p>
      <w:r>
        <w:rPr>
          <w:b/>
        </w:rPr>
        <w:t xml:space="preserve">What changed: </w:t>
      </w:r>
      <w:r>
        <w:t>NEW requirement in 2026 not present in the 2021 baseline.</w:t>
      </w:r>
    </w:p>
    <w:p>
      <w:r>
        <w:rPr>
          <w:b/>
          <w:color w:val="0066A0"/>
        </w:rPr>
        <w:t xml:space="preserve">Why it matters: </w:t>
      </w:r>
      <w:r>
        <w:t>This new clause replaces the standard SSTC indemnification terms specifically for IT contracts, likely shifting liability allocation in ways that may exceed our standard risk posture and insurance coverage. Legal and Risk must review the replacement language immediately to assess caps, IP indemnity scope, and insurability before pricing and exception strategy are finalized.</w:t>
      </w:r>
    </w:p>
    <w:p>
      <w:r>
        <w:rPr>
          <w:i/>
        </w:rPr>
        <w:t xml:space="preserve">Severity: </w:t>
      </w:r>
      <w:r>
        <w:rPr>
          <w:b/>
          <w:color w:val="ED6C02"/>
        </w:rPr>
        <w:t>HIGH</w:t>
      </w:r>
      <w:r>
        <w:rPr>
          <w:i/>
        </w:rPr>
        <w:t xml:space="preserve">   |   Diff record: #8662</w:t>
      </w:r>
    </w:p>
    <w:p/>
    <w:p>
      <w:pPr>
        <w:pStyle w:val="Heading3"/>
      </w:pPr>
      <w:r>
        <w:t>[ADDED] §8.2.D.2 — Contractor controls defense; State must approve settlement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8.2.D.2</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This new clause grants us defense/settlement control but conditions any settlement on State approval, creating risk of stalled resolutions and uncapped defense costs if the State withholds consent. Legal and Risk should review against our standard IP/indemnity playbook, confirm the 'not unreasonably withheld' standard is acceptable, and price contingency for prolonged disputes.</w:t>
      </w:r>
    </w:p>
    <w:p>
      <w:r>
        <w:rPr>
          <w:i/>
        </w:rPr>
        <w:t xml:space="preserve">Severity: </w:t>
      </w:r>
      <w:r>
        <w:rPr>
          <w:b/>
          <w:color w:val="ED6C02"/>
        </w:rPr>
        <w:t>HIGH</w:t>
      </w:r>
      <w:r>
        <w:rPr>
          <w:i/>
        </w:rPr>
        <w:t xml:space="preserve">   |   Diff record: #7835</w:t>
      </w:r>
    </w:p>
    <w:p/>
    <w:p>
      <w:pPr>
        <w:pStyle w:val="Heading3"/>
      </w:pPr>
      <w:r>
        <w:t>[ADDED] §9.1.5.d — Provide post-termination assistance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9.1.5.d</w:t>
            </w:r>
          </w:p>
        </w:tc>
        <w:tc>
          <w:tcPr>
            <w:tcW w:type="dxa" w:w="2880"/>
          </w:tcPr>
          <w:p>
            <w:r>
              <w:t>23</w:t>
            </w:r>
          </w:p>
        </w:tc>
      </w:tr>
    </w:tbl>
    <w:p/>
    <w:p>
      <w:r>
        <w:rPr>
          <w:b/>
        </w:rPr>
        <w:t xml:space="preserve">What changed: </w:t>
      </w:r>
      <w:r>
        <w:t>NEW requirement in 2026 not present in the 2021 baseline.</w:t>
      </w:r>
    </w:p>
    <w:p>
      <w:r>
        <w:rPr>
          <w:b/>
          <w:color w:val="0066A0"/>
        </w:rPr>
        <w:t xml:space="preserve">Why it matters: </w:t>
      </w:r>
      <w:r>
        <w:t>This new clause obligates us to provide post-termination transition/assistance services by default unless we negotiate a specific data retrieval arrangement into the contract, creating uncapped exit-support exposure that must be priced and scoped. Action: Legal and Delivery should define the post-termination assistance scope, duration, and rates now, and Capture should propose a contractual data retrieval/exit arrangement to bound liability.</w:t>
      </w:r>
    </w:p>
    <w:p>
      <w:r>
        <w:rPr>
          <w:i/>
        </w:rPr>
        <w:t xml:space="preserve">Severity: </w:t>
      </w:r>
      <w:r>
        <w:rPr>
          <w:b/>
          <w:color w:val="ED6C02"/>
        </w:rPr>
        <w:t>HIGH</w:t>
      </w:r>
      <w:r>
        <w:rPr>
          <w:i/>
        </w:rPr>
        <w:t xml:space="preserve">   |   Diff record: #9797</w:t>
      </w:r>
    </w:p>
    <w:p/>
    <w:p>
      <w:pPr>
        <w:pStyle w:val="Heading3"/>
      </w:pPr>
      <w:r>
        <w:t>[ADDED] §Article I.4 — Apply contract to new or additional inspection stations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Article I.4</w:t>
            </w:r>
          </w:p>
        </w:tc>
        <w:tc>
          <w:tcPr>
            <w:tcW w:type="dxa" w:w="2880"/>
          </w:tcPr>
          <w:p>
            <w:r>
              <w:t>3</w:t>
            </w:r>
          </w:p>
        </w:tc>
      </w:tr>
    </w:tbl>
    <w:p/>
    <w:p>
      <w:r>
        <w:rPr>
          <w:b/>
        </w:rPr>
        <w:t xml:space="preserve">What changed: </w:t>
      </w:r>
      <w:r>
        <w:t>NEW requirement in 2026 not present in the 2021 baseline.</w:t>
      </w:r>
    </w:p>
    <w:p>
      <w:r>
        <w:rPr>
          <w:b/>
          <w:color w:val="0066A0"/>
        </w:rPr>
        <w:t xml:space="preserve">Why it matters: </w:t>
      </w:r>
      <w:r>
        <w:t>This new clause automatically extends the contract's terms (including labor, wage, and operational obligations) to any future or additional NJ inspection stations we open or control, creating uncapped scope and cost exposure beyond the stations priced today. Pricing, staffing, and risk teams must model expansion scenarios and consider negotiating a cap, notice requirement, or reopener for new sites.</w:t>
      </w:r>
    </w:p>
    <w:p>
      <w:r>
        <w:rPr>
          <w:i/>
        </w:rPr>
        <w:t xml:space="preserve">Severity: </w:t>
      </w:r>
      <w:r>
        <w:rPr>
          <w:b/>
          <w:color w:val="ED6C02"/>
        </w:rPr>
        <w:t>HIGH</w:t>
      </w:r>
      <w:r>
        <w:rPr>
          <w:i/>
        </w:rPr>
        <w:t xml:space="preserve">   |   Diff record: #9351</w:t>
      </w:r>
    </w:p>
    <w:p/>
    <w:p>
      <w:pPr>
        <w:pStyle w:val="Heading3"/>
      </w:pPr>
      <w:r>
        <w:t>[ADDED] §Attachment 1 — Attachment 1 – Combined State of NJ Standard Terms and Conditions (6/3/2025)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Attachment 1</w:t>
            </w:r>
          </w:p>
        </w:tc>
        <w:tc>
          <w:tcPr>
            <w:tcW w:type="dxa" w:w="2880"/>
          </w:tcPr>
          <w:p>
            <w:r>
              <w:t>5</w:t>
            </w:r>
          </w:p>
        </w:tc>
      </w:tr>
    </w:tbl>
    <w:p/>
    <w:p>
      <w:r>
        <w:rPr>
          <w:b/>
        </w:rPr>
        <w:t xml:space="preserve">What changed: </w:t>
      </w:r>
      <w:r>
        <w:t>NEW requirement in 2026 not present in the 2021 baseline.</w:t>
      </w:r>
    </w:p>
    <w:p>
      <w:r>
        <w:rPr>
          <w:b/>
          <w:color w:val="0066A0"/>
        </w:rPr>
        <w:t xml:space="preserve">Why it matters: </w:t>
      </w:r>
      <w:r>
        <w:t>The State of NJ has incorporated its updated 6/3/2025 Standard Terms and Conditions, which govern flow-down obligations, indemnification, insurance, and compliance baselines for the entire contract. Legal and contracts must redline the new version against our prior accepted T&amp;Cs to identify deltas, flag any unacceptable clauses for exception, and update our compliance matrix and pricing assumptions accordingly.</w:t>
      </w:r>
    </w:p>
    <w:p>
      <w:r>
        <w:rPr>
          <w:i/>
        </w:rPr>
        <w:t xml:space="preserve">Severity: </w:t>
      </w:r>
      <w:r>
        <w:rPr>
          <w:b/>
          <w:color w:val="ED6C02"/>
        </w:rPr>
        <w:t>HIGH</w:t>
      </w:r>
      <w:r>
        <w:rPr>
          <w:i/>
        </w:rPr>
        <w:t xml:space="preserve">   |   Diff record: #8119</w:t>
      </w:r>
    </w:p>
    <w:p/>
    <w:p>
      <w:pPr>
        <w:pStyle w:val="Heading3"/>
      </w:pPr>
      <w:r>
        <w:t>[ADDED] §Bid Solicitation Checklist — Submit Confidentiality and Commitment to Defend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Bid Solicitation Checklist</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requirement obligates us to sign a Confidentiality and Commitment to Defend agreement, exposing us to indemnification and legal defense duties that must be reviewed by Legal before submission. Action: route the form to Legal/Contracts immediately for risk review and authorized signature, and confirm it is included in the bid checklist response.</w:t>
      </w:r>
    </w:p>
    <w:p>
      <w:r>
        <w:rPr>
          <w:i/>
        </w:rPr>
        <w:t xml:space="preserve">Severity: </w:t>
      </w:r>
      <w:r>
        <w:rPr>
          <w:b/>
          <w:color w:val="ED6C02"/>
        </w:rPr>
        <w:t>HIGH</w:t>
      </w:r>
      <w:r>
        <w:rPr>
          <w:i/>
        </w:rPr>
        <w:t xml:space="preserve">   |   Diff record: #10964</w:t>
      </w:r>
    </w:p>
    <w:p/>
    <w:p>
      <w:pPr>
        <w:pStyle w:val="Heading3"/>
      </w:pPr>
      <w:r>
        <w:t>[ADDED] §Confidentiality and Commitment to Defend — Indemnify and hold harmless the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Confidentiality and Commitment to Defend</w:t>
            </w:r>
          </w:p>
        </w:tc>
        <w:tc>
          <w:tcPr>
            <w:tcW w:type="dxa" w:w="2880"/>
          </w:tcPr>
          <w:p>
            <w:r>
              <w:t>9</w:t>
            </w:r>
          </w:p>
        </w:tc>
      </w:tr>
    </w:tbl>
    <w:p/>
    <w:p>
      <w:r>
        <w:rPr>
          <w:b/>
        </w:rPr>
        <w:t xml:space="preserve">What changed: </w:t>
      </w:r>
      <w:r>
        <w:t>NEW requirement in 2026 not present in the 2021 baseline.</w:t>
      </w:r>
    </w:p>
    <w:p>
      <w:r>
        <w:rPr>
          <w:b/>
          <w:color w:val="0066A0"/>
        </w:rPr>
        <w:t xml:space="preserve">Why it matters: </w:t>
      </w:r>
      <w:r>
        <w:t>This new clause shifts unlimited indemnity exposure to us—including the State's attorneys' fees and judgments—whenever we mark submissions confidential, effectively penalizing any trade-secret or proprietary designations we make. Legal must review for acceptability, pricing should load contingency for defense costs, and the capture team should minimize confidentiality markings to only truly essential items (or negotiate a cap/carve-out).</w:t>
      </w:r>
    </w:p>
    <w:p>
      <w:r>
        <w:rPr>
          <w:i/>
        </w:rPr>
        <w:t xml:space="preserve">Severity: </w:t>
      </w:r>
      <w:r>
        <w:rPr>
          <w:b/>
          <w:color w:val="ED6C02"/>
        </w:rPr>
        <w:t>HIGH</w:t>
      </w:r>
      <w:r>
        <w:rPr>
          <w:i/>
        </w:rPr>
        <w:t xml:space="preserve">   |   Diff record: #8803</w:t>
      </w:r>
    </w:p>
    <w:p/>
    <w:p>
      <w:pPr>
        <w:pStyle w:val="Heading3"/>
      </w:pPr>
      <w:r>
        <w:t>[ADDED] §Confidentiality and Commitment to Defend — Defend and cooperate in defense of non-disclosure 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Confidentiality and Commitment to Defend</w:t>
            </w:r>
          </w:p>
        </w:tc>
        <w:tc>
          <w:tcPr>
            <w:tcW w:type="dxa" w:w="2880"/>
          </w:tcPr>
          <w:p>
            <w:r>
              <w:t>9</w:t>
            </w:r>
          </w:p>
        </w:tc>
      </w:tr>
    </w:tbl>
    <w:p/>
    <w:p>
      <w:r>
        <w:rPr>
          <w:b/>
        </w:rPr>
        <w:t xml:space="preserve">What changed: </w:t>
      </w:r>
      <w:r>
        <w:t>NEW requirement in 2026 not present in the 2021 baseline.</w:t>
      </w:r>
    </w:p>
    <w:p>
      <w:r>
        <w:rPr>
          <w:b/>
          <w:color w:val="0066A0"/>
        </w:rPr>
        <w:t xml:space="preserve">Why it matters: </w:t>
      </w:r>
      <w:r>
        <w:t>This new clause obligates us to defend and cover the State's defense in any non-disclosure litigation triggered by our confidentiality requests, creating an open-ended indemnification exposure that Legal and Risk must price and approve. Action: route to Legal/Insurance for review, minimize what we mark confidential in our proposal, and confirm carrier coverage before submission.</w:t>
      </w:r>
    </w:p>
    <w:p>
      <w:r>
        <w:rPr>
          <w:i/>
        </w:rPr>
        <w:t xml:space="preserve">Severity: </w:t>
      </w:r>
      <w:r>
        <w:rPr>
          <w:b/>
          <w:color w:val="ED6C02"/>
        </w:rPr>
        <w:t>HIGH</w:t>
      </w:r>
      <w:r>
        <w:rPr>
          <w:i/>
        </w:rPr>
        <w:t xml:space="preserve">   |   Diff record: #9265</w:t>
      </w:r>
    </w:p>
    <w:p/>
    <w:p>
      <w:pPr>
        <w:pStyle w:val="Heading3"/>
      </w:pPr>
      <w:r>
        <w:t>[ADDED] §Section 1 (C.39:8-44 e.) — Dispute resolution procedures for unresolved contract disputes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1 (C.39:8-44 e.)</w:t>
            </w:r>
          </w:p>
        </w:tc>
        <w:tc>
          <w:tcPr>
            <w:tcW w:type="dxa" w:w="2880"/>
          </w:tcPr>
          <w:p>
            <w:r>
              <w:t>5</w:t>
            </w:r>
          </w:p>
        </w:tc>
      </w:tr>
    </w:tbl>
    <w:p/>
    <w:p>
      <w:r>
        <w:rPr>
          <w:b/>
        </w:rPr>
        <w:t xml:space="preserve">What changed: </w:t>
      </w:r>
      <w:r>
        <w:t>NEW requirement in 2026 not present in the 2021 baseline.</w:t>
      </w:r>
    </w:p>
    <w:p>
      <w:r>
        <w:rPr>
          <w:b/>
          <w:color w:val="0066A0"/>
        </w:rPr>
        <w:t xml:space="preserve">Why it matters: </w:t>
      </w:r>
      <w:r>
        <w:t>This new clause exposes us to Superior Court litigation risk—including potential court-ordered contract termination—if disputes with the State Treasurer cannot be resolved informally, materially shifting the dispute resolution forum away from internal/administrative channels. Legal and risk teams must review indemnification, termination liability, and bonding assumptions, and pricing should reflect the added litigation exposure before submission.</w:t>
      </w:r>
    </w:p>
    <w:p>
      <w:r>
        <w:rPr>
          <w:i/>
        </w:rPr>
        <w:t xml:space="preserve">Severity: </w:t>
      </w:r>
      <w:r>
        <w:rPr>
          <w:b/>
          <w:color w:val="ED6C02"/>
        </w:rPr>
        <w:t>HIGH</w:t>
      </w:r>
      <w:r>
        <w:rPr>
          <w:i/>
        </w:rPr>
        <w:t xml:space="preserve">   |   Diff record: #10251</w:t>
      </w:r>
    </w:p>
    <w:p/>
    <w:p>
      <w:pPr>
        <w:pStyle w:val="Heading3"/>
      </w:pPr>
      <w:r>
        <w:t>[ADDED] §Section 1 (C.39:8-44 g.) — Vendor status; inspection employees remain employees of vendor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1 (C.39:8-44 g.)</w:t>
            </w:r>
          </w:p>
        </w:tc>
        <w:tc>
          <w:tcPr>
            <w:tcW w:type="dxa" w:w="2880"/>
          </w:tcPr>
          <w:p>
            <w:r>
              <w:t>6</w:t>
            </w:r>
          </w:p>
        </w:tc>
      </w:tr>
    </w:tbl>
    <w:p/>
    <w:p>
      <w:r>
        <w:rPr>
          <w:b/>
        </w:rPr>
        <w:t xml:space="preserve">What changed: </w:t>
      </w:r>
      <w:r>
        <w:t>NEW requirement in 2026 not present in the 2021 baseline.</w:t>
      </w:r>
    </w:p>
    <w:p>
      <w:r>
        <w:rPr>
          <w:b/>
          <w:color w:val="0066A0"/>
        </w:rPr>
        <w:t xml:space="preserve">Why it matters: </w:t>
      </w:r>
      <w:r>
        <w:t>This new clause explicitly classifies us as an independent contractor and confirms inspection staff are our employees—not the commission's—shifting full responsibility for wages, benefits, taxes, workers' comp, and HR liability onto us. Legal and HR should validate our employment model, insurance coverage, and indemnification language, and pricing must confirm all employer-related costs are loaded into our rates.</w:t>
      </w:r>
    </w:p>
    <w:p>
      <w:r>
        <w:rPr>
          <w:i/>
        </w:rPr>
        <w:t xml:space="preserve">Severity: </w:t>
      </w:r>
      <w:r>
        <w:rPr>
          <w:b/>
          <w:color w:val="ED6C02"/>
        </w:rPr>
        <w:t>HIGH</w:t>
      </w:r>
      <w:r>
        <w:rPr>
          <w:i/>
        </w:rPr>
        <w:t xml:space="preserve">   |   Diff record: #8622</w:t>
      </w:r>
    </w:p>
    <w:p/>
    <w:p>
      <w:pPr>
        <w:pStyle w:val="Heading3"/>
      </w:pPr>
      <w:r>
        <w:t>[ADDED] §Section 7 — Review Modifications to SSTC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Section 7</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section signals state-specific modifications to the standard NJ terms and conditions that could alter liability, indemnification, or payment provisions materially affecting our risk posture and pricing. Legal and contracts must redline Section 7 immediately, flag any unacceptable deviations for clarification or exception, and align proposal pricing/assumptions with the modified terms.</w:t>
      </w:r>
    </w:p>
    <w:p>
      <w:r>
        <w:rPr>
          <w:i/>
        </w:rPr>
        <w:t xml:space="preserve">Severity: </w:t>
      </w:r>
      <w:r>
        <w:rPr>
          <w:b/>
          <w:color w:val="ED6C02"/>
        </w:rPr>
        <w:t>HIGH</w:t>
      </w:r>
      <w:r>
        <w:rPr>
          <w:i/>
        </w:rPr>
        <w:t xml:space="preserve">   |   Diff record: #8155</w:t>
      </w:r>
    </w:p>
    <w:p/>
    <w:p>
      <w:pPr>
        <w:pStyle w:val="Heading3"/>
      </w:pPr>
      <w:r>
        <w:t>[ADDED] §XII.1 — No Strike, Picket, Slow-Down or Work Stoppage by Employees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XII.1</w:t>
            </w:r>
          </w:p>
        </w:tc>
        <w:tc>
          <w:tcPr>
            <w:tcW w:type="dxa" w:w="2880"/>
          </w:tcPr>
          <w:p>
            <w:r>
              <w:t>19</w:t>
            </w:r>
          </w:p>
        </w:tc>
      </w:tr>
    </w:tbl>
    <w:p/>
    <w:p>
      <w:r>
        <w:rPr>
          <w:b/>
        </w:rPr>
        <w:t xml:space="preserve">What changed: </w:t>
      </w:r>
      <w:r>
        <w:t>NEW requirement in 2026 not present in the 2021 baseline.</w:t>
      </w:r>
    </w:p>
    <w:p>
      <w:r>
        <w:rPr>
          <w:b/>
          <w:color w:val="0066A0"/>
        </w:rPr>
        <w:t xml:space="preserve">Why it matters: </w:t>
      </w:r>
      <w:r>
        <w:t>This new no-strike clause shifts labor-disruption risk to us by contractually barring employee work stoppages for the agreement's duration, which conflicts with standard CBA language and could expose us to breach claims if represented employees engage in protected activity. Labor counsel and HR should review enforceability against existing CBAs and NLRA protections, and pricing should account for added compliance and indemnification risk.</w:t>
      </w:r>
    </w:p>
    <w:p>
      <w:r>
        <w:rPr>
          <w:i/>
        </w:rPr>
        <w:t xml:space="preserve">Severity: </w:t>
      </w:r>
      <w:r>
        <w:rPr>
          <w:b/>
          <w:color w:val="ED6C02"/>
        </w:rPr>
        <w:t>HIGH</w:t>
      </w:r>
      <w:r>
        <w:rPr>
          <w:i/>
        </w:rPr>
        <w:t xml:space="preserve">   |   Diff record: #10940</w:t>
      </w:r>
    </w:p>
    <w:p/>
    <w:p>
      <w:pPr>
        <w:pStyle w:val="Heading3"/>
      </w:pPr>
      <w:r>
        <w:t>[ADDED] §XIV.3 — Arbitrator Award Final, Conclusive, and Binding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XIV.3</w:t>
            </w:r>
          </w:p>
        </w:tc>
        <w:tc>
          <w:tcPr>
            <w:tcW w:type="dxa" w:w="2880"/>
          </w:tcPr>
          <w:p>
            <w:r>
              <w:t>21</w:t>
            </w:r>
          </w:p>
        </w:tc>
      </w:tr>
    </w:tbl>
    <w:p/>
    <w:p>
      <w:r>
        <w:rPr>
          <w:b/>
        </w:rPr>
        <w:t xml:space="preserve">What changed: </w:t>
      </w:r>
      <w:r>
        <w:t>NEW requirement in 2026 not present in the 2021 baseline.</w:t>
      </w:r>
    </w:p>
    <w:p>
      <w:r>
        <w:rPr>
          <w:b/>
          <w:color w:val="0066A0"/>
        </w:rPr>
        <w:t xml:space="preserve">Why it matters: </w:t>
      </w:r>
      <w:r>
        <w:t>This new clause makes arbitrator awards final and binding with no apparent appeal mechanism, eliminating our ability to challenge adverse labor rulings and creating uncapped financial and operational exposure on disputes. Legal and Labor Relations should review for carve-outs (e.g., fraud, jurisdictional limits, scope-of-authority bounds), and Pricing should add a contingency for arbitration risk.</w:t>
      </w:r>
    </w:p>
    <w:p>
      <w:r>
        <w:rPr>
          <w:i/>
        </w:rPr>
        <w:t xml:space="preserve">Severity: </w:t>
      </w:r>
      <w:r>
        <w:rPr>
          <w:b/>
          <w:color w:val="ED6C02"/>
        </w:rPr>
        <w:t>HIGH</w:t>
      </w:r>
      <w:r>
        <w:rPr>
          <w:i/>
        </w:rPr>
        <w:t xml:space="preserve">   |   Diff record: #9425</w:t>
      </w:r>
    </w:p>
    <w:p/>
    <w:p>
      <w:r>
        <w:br w:type="page"/>
      </w:r>
    </w:p>
    <w:p>
      <w:pPr>
        <w:pStyle w:val="Heading1"/>
      </w:pPr>
      <w:r>
        <w:t>Capital Repairs Scope</w:t>
      </w:r>
    </w:p>
    <w:p>
      <w:r>
        <w:rPr>
          <w:i/>
        </w:rPr>
        <w:t>12 material changes in this theme.</w:t>
      </w:r>
    </w:p>
    <w:p>
      <w:pPr>
        <w:pStyle w:val="Heading3"/>
      </w:pPr>
      <w:r>
        <w:t>[CHANGED] §4.16.3.B — Provide Interactive Capital Request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w:t>
            </w:r>
          </w:p>
        </w:tc>
        <w:tc>
          <w:tcPr>
            <w:tcW w:type="dxa" w:w="2880"/>
          </w:tcPr>
          <w:p>
            <w:r>
              <w:t>1</w:t>
            </w:r>
          </w:p>
        </w:tc>
      </w:tr>
      <w:tr>
        <w:tc>
          <w:tcPr>
            <w:tcW w:type="dxa" w:w="2880"/>
          </w:tcPr>
          <w:p>
            <w:r>
              <w:rPr>
                <w:b/>
              </w:rPr>
              <w:t>2026 RFP</w:t>
            </w:r>
          </w:p>
        </w:tc>
        <w:tc>
          <w:tcPr>
            <w:tcW w:type="dxa" w:w="2880"/>
          </w:tcPr>
          <w:p>
            <w:r>
              <w:t>4.16.3.B</w:t>
            </w:r>
          </w:p>
        </w:tc>
        <w:tc>
          <w:tcPr>
            <w:tcW w:type="dxa" w:w="2880"/>
          </w:tcPr>
          <w:p>
            <w:r>
              <w:t>47</w:t>
            </w:r>
          </w:p>
        </w:tc>
      </w:tr>
    </w:tbl>
    <w:p/>
    <w:p>
      <w:r>
        <w:rPr>
          <w:b/>
        </w:rPr>
        <w:t xml:space="preserve">What changed: </w:t>
      </w:r>
      <w:r>
        <w:t>Removed the requirement that the database also monitor, manage, and report all funding and capital work transactions, narrowing scope to recording and tracking approval of requests.</w:t>
      </w:r>
    </w:p>
    <w:p>
      <w:r>
        <w:rPr>
          <w:b/>
          <w:color w:val="0066A0"/>
        </w:rPr>
        <w:t xml:space="preserve">Why it matters: </w:t>
      </w:r>
      <w:r>
        <w:t>The database scope has been narrowed to recording and tracking approval of capital requests, dropping the prior obligation to also monitor, manage, and report funding and capital work transactions. This reduces our build/configuration effort, integration points with financial systems, and ongoing data management staffing — which should lower our price and simplify compliance. Action: revise the technical solution and pricing to descope the financial transaction tracking module, and confirm with capture whether that functionality has migrated to another section we still must address.</w:t>
      </w:r>
    </w:p>
    <w:p>
      <w:r>
        <w:rPr>
          <w:i/>
        </w:rPr>
        <w:t xml:space="preserve">Severity: </w:t>
      </w:r>
      <w:r>
        <w:rPr>
          <w:b/>
          <w:color w:val="ED6C02"/>
        </w:rPr>
        <w:t>HIGH</w:t>
      </w:r>
      <w:r>
        <w:rPr>
          <w:i/>
        </w:rPr>
        <w:t xml:space="preserve">   |   Diff record: #5781</w:t>
      </w:r>
    </w:p>
    <w:p/>
    <w:p>
      <w:pPr>
        <w:pStyle w:val="Heading3"/>
      </w:pPr>
      <w:r>
        <w:t>[REMOVED] §3.2 — Bear All Capital Maintenance Costs at CIFs/SIFs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a high-dollar capital maintenance obligation that is unusual to drop entirely — it's more likely relocated to a facilities, O&amp;M, or transition section under different phrasing (e.g., 'capital improvements,' 'facility upkeep') and missed by the matcher. Action: have the facilities/cost lead grep the new RFP for CIF/SIF, capital, renovation, and repair terms to confirm true removal before updating the compliance matrix and re-pricing the bid (removal materially lowers our cost basis).</w:t>
      </w:r>
    </w:p>
    <w:p>
      <w:r>
        <w:rPr>
          <w:i/>
        </w:rPr>
        <w:t xml:space="preserve">Severity: </w:t>
      </w:r>
      <w:r>
        <w:rPr>
          <w:b/>
          <w:color w:val="ED6C02"/>
        </w:rPr>
        <w:t>HIGH</w:t>
      </w:r>
      <w:r>
        <w:rPr>
          <w:i/>
        </w:rPr>
        <w:t xml:space="preserve">   |   Diff record: #6558</w:t>
      </w:r>
    </w:p>
    <w:p/>
    <w:p>
      <w:pPr>
        <w:pStyle w:val="Heading3"/>
      </w:pPr>
      <w:r>
        <w:t>[REMOVED] §3.2 CIF Capital Project Plan — Fund All Capital Expenditures for Term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 CIF Capital Project Plan</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a high-dollar capital funding obligation (vendor self-funds all CapEx for the term starting 90 days post-effective) — given its specificity, it's more likely relocated/renamed under a CIF financing, capital plan, or pricing/payment section than truly deleted. Action: manually search the new RFP for 'capital,' 'fund,' 'CIF,' and term-financing language to confirm; if absent, flag to pricing/finance as a material risk shift (potential move to owner-funded model) and update the compliance matrix accordingly.</w:t>
      </w:r>
    </w:p>
    <w:p>
      <w:r>
        <w:rPr>
          <w:i/>
        </w:rPr>
        <w:t xml:space="preserve">Severity: </w:t>
      </w:r>
      <w:r>
        <w:rPr>
          <w:b/>
          <w:color w:val="ED6C02"/>
        </w:rPr>
        <w:t>HIGH</w:t>
      </w:r>
      <w:r>
        <w:rPr>
          <w:i/>
        </w:rPr>
        <w:t xml:space="preserve">   |   Diff record: #6568</w:t>
      </w:r>
    </w:p>
    <w:p/>
    <w:p>
      <w:pPr>
        <w:pStyle w:val="Heading3"/>
      </w:pPr>
      <w:r>
        <w:t>[REMOVED] §3.21.3 — Establish Baseline of Each Facility's 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3.21.3</w:t>
            </w:r>
          </w:p>
        </w:tc>
        <w:tc>
          <w:tcPr>
            <w:tcW w:type="dxa" w:w="2880"/>
          </w:tcPr>
          <w:p>
            <w:r>
              <w:t>—</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baseline condition report obligation is foundational to scoping Capital Maintenance and Repairs, so a true removal would materially shift risk allocation back to the Government—more likely it has been relocated/renamed under a facility condition assessment, transition, or capital planning clause that the matcher missed. Action: have the compliance lead search the new RFP for 'baseline,' 'condition assessment,' and 'capital maintenance' references, confirm disposition, and update the compliance matrix accordingly before pricing assumptions are locked.</w:t>
      </w:r>
    </w:p>
    <w:p>
      <w:r>
        <w:rPr>
          <w:i/>
        </w:rPr>
        <w:t xml:space="preserve">Severity: </w:t>
      </w:r>
      <w:r>
        <w:rPr>
          <w:b/>
          <w:color w:val="ED6C02"/>
        </w:rPr>
        <w:t>HIGH</w:t>
      </w:r>
      <w:r>
        <w:rPr>
          <w:i/>
        </w:rPr>
        <w:t xml:space="preserve">   |   Diff record: #7584</w:t>
      </w:r>
    </w:p>
    <w:p/>
    <w:p>
      <w:pPr>
        <w:pStyle w:val="Heading3"/>
      </w:pPr>
      <w:r>
        <w:t>[REMOVED] §3.21.3 — Complete Outstanding Capital Repairs at CIFs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3.21.3</w:t>
            </w:r>
          </w:p>
        </w:tc>
        <w:tc>
          <w:tcPr>
            <w:tcW w:type="dxa" w:w="2880"/>
          </w:tcPr>
          <w:p>
            <w:r>
              <w:t>—</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Q&amp;A-style clause obligating the Contractor to fund outstanding CIF capital repairs under the Blanket P.O. is likely a true removal or has been restructured into the new scope/financial responsibility sections, as such a material cost obligation would typically be matched if simply renamed. The team should verify with the CO whether capital repair funding has shifted to the Government, search the new RFP for 'capital repairs'/'CIF' language, and update the compliance matrix and cost model accordingly—this materially affects pricing assumptions.</w:t>
      </w:r>
    </w:p>
    <w:p>
      <w:r>
        <w:rPr>
          <w:i/>
        </w:rPr>
        <w:t xml:space="preserve">Severity: </w:t>
      </w:r>
      <w:r>
        <w:rPr>
          <w:b/>
          <w:color w:val="ED6C02"/>
        </w:rPr>
        <w:t>HIGH</w:t>
      </w:r>
      <w:r>
        <w:rPr>
          <w:i/>
        </w:rPr>
        <w:t xml:space="preserve">   |   Diff record: #7598</w:t>
      </w:r>
    </w:p>
    <w:p/>
    <w:p>
      <w:pPr>
        <w:pStyle w:val="Heading3"/>
      </w:pPr>
      <w:r>
        <w:t>[REMOVED] §Appendix 3.2H — Use Actual Capital Repair Costs from Revised Appendix 3.2H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Appendix 3.2H</w:t>
            </w:r>
          </w:p>
        </w:tc>
        <w:tc>
          <w:tcPr>
            <w:tcW w:type="dxa" w:w="2880"/>
          </w:tcPr>
          <w:p>
            <w:r>
              <w:t>—</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directs bidders to use the 12-year actual capital repair costs in Revised Appendix 3.2H for their estimates—a pricing-basis instruction that's unusual to drop outright, so it's likely relocated into the new pricing/cost section or a refreshed appendix our matcher missed. Action: search the new RFP for any Appendix 3.2H or capital repair cost exhibit and confirm whether the bidder cost-basis obligation persists; if truly removed, update the compliance matrix and flag to pricing since our cost model assumed those historicals.</w:t>
      </w:r>
    </w:p>
    <w:p>
      <w:r>
        <w:rPr>
          <w:i/>
        </w:rPr>
        <w:t xml:space="preserve">Severity: </w:t>
      </w:r>
      <w:r>
        <w:rPr>
          <w:b/>
          <w:color w:val="ED6C02"/>
        </w:rPr>
        <w:t>HIGH</w:t>
      </w:r>
      <w:r>
        <w:rPr>
          <w:i/>
        </w:rPr>
        <w:t xml:space="preserve">   |   Diff record: #7650</w:t>
      </w:r>
    </w:p>
    <w:p/>
    <w:p>
      <w:pPr>
        <w:pStyle w:val="Heading3"/>
      </w:pPr>
      <w:r>
        <w:t>[REMOVED] §Q&amp;A #18 — Do Not Assume State Reimbursement Above $25,000 SIF Cap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Q&amp;A #18</w:t>
            </w:r>
          </w:p>
        </w:tc>
        <w:tc>
          <w:tcPr>
            <w:tcW w:type="dxa" w:w="2880"/>
          </w:tcPr>
          <w:p>
            <w:r>
              <w:t>—</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likely a true removal of a Q&amp;A clarification rather than a relocated requirement, since Q&amp;A items are tied to a specific solicitation cycle and rarely carry forward verbatim; however, the underlying $25,000 SIF cap policy may still exist in the new RFP's cost/reimbursement sections. Action: search the new doc for 'SIF', '$25,000', and capital repair reimbursement language to confirm the cap still applies, then update the compliance matrix and pricing assumptions accordingly.</w:t>
      </w:r>
    </w:p>
    <w:p>
      <w:r>
        <w:rPr>
          <w:i/>
        </w:rPr>
        <w:t xml:space="preserve">Severity: </w:t>
      </w:r>
      <w:r>
        <w:rPr>
          <w:b/>
          <w:color w:val="ED6C02"/>
        </w:rPr>
        <w:t>HIGH</w:t>
      </w:r>
      <w:r>
        <w:rPr>
          <w:i/>
        </w:rPr>
        <w:t xml:space="preserve">   |   Diff record: #7655</w:t>
      </w:r>
    </w:p>
    <w:p/>
    <w:p>
      <w:pPr>
        <w:pStyle w:val="Heading3"/>
      </w:pPr>
      <w:r>
        <w:t>[ADDED] §3.19 — Submit CIF Capital Project Plan by Start + 90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3.19</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A new deliverable requires submission of a CIF Capital Project Plan within 90 days of contract start, creating an early post-award milestone that must be staffed and scoped now to avoid slipping. Capture should add this to the deliverables matrix, identify the plan owner, and confirm our transition/mobilization narrative explicitly commits to the Start+90d submission per Section 4.16.3.</w:t>
      </w:r>
    </w:p>
    <w:p>
      <w:r>
        <w:rPr>
          <w:i/>
        </w:rPr>
        <w:t xml:space="preserve">Severity: </w:t>
      </w:r>
      <w:r>
        <w:rPr>
          <w:b/>
          <w:color w:val="ED6C02"/>
        </w:rPr>
        <w:t>HIGH</w:t>
      </w:r>
      <w:r>
        <w:rPr>
          <w:i/>
        </w:rPr>
        <w:t xml:space="preserve">   |   Diff record: #7772</w:t>
      </w:r>
    </w:p>
    <w:p/>
    <w:p>
      <w:pPr>
        <w:pStyle w:val="Heading3"/>
      </w:pPr>
      <w:r>
        <w:t>[ADDED] §3.19 — Deliver CIF Capital Project Plan by Start + 90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3.19</w:t>
            </w:r>
          </w:p>
        </w:tc>
        <w:tc>
          <w:tcPr>
            <w:tcW w:type="dxa" w:w="2880"/>
          </w:tcPr>
          <w:p>
            <w:r>
              <w:t>20</w:t>
            </w:r>
          </w:p>
        </w:tc>
      </w:tr>
    </w:tbl>
    <w:p/>
    <w:p>
      <w:r>
        <w:rPr>
          <w:b/>
        </w:rPr>
        <w:t xml:space="preserve">What changed: </w:t>
      </w:r>
      <w:r>
        <w:t>NEW requirement in 2026 not present in the 2021 baseline.</w:t>
      </w:r>
    </w:p>
    <w:p>
      <w:r>
        <w:rPr>
          <w:b/>
          <w:color w:val="0066A0"/>
        </w:rPr>
        <w:t xml:space="preserve">Why it matters: </w:t>
      </w:r>
      <w:r>
        <w:t>A new CIF Capital Project Plan deliverable due within 90 days of contract start creates an early, hard milestone that must be staffed and resourced from day one. Capture should assign an owner, draft a 90-day mobilization plan, and price the planning effort into the bid to avoid an early default.</w:t>
      </w:r>
    </w:p>
    <w:p>
      <w:r>
        <w:rPr>
          <w:i/>
        </w:rPr>
        <w:t xml:space="preserve">Severity: </w:t>
      </w:r>
      <w:r>
        <w:rPr>
          <w:b/>
          <w:color w:val="ED6C02"/>
        </w:rPr>
        <w:t>HIGH</w:t>
      </w:r>
      <w:r>
        <w:rPr>
          <w:i/>
        </w:rPr>
        <w:t xml:space="preserve">   |   Diff record: #7808</w:t>
      </w:r>
    </w:p>
    <w:p/>
    <w:p>
      <w:pPr>
        <w:pStyle w:val="Heading3"/>
      </w:pPr>
      <w:r>
        <w:t>[ADDED] §4.16.3.A — Submit Facility Condition Report Within 75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4.16.3.A</w:t>
            </w:r>
          </w:p>
        </w:tc>
        <w:tc>
          <w:tcPr>
            <w:tcW w:type="dxa" w:w="2880"/>
          </w:tcPr>
          <w:p>
            <w:r>
              <w:t>46</w:t>
            </w:r>
          </w:p>
        </w:tc>
      </w:tr>
    </w:tbl>
    <w:p/>
    <w:p>
      <w:r>
        <w:rPr>
          <w:b/>
        </w:rPr>
        <w:t xml:space="preserve">What changed: </w:t>
      </w:r>
      <w:r>
        <w:t>NEW requirement in 2026 not present in the 2021 baseline.</w:t>
      </w:r>
    </w:p>
    <w:p>
      <w:r>
        <w:rPr>
          <w:b/>
          <w:color w:val="0066A0"/>
        </w:rPr>
        <w:t xml:space="preserve">Why it matters: </w:t>
      </w:r>
      <w:r>
        <w:t>This new 75-day deliverable creates an early post-award obligation requiring a full facility condition assessment tied to the CIF Capital Project Plan, exposing us to schedule and resource risk if not pre-planned. The team should price a mobilization-phase assessment effort, identify qualified inspectors, and build a draft report template and timeline into our transition plan.</w:t>
      </w:r>
    </w:p>
    <w:p>
      <w:r>
        <w:rPr>
          <w:i/>
        </w:rPr>
        <w:t xml:space="preserve">Severity: </w:t>
      </w:r>
      <w:r>
        <w:rPr>
          <w:b/>
          <w:color w:val="ED6C02"/>
        </w:rPr>
        <w:t>HIGH</w:t>
      </w:r>
      <w:r>
        <w:rPr>
          <w:i/>
        </w:rPr>
        <w:t xml:space="preserve">   |   Diff record: #8356</w:t>
      </w:r>
    </w:p>
    <w:p/>
    <w:p>
      <w:pPr>
        <w:pStyle w:val="Heading3"/>
      </w:pPr>
      <w:r>
        <w:t>[ADDED] §4.16.3.A — Provide Competitive Quotes and Secure SCM Approval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4.16.3.A</w:t>
            </w:r>
          </w:p>
        </w:tc>
        <w:tc>
          <w:tcPr>
            <w:tcW w:type="dxa" w:w="2880"/>
          </w:tcPr>
          <w:p>
            <w:r>
              <w:t>46</w:t>
            </w:r>
          </w:p>
        </w:tc>
      </w:tr>
    </w:tbl>
    <w:p/>
    <w:p>
      <w:r>
        <w:rPr>
          <w:b/>
        </w:rPr>
        <w:t xml:space="preserve">What changed: </w:t>
      </w:r>
      <w:r>
        <w:t>NEW requirement in 2026 not present in the 2021 baseline.</w:t>
      </w:r>
    </w:p>
    <w:p>
      <w:r>
        <w:rPr>
          <w:b/>
          <w:color w:val="0066A0"/>
        </w:rPr>
        <w:t xml:space="preserve">Why it matters: </w:t>
      </w:r>
      <w:r>
        <w:t>This new requirement imposes a hard procurement gate—competitive quotes per the CIF Capital Project Plan sub-section D plus written SCM approval—before any capital maintenance, repair, or renovation work can start at CIF/SIF facilities, creating schedule risk and added administrative overhead. The team should build a quote/SCM-approval workflow into our project controls, staff a procurement coordinator, and price in cycle time so no field work begins without documented State sign-off.</w:t>
      </w:r>
    </w:p>
    <w:p>
      <w:r>
        <w:rPr>
          <w:i/>
        </w:rPr>
        <w:t xml:space="preserve">Severity: </w:t>
      </w:r>
      <w:r>
        <w:rPr>
          <w:b/>
          <w:color w:val="ED6C02"/>
        </w:rPr>
        <w:t>HIGH</w:t>
      </w:r>
      <w:r>
        <w:rPr>
          <w:i/>
        </w:rPr>
        <w:t xml:space="preserve">   |   Diff record: #8392</w:t>
      </w:r>
    </w:p>
    <w:p/>
    <w:p>
      <w:pPr>
        <w:pStyle w:val="Heading3"/>
      </w:pPr>
      <w:r>
        <w:t>[ADDED] §4.16.3.D — Submit CIF Capital Project Plan Within 90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4.16.3.D</w:t>
            </w:r>
          </w:p>
        </w:tc>
        <w:tc>
          <w:tcPr>
            <w:tcW w:type="dxa" w:w="2880"/>
          </w:tcPr>
          <w:p>
            <w:r>
              <w:t>47</w:t>
            </w:r>
          </w:p>
        </w:tc>
      </w:tr>
    </w:tbl>
    <w:p/>
    <w:p>
      <w:r>
        <w:rPr>
          <w:b/>
        </w:rPr>
        <w:t xml:space="preserve">What changed: </w:t>
      </w:r>
      <w:r>
        <w:t>NEW requirement in 2026 not present in the 2021 baseline.</w:t>
      </w:r>
    </w:p>
    <w:p>
      <w:r>
        <w:rPr>
          <w:b/>
          <w:color w:val="0066A0"/>
        </w:rPr>
        <w:t xml:space="preserve">Why it matters: </w:t>
      </w:r>
      <w:r>
        <w:t>This new 90-day deadline for the CIF Capital Project Plan creates a hard post-award milestone requiring SCM written approval, exposing us to schedule and acceptance risk if planning isn't pre-staged. Capture and PMO should draft a CIF Capital Project Plan outline now and bake the 90-day deliverable into our transition schedule, staffing plan, and price.</w:t>
      </w:r>
    </w:p>
    <w:p>
      <w:r>
        <w:rPr>
          <w:i/>
        </w:rPr>
        <w:t xml:space="preserve">Severity: </w:t>
      </w:r>
      <w:r>
        <w:rPr>
          <w:b/>
          <w:color w:val="ED6C02"/>
        </w:rPr>
        <w:t>HIGH</w:t>
      </w:r>
      <w:r>
        <w:rPr>
          <w:i/>
        </w:rPr>
        <w:t xml:space="preserve">   |   Diff record: #8066</w:t>
      </w:r>
    </w:p>
    <w:p/>
    <w:p>
      <w:r>
        <w:br w:type="page"/>
      </w:r>
    </w:p>
    <w:p>
      <w:pPr>
        <w:pStyle w:val="Heading1"/>
      </w:pPr>
      <w:r>
        <w:t>Technology / Hardware Refresh</w:t>
      </w:r>
    </w:p>
    <w:p>
      <w:r>
        <w:rPr>
          <w:i/>
        </w:rPr>
        <w:t>5 material changes in this theme.</w:t>
      </w:r>
    </w:p>
    <w:p>
      <w:pPr>
        <w:pStyle w:val="Heading3"/>
      </w:pPr>
      <w:r>
        <w:t>[REMOVED] §Appendix 3.2D — Remove and replace current data entry terminals (workstations)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Appendix 3.2D</w:t>
            </w:r>
          </w:p>
        </w:tc>
        <w:tc>
          <w:tcPr>
            <w:tcW w:type="dxa" w:w="2880"/>
          </w:tcPr>
          <w:p>
            <w:r>
              <w:t>—</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appears to be a likely relocation/rename rather than a true removal—hardware refresh obligations of this scope rarely vanish silently and may now be folded into a broader infrastructure modernization or workstation lifecycle clause under a different appendix. Action: have the technical lead grep the new RFP for workstation/terminal/end-user device language to confirm, and only update the compliance matrix to 'removed' after written verification; otherwise map it to the new section.</w:t>
      </w:r>
    </w:p>
    <w:p>
      <w:r>
        <w:rPr>
          <w:i/>
        </w:rPr>
        <w:t xml:space="preserve">Severity: </w:t>
      </w:r>
      <w:r>
        <w:rPr>
          <w:b/>
          <w:color w:val="ED6C02"/>
        </w:rPr>
        <w:t>HIGH</w:t>
      </w:r>
      <w:r>
        <w:rPr>
          <w:i/>
        </w:rPr>
        <w:t xml:space="preserve">   |   Diff record: #7625</w:t>
      </w:r>
    </w:p>
    <w:p/>
    <w:p>
      <w:pPr>
        <w:pStyle w:val="Heading3"/>
      </w:pPr>
      <w:r>
        <w:t>[ADDED] §4.20.2 — Ensure CIF NGWorkstations never end-of-life or unsupported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4.20.2</w:t>
            </w:r>
          </w:p>
        </w:tc>
        <w:tc>
          <w:tcPr>
            <w:tcW w:type="dxa" w:w="2880"/>
          </w:tcPr>
          <w:p>
            <w:r>
              <w:t>53</w:t>
            </w:r>
          </w:p>
        </w:tc>
      </w:tr>
    </w:tbl>
    <w:p/>
    <w:p>
      <w:r>
        <w:rPr>
          <w:b/>
        </w:rPr>
        <w:t xml:space="preserve">What changed: </w:t>
      </w:r>
      <w:r>
        <w:t>NEW requirement in 2026 not present in the 2021 baseline.</w:t>
      </w:r>
    </w:p>
    <w:p>
      <w:r>
        <w:rPr>
          <w:b/>
          <w:color w:val="0066A0"/>
        </w:rPr>
        <w:t xml:space="preserve">Why it matters: </w:t>
      </w:r>
      <w:r>
        <w:t>This new requirement effectively mandates a perpetual technology refresh program—we cannot deploy any workstation or component that the OEM has EOL'd or stopped supporting, which carries significant lifecycle cost and supply-chain risk. The team must build an OEM roadmap monitoring process and a funded refresh/replacement plan into our solution and pricing, and confirm component-level support commitments with our hardware partners.</w:t>
      </w:r>
    </w:p>
    <w:p>
      <w:r>
        <w:rPr>
          <w:i/>
        </w:rPr>
        <w:t xml:space="preserve">Severity: </w:t>
      </w:r>
      <w:r>
        <w:rPr>
          <w:b/>
          <w:color w:val="ED6C02"/>
        </w:rPr>
        <w:t>HIGH</w:t>
      </w:r>
      <w:r>
        <w:rPr>
          <w:i/>
        </w:rPr>
        <w:t xml:space="preserve">   |   Diff record: #10807</w:t>
      </w:r>
    </w:p>
    <w:p/>
    <w:p>
      <w:pPr>
        <w:pStyle w:val="Heading3"/>
      </w:pPr>
      <w:r>
        <w:t>[ADDED] §4.20.3 — Refresh/replace SIF NGWorkstations at intervals of no more than 3 years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4.20.3</w:t>
            </w:r>
          </w:p>
        </w:tc>
        <w:tc>
          <w:tcPr>
            <w:tcW w:type="dxa" w:w="2880"/>
          </w:tcPr>
          <w:p>
            <w:r>
              <w:t>53</w:t>
            </w:r>
          </w:p>
        </w:tc>
      </w:tr>
    </w:tbl>
    <w:p/>
    <w:p>
      <w:r>
        <w:rPr>
          <w:b/>
        </w:rPr>
        <w:t xml:space="preserve">What changed: </w:t>
      </w:r>
      <w:r>
        <w:t>NEW requirement in 2026 not present in the 2021 baseline.</w:t>
      </w:r>
    </w:p>
    <w:p>
      <w:r>
        <w:rPr>
          <w:b/>
          <w:color w:val="0066A0"/>
        </w:rPr>
        <w:t xml:space="preserve">Why it matters: </w:t>
      </w:r>
      <w:r>
        <w:t>This new clause imposes a recurring 3-year hardware refresh obligation on all contractor-provided SIF NGWorkstations, materially increasing lifecycle costs and supply commitments that must be priced into our BOE and reflected in the technical/logistics volumes. Solutions and pricing teams should immediately model the refresh cadence (units, labor, downtime) across the period of performance and confirm OEM availability and warranty alignment.</w:t>
      </w:r>
    </w:p>
    <w:p>
      <w:r>
        <w:rPr>
          <w:i/>
        </w:rPr>
        <w:t xml:space="preserve">Severity: </w:t>
      </w:r>
      <w:r>
        <w:rPr>
          <w:b/>
          <w:color w:val="ED6C02"/>
        </w:rPr>
        <w:t>HIGH</w:t>
      </w:r>
      <w:r>
        <w:rPr>
          <w:i/>
        </w:rPr>
        <w:t xml:space="preserve">   |   Diff record: #9679</w:t>
      </w:r>
    </w:p>
    <w:p/>
    <w:p>
      <w:pPr>
        <w:pStyle w:val="Heading3"/>
      </w:pPr>
      <w:r>
        <w:t>[ADDED] §4.20.3 — Ensure SIF workstations never end-of-life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4.20.3</w:t>
            </w:r>
          </w:p>
        </w:tc>
        <w:tc>
          <w:tcPr>
            <w:tcW w:type="dxa" w:w="2880"/>
          </w:tcPr>
          <w:p>
            <w:r>
              <w:t>53</w:t>
            </w:r>
          </w:p>
        </w:tc>
      </w:tr>
    </w:tbl>
    <w:p/>
    <w:p>
      <w:r>
        <w:rPr>
          <w:b/>
        </w:rPr>
        <w:t xml:space="preserve">What changed: </w:t>
      </w:r>
      <w:r>
        <w:t>NEW requirement in 2026 not present in the 2021 baseline.</w:t>
      </w:r>
    </w:p>
    <w:p>
      <w:r>
        <w:rPr>
          <w:b/>
          <w:color w:val="0066A0"/>
        </w:rPr>
        <w:t xml:space="preserve">Why it matters: </w:t>
      </w:r>
      <w:r>
        <w:t>This new clause prohibits any NGWorkstation or component from ever reaching manufacturer end-of-life/end-of-support, effectively requiring a continuous tech-refresh program and locking us out of long-lived COTS hardware—major cost, supply-chain, and lifecycle-management risk over the contract term. Engineering and pricing must build a rolling refresh/component-substitution plan with vendor roadmap commitments, and Contracts should propose qualifying language (e.g., timely replacement upon EOL announcement) before bid submission.</w:t>
      </w:r>
    </w:p>
    <w:p>
      <w:r>
        <w:rPr>
          <w:i/>
        </w:rPr>
        <w:t xml:space="preserve">Severity: </w:t>
      </w:r>
      <w:r>
        <w:rPr>
          <w:b/>
          <w:color w:val="ED6C02"/>
        </w:rPr>
        <w:t>HIGH</w:t>
      </w:r>
      <w:r>
        <w:rPr>
          <w:i/>
        </w:rPr>
        <w:t xml:space="preserve">   |   Diff record: #10385</w:t>
      </w:r>
    </w:p>
    <w:p/>
    <w:p>
      <w:pPr>
        <w:pStyle w:val="Heading3"/>
      </w:pPr>
      <w:r>
        <w:t>[ADDED] §4.31.1.F — Maintain computer equipment and workstation software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4.31.1.F</w:t>
            </w:r>
          </w:p>
        </w:tc>
        <w:tc>
          <w:tcPr>
            <w:tcW w:type="dxa" w:w="2880"/>
          </w:tcPr>
          <w:p>
            <w:r>
              <w:t>84</w:t>
            </w:r>
          </w:p>
        </w:tc>
      </w:tr>
    </w:tbl>
    <w:p/>
    <w:p>
      <w:r>
        <w:rPr>
          <w:b/>
        </w:rPr>
        <w:t xml:space="preserve">What changed: </w:t>
      </w:r>
      <w:r>
        <w:t>NEW requirement in 2026 not present in the 2021 baseline.</w:t>
      </w:r>
    </w:p>
    <w:p>
      <w:r>
        <w:rPr>
          <w:b/>
          <w:color w:val="0066A0"/>
        </w:rPr>
        <w:t xml:space="preserve">Why it matters: </w:t>
      </w:r>
      <w:r>
        <w:t>This new requirement makes us responsible for ongoing maintenance, repair, and replacement of computer hardware and workstation software to sustain NGVID connectivity, adding lifecycle cost and SLA risk not in the prior RFP. The team should price hardware refresh and software maintenance into the BOE, define repair/replace timelines, and confirm whether equipment is GFE or contractor-furnished before submission.</w:t>
      </w:r>
    </w:p>
    <w:p>
      <w:r>
        <w:rPr>
          <w:i/>
        </w:rPr>
        <w:t xml:space="preserve">Severity: </w:t>
      </w:r>
      <w:r>
        <w:rPr>
          <w:b/>
          <w:color w:val="ED6C02"/>
        </w:rPr>
        <w:t>HIGH</w:t>
      </w:r>
      <w:r>
        <w:rPr>
          <w:i/>
        </w:rPr>
        <w:t xml:space="preserve">   |   Diff record: #8459</w:t>
      </w:r>
    </w:p>
    <w:p/>
    <w:p>
      <w:r>
        <w:br w:type="page"/>
      </w:r>
    </w:p>
    <w:p>
      <w:pPr>
        <w:pStyle w:val="Heading1"/>
      </w:pPr>
      <w:r>
        <w:t>Cover-Purchase / Exclusive Remedy</w:t>
      </w:r>
    </w:p>
    <w:p>
      <w:r>
        <w:rPr>
          <w:i/>
        </w:rPr>
        <w:t>1 material changes in this theme.</w:t>
      </w:r>
    </w:p>
    <w:p>
      <w:pPr>
        <w:pStyle w:val="Heading3"/>
      </w:pPr>
      <w:r>
        <w:t>[CHANGED] §8.2.E — State responsibility limited by NJ Tort Claims Act and Contractual Liability 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4.1</w:t>
            </w:r>
          </w:p>
        </w:tc>
        <w:tc>
          <w:tcPr>
            <w:tcW w:type="dxa" w:w="2880"/>
          </w:tcPr>
          <w:p>
            <w:r>
              <w:t>1</w:t>
            </w:r>
          </w:p>
        </w:tc>
      </w:tr>
      <w:tr>
        <w:tc>
          <w:tcPr>
            <w:tcW w:type="dxa" w:w="2880"/>
          </w:tcPr>
          <w:p>
            <w:r>
              <w:rPr>
                <w:b/>
              </w:rPr>
              <w:t>2026 RFP</w:t>
            </w:r>
          </w:p>
        </w:tc>
        <w:tc>
          <w:tcPr>
            <w:tcW w:type="dxa" w:w="2880"/>
          </w:tcPr>
          <w:p>
            <w:r>
              <w:t>8.2.E</w:t>
            </w:r>
          </w:p>
        </w:tc>
        <w:tc>
          <w:tcPr>
            <w:tcW w:type="dxa" w:w="2880"/>
          </w:tcPr>
          <w:p>
            <w:r>
              <w:t>20</w:t>
            </w:r>
          </w:p>
        </w:tc>
      </w:tr>
    </w:tbl>
    <w:p/>
    <w:p>
      <w:r>
        <w:rPr>
          <w:b/>
        </w:rPr>
        <w:t xml:space="preserve">What changed: </w:t>
      </w:r>
      <w:r>
        <w:t>Added clause stating this is the Contractor's exclusive remedy for these claims, and scope reference changed from Subsection 4.1(a)(i) and (ii) to Subsection A.1.</w:t>
      </w:r>
    </w:p>
    <w:p>
      <w:r>
        <w:rPr>
          <w:b/>
          <w:color w:val="0066A0"/>
        </w:rPr>
        <w:t xml:space="preserve">Why it matters: </w:t>
      </w:r>
      <w:r>
        <w:t>The new version adds an 'exclusive remedy' clause, capping Contractor recovery for State-caused third-party claims to what the NJ Tort Claims Act and Contractual Liability Act allow, and updates the cross-reference to Subsection A.1. This shifts more residual risk onto us by foreclosing other legal remedies, which has direct implications for our risk pricing, insurance posture, and indemnity reserves. Legal should confirm A.1 maps to the prior 4.1(a)(i)-(ii) scope, and pricing/risk should adjust contingency assumptions to reflect the capped remedy.</w:t>
      </w:r>
    </w:p>
    <w:p>
      <w:r>
        <w:rPr>
          <w:i/>
        </w:rPr>
        <w:t xml:space="preserve">Severity: </w:t>
      </w:r>
      <w:r>
        <w:rPr>
          <w:b/>
          <w:color w:val="ED6C02"/>
        </w:rPr>
        <w:t>HIGH</w:t>
      </w:r>
      <w:r>
        <w:rPr>
          <w:i/>
        </w:rPr>
        <w:t xml:space="preserve">   |   Diff record: #5605</w:t>
      </w:r>
    </w:p>
    <w:p/>
    <w:p>
      <w:r>
        <w:br w:type="page"/>
      </w:r>
    </w:p>
    <w:p>
      <w:pPr>
        <w:pStyle w:val="Heading1"/>
      </w:pPr>
      <w:r>
        <w:t>Bonds &amp; Performance Security</w:t>
      </w:r>
    </w:p>
    <w:p>
      <w:r>
        <w:rPr>
          <w:i/>
        </w:rPr>
        <w:t>10 material changes in this theme.</w:t>
      </w:r>
    </w:p>
    <w:p>
      <w:pPr>
        <w:pStyle w:val="Heading3"/>
      </w:pPr>
      <w:r>
        <w:t>[REMOVED] §7.4 — Performance Security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7.4</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Performance security/guarantee obligations are standard contract boilerplate that rarely disappear outright; this is most likely relocated or renamed (e.g., under 'Performance Bond,' 'Security Deposit,' or general T&amp;Cs) rather than a true removal. Action: have legal/contracts do a keyword sweep of the new doc for bond/guarantee/security language, confirm with the CO if absent, and update the compliance matrix accordingly before assuming bond costs can be dropped from the price model.</w:t>
      </w:r>
    </w:p>
    <w:p>
      <w:r>
        <w:rPr>
          <w:i/>
        </w:rPr>
        <w:t xml:space="preserve">Severity: </w:t>
      </w:r>
      <w:r>
        <w:rPr>
          <w:b/>
          <w:color w:val="ED6C02"/>
        </w:rPr>
        <w:t>HIGH</w:t>
      </w:r>
      <w:r>
        <w:rPr>
          <w:i/>
        </w:rPr>
        <w:t xml:space="preserve">   |   Diff record: #6849</w:t>
      </w:r>
    </w:p>
    <w:p/>
    <w:p>
      <w:pPr>
        <w:pStyle w:val="Heading3"/>
      </w:pPr>
      <w:r>
        <w:t>[REMOVED] §Facility Closeout — Maintain full and uninterrupted facility operation in post-improvement 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Facility Closeout</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This is likely a relocation/rename rather than a true removal—performance bond/warranty language requiring funds sufficient to repair deficiencies and maintain uninterrupted post-improvement operation is a standard closeout obligation typically restated under Bonds, Warranty, or Acceptance sections that our matcher may have missed. Action: have the compliance lead keyword-search the new RFP for 'post-improvement,' 'uninterrupted,' 'repair/replace deficiencies,' and bond/warranty clauses to confirm; if truly absent, flag to capture for clarification and update the compliance matrix accordingly.</w:t>
      </w:r>
    </w:p>
    <w:p>
      <w:r>
        <w:rPr>
          <w:i/>
        </w:rPr>
        <w:t xml:space="preserve">Severity: </w:t>
      </w:r>
      <w:r>
        <w:rPr>
          <w:b/>
          <w:color w:val="ED6C02"/>
        </w:rPr>
        <w:t>HIGH</w:t>
      </w:r>
      <w:r>
        <w:rPr>
          <w:i/>
        </w:rPr>
        <w:t xml:space="preserve">   |   Diff record: #7085</w:t>
      </w:r>
    </w:p>
    <w:p/>
    <w:p>
      <w:pPr>
        <w:pStyle w:val="Heading3"/>
      </w:pPr>
      <w:r>
        <w:t>[REMOVED] §Performance Security — Performance Security not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Performance Security</w:t>
            </w:r>
          </w:p>
        </w:tc>
        <w:tc>
          <w:tcPr>
            <w:tcW w:type="dxa" w:w="2880"/>
          </w:tcPr>
          <w:p>
            <w:r>
              <w:t>1</w:t>
            </w:r>
          </w:p>
        </w:tc>
      </w:tr>
      <w:tr>
        <w:tc>
          <w:tcPr>
            <w:tcW w:type="dxa" w:w="2880"/>
          </w:tcPr>
          <w:p>
            <w:r>
              <w:rPr>
                <w:b/>
              </w:rPr>
              <w:t>2026 RFP</w:t>
            </w:r>
          </w:p>
        </w:tc>
        <w:tc>
          <w:tcPr>
            <w:tcW w:type="dxa" w:w="2880"/>
          </w:tcPr>
          <w:p>
            <w:r>
              <w:t>— (removed in 2026)</w:t>
            </w:r>
          </w:p>
        </w:tc>
        <w:tc>
          <w:tcPr>
            <w:tcW w:type="dxa" w:w="2880"/>
          </w:tcPr>
          <w:p>
            <w:r>
              <w:t>—</w:t>
            </w:r>
          </w:p>
        </w:tc>
      </w:tr>
    </w:tbl>
    <w:p/>
    <w:p>
      <w:r>
        <w:rPr>
          <w:b/>
        </w:rPr>
        <w:t xml:space="preserve">What changed: </w:t>
      </w:r>
      <w:r>
        <w:t>Requirement present in 2021 baseline does NOT appear in 2026 RFP.</w:t>
      </w:r>
    </w:p>
    <w:p>
      <w:r>
        <w:rPr>
          <w:b/>
          <w:color w:val="0066A0"/>
        </w:rPr>
        <w:t xml:space="preserve">Why it matters: </w:t>
      </w:r>
      <w:r>
        <w:t>The prior clause merely stated that performance security was 'not applicable,' so its absence likely means the new RFP either remains silent (still no bond required) or has introduced an actual performance security obligation elsewhere — a material difference for pricing and bonding capacity. Action: search the new doc for terms like 'performance bond/guarantee/security' to confirm, and update the compliance matrix to reflect either confirmed non-applicability or a newly imposed requirement.</w:t>
      </w:r>
    </w:p>
    <w:p>
      <w:r>
        <w:rPr>
          <w:i/>
        </w:rPr>
        <w:t xml:space="preserve">Severity: </w:t>
      </w:r>
      <w:r>
        <w:rPr>
          <w:b/>
          <w:color w:val="ED6C02"/>
        </w:rPr>
        <w:t>HIGH</w:t>
      </w:r>
      <w:r>
        <w:rPr>
          <w:i/>
        </w:rPr>
        <w:t xml:space="preserve">   |   Diff record: #7251</w:t>
      </w:r>
    </w:p>
    <w:p/>
    <w:p>
      <w:pPr>
        <w:pStyle w:val="Heading3"/>
      </w:pPr>
      <w:r>
        <w:t>[ADDED] §3.10 — Provide Bid Security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3.10</w:t>
            </w:r>
          </w:p>
        </w:tc>
        <w:tc>
          <w:tcPr>
            <w:tcW w:type="dxa" w:w="2880"/>
          </w:tcPr>
          <w:p>
            <w:r>
              <w:t>2</w:t>
            </w:r>
          </w:p>
        </w:tc>
      </w:tr>
    </w:tbl>
    <w:p/>
    <w:p>
      <w:r>
        <w:rPr>
          <w:b/>
        </w:rPr>
        <w:t xml:space="preserve">What changed: </w:t>
      </w:r>
      <w:r>
        <w:t>NEW requirement in 2026 not present in the 2021 baseline.</w:t>
      </w:r>
    </w:p>
    <w:p>
      <w:r>
        <w:rPr>
          <w:b/>
          <w:color w:val="0066A0"/>
        </w:rPr>
        <w:t xml:space="preserve">Why it matters: </w:t>
      </w:r>
      <w:r>
        <w:t>A new bid security (bid bond) requirement means we must secure a financial instrument from our surety or bank before submission, or our bid will be deemed non-responsive. Capture should immediately engage finance and the surety to confirm form, amount, and validity period, and add the bond to the submission checklist.</w:t>
      </w:r>
    </w:p>
    <w:p>
      <w:r>
        <w:rPr>
          <w:i/>
        </w:rPr>
        <w:t xml:space="preserve">Severity: </w:t>
      </w:r>
      <w:r>
        <w:rPr>
          <w:b/>
          <w:color w:val="ED6C02"/>
        </w:rPr>
        <w:t>HIGH</w:t>
      </w:r>
      <w:r>
        <w:rPr>
          <w:i/>
        </w:rPr>
        <w:t xml:space="preserve">   |   Diff record: #8174</w:t>
      </w:r>
    </w:p>
    <w:p/>
    <w:p>
      <w:pPr>
        <w:pStyle w:val="Heading3"/>
      </w:pPr>
      <w:r>
        <w:t>[ADDED] §6 (Performance Bond) — Provide Increased Performance Bond Following Contract Amendment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 (Performance Bond)</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This new clause obligates us to secure additional performance bond coverage within 30 days of any contract amendment increasing the price, creating potential bonding capacity and cash flow constraints. Finance and the surety broker should confirm headroom on our bonding line and price the carrying cost into our bid contingency.</w:t>
      </w:r>
    </w:p>
    <w:p>
      <w:r>
        <w:rPr>
          <w:i/>
        </w:rPr>
        <w:t xml:space="preserve">Severity: </w:t>
      </w:r>
      <w:r>
        <w:rPr>
          <w:b/>
          <w:color w:val="ED6C02"/>
        </w:rPr>
        <w:t>HIGH</w:t>
      </w:r>
      <w:r>
        <w:rPr>
          <w:i/>
        </w:rPr>
        <w:t xml:space="preserve">   |   Diff record: #10076</w:t>
      </w:r>
    </w:p>
    <w:p/>
    <w:p>
      <w:pPr>
        <w:pStyle w:val="Heading3"/>
      </w:pPr>
      <w:r>
        <w:t>[ADDED] §6.5 — Submit properly executed performance security before payment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6.5</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This new clause blocks any payments until properly executed performance security is on file with the State, creating cash-flow risk if our bonding/security paperwork lags contract award. Finance and contracts should pre-stage the performance security instrument and execution workflow so it can be delivered immediately upon award to avoid payment delays.</w:t>
      </w:r>
    </w:p>
    <w:p>
      <w:r>
        <w:rPr>
          <w:i/>
        </w:rPr>
        <w:t xml:space="preserve">Severity: </w:t>
      </w:r>
      <w:r>
        <w:rPr>
          <w:b/>
          <w:color w:val="ED6C02"/>
        </w:rPr>
        <w:t>HIGH</w:t>
      </w:r>
      <w:r>
        <w:rPr>
          <w:i/>
        </w:rPr>
        <w:t xml:space="preserve">   |   Diff record: #8820</w:t>
      </w:r>
    </w:p>
    <w:p/>
    <w:p>
      <w:pPr>
        <w:pStyle w:val="Heading3"/>
      </w:pPr>
      <w:r>
        <w:t>[ADDED] §6.8 — Submit performance security with bid if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6.8</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This new clause requires performance security to be submitted with the bid (not after award) when called for in the scope of work, so a missing or incorrectly sized bond/instrument could render our bid non-responsive. Capture and contracts must immediately confirm the SOW's required amount, secure the bond from our surety, and include it in the bid package before submission.</w:t>
      </w:r>
    </w:p>
    <w:p>
      <w:r>
        <w:rPr>
          <w:i/>
        </w:rPr>
        <w:t xml:space="preserve">Severity: </w:t>
      </w:r>
      <w:r>
        <w:rPr>
          <w:b/>
          <w:color w:val="ED6C02"/>
        </w:rPr>
        <w:t>HIGH</w:t>
      </w:r>
      <w:r>
        <w:rPr>
          <w:i/>
        </w:rPr>
        <w:t xml:space="preserve">   |   Diff record: #8489</w:t>
      </w:r>
    </w:p>
    <w:p/>
    <w:p>
      <w:pPr>
        <w:pStyle w:val="Heading3"/>
      </w:pPr>
      <w:r>
        <w:t>[ADDED] §6.8 — Consequence of failure to submit performance security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6.8</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This new clause makes failure to post performance security a contract-cancellation and nonpayment trigger, materially raising financial risk if our bonding is delayed or rejected. Capture and finance must confirm bonding capacity, surety lead times, and internal sign-offs are locked in before bid submission to avoid forfeiture of awarded work.</w:t>
      </w:r>
    </w:p>
    <w:p>
      <w:r>
        <w:rPr>
          <w:i/>
        </w:rPr>
        <w:t xml:space="preserve">Severity: </w:t>
      </w:r>
      <w:r>
        <w:rPr>
          <w:b/>
          <w:color w:val="ED6C02"/>
        </w:rPr>
        <w:t>HIGH</w:t>
      </w:r>
      <w:r>
        <w:rPr>
          <w:i/>
        </w:rPr>
        <w:t xml:space="preserve">   |   Diff record: #8629</w:t>
      </w:r>
    </w:p>
    <w:p/>
    <w:p>
      <w:pPr>
        <w:pStyle w:val="Heading3"/>
      </w:pPr>
      <w:r>
        <w:t>[ADDED] §6.8 — Submit performance security within 30 days of Contract award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6.8</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This new clause imposes a hard 30-day post-award deadline to deliver performance security covering the full contract term plus extensions, creating a binding compliance obligation that could delay contract start or trigger default if missed. Finance and Legal should pre-arrange the bond/security instrument with our surety now and confirm pricing/duration assumptions are reflected in our cost model.</w:t>
      </w:r>
    </w:p>
    <w:p>
      <w:r>
        <w:rPr>
          <w:i/>
        </w:rPr>
        <w:t xml:space="preserve">Severity: </w:t>
      </w:r>
      <w:r>
        <w:rPr>
          <w:b/>
          <w:color w:val="ED6C02"/>
        </w:rPr>
        <w:t>HIGH</w:t>
      </w:r>
      <w:r>
        <w:rPr>
          <w:i/>
        </w:rPr>
        <w:t xml:space="preserve">   |   Diff record: #8836</w:t>
      </w:r>
    </w:p>
    <w:p/>
    <w:p>
      <w:pPr>
        <w:pStyle w:val="Heading3"/>
      </w:pPr>
      <w:r>
        <w:t>[ADDED] §6.8 — Provide acceptable form of performance security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6.8</w:t>
            </w:r>
          </w:p>
        </w:tc>
        <w:tc>
          <w:tcPr>
            <w:tcW w:type="dxa" w:w="2880"/>
          </w:tcPr>
          <w:p>
            <w:r>
              <w:t>13</w:t>
            </w:r>
          </w:p>
        </w:tc>
      </w:tr>
    </w:tbl>
    <w:p/>
    <w:p>
      <w:r>
        <w:rPr>
          <w:b/>
        </w:rPr>
        <w:t xml:space="preserve">What changed: </w:t>
      </w:r>
      <w:r>
        <w:t>NEW requirement in 2026 not present in the 2021 baseline.</w:t>
      </w:r>
    </w:p>
    <w:p>
      <w:r>
        <w:rPr>
          <w:b/>
          <w:color w:val="0066A0"/>
        </w:rPr>
        <w:t xml:space="preserve">Why it matters: </w:t>
      </w:r>
      <w:r>
        <w:t>This new clause requires us to post performance security via a NJ-authorized surety bond, certified/cashier's check payable to the NJ Treasurer, or an irrevocable letter of credit naming the NJ Treasurer as beneficiary—failure to provide an acceptable instrument at award will render our bid non-responsive. Finance and the bonding/surety broker should be engaged immediately to confirm capacity, secure draft instruments, and verify NJ authorization before submission.</w:t>
      </w:r>
    </w:p>
    <w:p>
      <w:r>
        <w:rPr>
          <w:i/>
        </w:rPr>
        <w:t xml:space="preserve">Severity: </w:t>
      </w:r>
      <w:r>
        <w:rPr>
          <w:b/>
          <w:color w:val="ED6C02"/>
        </w:rPr>
        <w:t>HIGH</w:t>
      </w:r>
      <w:r>
        <w:rPr>
          <w:i/>
        </w:rPr>
        <w:t xml:space="preserve">   |   Diff record: #9023</w:t>
      </w:r>
    </w:p>
    <w:p/>
    <w:p>
      <w:r>
        <w:br w:type="page"/>
      </w:r>
    </w:p>
    <w:p>
      <w:pPr>
        <w:pStyle w:val="Heading1"/>
      </w:pPr>
      <w:r>
        <w:t>Force Majeure</w:t>
      </w:r>
    </w:p>
    <w:p>
      <w:r>
        <w:rPr>
          <w:i/>
        </w:rPr>
        <w:t>1 material changes in this theme.</w:t>
      </w:r>
    </w:p>
    <w:p>
      <w:pPr>
        <w:pStyle w:val="Heading3"/>
      </w:pPr>
      <w:r>
        <w:t>[CHANGED] §4.16.1.E — Ensure timely repairs and maintain uninterrupted operations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3.2</w:t>
            </w:r>
          </w:p>
        </w:tc>
        <w:tc>
          <w:tcPr>
            <w:tcW w:type="dxa" w:w="2880"/>
          </w:tcPr>
          <w:p>
            <w:r>
              <w:t>1</w:t>
            </w:r>
          </w:p>
        </w:tc>
      </w:tr>
      <w:tr>
        <w:tc>
          <w:tcPr>
            <w:tcW w:type="dxa" w:w="2880"/>
          </w:tcPr>
          <w:p>
            <w:r>
              <w:rPr>
                <w:b/>
              </w:rPr>
              <w:t>2026 RFP</w:t>
            </w:r>
          </w:p>
        </w:tc>
        <w:tc>
          <w:tcPr>
            <w:tcW w:type="dxa" w:w="2880"/>
          </w:tcPr>
          <w:p>
            <w:r>
              <w:t>4.16.1.E</w:t>
            </w:r>
          </w:p>
        </w:tc>
        <w:tc>
          <w:tcPr>
            <w:tcW w:type="dxa" w:w="2880"/>
          </w:tcPr>
          <w:p>
            <w:r>
              <w:t>43</w:t>
            </w:r>
          </w:p>
        </w:tc>
      </w:tr>
    </w:tbl>
    <w:p/>
    <w:p>
      <w:r>
        <w:rPr>
          <w:b/>
        </w:rPr>
        <w:t xml:space="preserve">What changed: </w:t>
      </w:r>
      <w:r>
        <w:t>Added scope requiring repairs to maintain uninterrupted operations during posted station hours.</w:t>
      </w:r>
    </w:p>
    <w:p>
      <w:r>
        <w:rPr>
          <w:b/>
          <w:color w:val="0066A0"/>
        </w:rPr>
        <w:t xml:space="preserve">Why it matters: </w:t>
      </w:r>
      <w:r>
        <w:t>The new version adds an explicit uptime obligation: repairs must keep equipment operational throughout posted station hours, effectively converting a best-effort maintenance clause into a performance/SLA-style requirement. This impacts pricing and staffing (on-call technicians, spares inventory, response/restoration times) and creates compliance exposure if downtime occurs during operating hours. Action: have operations and pricing define target response/restoration times, size spares and on-call coverage accordingly, and add an assumption or clarification on what constitutes 'uninterrupted operations' (e.g., excluding force majeure and scheduled maintenance).</w:t>
      </w:r>
    </w:p>
    <w:p>
      <w:r>
        <w:rPr>
          <w:i/>
        </w:rPr>
        <w:t xml:space="preserve">Severity: </w:t>
      </w:r>
      <w:r>
        <w:rPr>
          <w:b/>
          <w:color w:val="ED6C02"/>
        </w:rPr>
        <w:t>HIGH</w:t>
      </w:r>
      <w:r>
        <w:rPr>
          <w:i/>
        </w:rPr>
        <w:t xml:space="preserve">   |   Diff record: #6454</w:t>
      </w:r>
    </w:p>
    <w:p/>
    <w:p>
      <w:r>
        <w:br w:type="page"/>
      </w:r>
    </w:p>
    <w:p>
      <w:pPr>
        <w:pStyle w:val="Heading1"/>
      </w:pPr>
      <w:r>
        <w:t>Term &amp; Deadline Changes</w:t>
      </w:r>
    </w:p>
    <w:p>
      <w:r>
        <w:rPr>
          <w:i/>
        </w:rPr>
        <w:t>10 material changes in this theme.</w:t>
      </w:r>
    </w:p>
    <w:p>
      <w:pPr>
        <w:pStyle w:val="Heading3"/>
      </w:pPr>
      <w:r>
        <w:t>[CHANGED] §4.2 — Include Management Console supporting program management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Project Descriptions and Requirements</w:t>
            </w:r>
          </w:p>
        </w:tc>
        <w:tc>
          <w:tcPr>
            <w:tcW w:type="dxa" w:w="2880"/>
          </w:tcPr>
          <w:p>
            <w:r>
              <w:t>1</w:t>
            </w:r>
          </w:p>
        </w:tc>
      </w:tr>
      <w:tr>
        <w:tc>
          <w:tcPr>
            <w:tcW w:type="dxa" w:w="2880"/>
          </w:tcPr>
          <w:p>
            <w:r>
              <w:rPr>
                <w:b/>
              </w:rPr>
              <w:t>2026 RFP</w:t>
            </w:r>
          </w:p>
        </w:tc>
        <w:tc>
          <w:tcPr>
            <w:tcW w:type="dxa" w:w="2880"/>
          </w:tcPr>
          <w:p>
            <w:r>
              <w:t>4.2</w:t>
            </w:r>
          </w:p>
        </w:tc>
        <w:tc>
          <w:tcPr>
            <w:tcW w:type="dxa" w:w="2880"/>
          </w:tcPr>
          <w:p>
            <w:r>
              <w:t>24</w:t>
            </w:r>
          </w:p>
        </w:tc>
      </w:tr>
    </w:tbl>
    <w:p/>
    <w:p>
      <w:r>
        <w:rPr>
          <w:b/>
        </w:rPr>
        <w:t xml:space="preserve">What changed: </w:t>
      </w:r>
      <w:r>
        <w:t>Baseline enumerates specific Management Console functions (Inspector Administration, Reporting, Triggers, Audits, Billing, etc.); target removes the explicit list and instead references Section 4.4 for the functional scope.</w:t>
      </w:r>
    </w:p>
    <w:p>
      <w:r>
        <w:rPr>
          <w:b/>
          <w:color w:val="0066A0"/>
        </w:rPr>
        <w:t xml:space="preserve">Why it matters: </w:t>
      </w:r>
      <w:r>
        <w:t>The explicit inline list of Management Console functions (Inspector Administration, Reporting, Triggers, Audits, Billing, etc.) has been removed and replaced with a pointer to Section 4.4 for the functional scope. This shifts our scoping, pricing, and compliance traceability to whatever Section 4.4 now defines, which may be broader, narrower, or differently worded than the prior enumeration. Capture and solution leads should diff Section 4.4 against the old inline list, update the requirements traceability matrix and BOE, and flag any added/removed functions to pricing and staffing before proposal lock.</w:t>
      </w:r>
    </w:p>
    <w:p>
      <w:r>
        <w:rPr>
          <w:i/>
        </w:rPr>
        <w:t xml:space="preserve">Severity: </w:t>
      </w:r>
      <w:r>
        <w:rPr>
          <w:b/>
          <w:color w:val="ED6C02"/>
        </w:rPr>
        <w:t>HIGH</w:t>
      </w:r>
      <w:r>
        <w:rPr>
          <w:i/>
        </w:rPr>
        <w:t xml:space="preserve">   |   Diff record: #6367</w:t>
      </w:r>
    </w:p>
    <w:p/>
    <w:p>
      <w:pPr>
        <w:pStyle w:val="Heading3"/>
      </w:pPr>
      <w:r>
        <w:t>[CHANGED] §4.20.8.4.D — Limit production downtime during principal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Operating Performance Standards</w:t>
            </w:r>
          </w:p>
        </w:tc>
        <w:tc>
          <w:tcPr>
            <w:tcW w:type="dxa" w:w="2880"/>
          </w:tcPr>
          <w:p>
            <w:r>
              <w:t>1</w:t>
            </w:r>
          </w:p>
        </w:tc>
      </w:tr>
      <w:tr>
        <w:tc>
          <w:tcPr>
            <w:tcW w:type="dxa" w:w="2880"/>
          </w:tcPr>
          <w:p>
            <w:r>
              <w:rPr>
                <w:b/>
              </w:rPr>
              <w:t>2026 RFP</w:t>
            </w:r>
          </w:p>
        </w:tc>
        <w:tc>
          <w:tcPr>
            <w:tcW w:type="dxa" w:w="2880"/>
          </w:tcPr>
          <w:p>
            <w:r>
              <w:t>4.20.8.4.D</w:t>
            </w:r>
          </w:p>
        </w:tc>
        <w:tc>
          <w:tcPr>
            <w:tcW w:type="dxa" w:w="2880"/>
          </w:tcPr>
          <w:p>
            <w:r>
              <w:t>59</w:t>
            </w:r>
          </w:p>
        </w:tc>
      </w:tr>
    </w:tbl>
    <w:p/>
    <w:p>
      <w:r>
        <w:rPr>
          <w:b/>
        </w:rPr>
        <w:t xml:space="preserve">What changed: </w:t>
      </w:r>
      <w:r>
        <w:t>Removed the 'first 180 days of the Blanket P.O.' time limitation, making the downtime caps apply for the full term.</w:t>
      </w:r>
    </w:p>
    <w:p>
      <w:r>
        <w:rPr>
          <w:b/>
          <w:color w:val="0066A0"/>
        </w:rPr>
        <w:t xml:space="preserve">Why it matters: </w:t>
      </w:r>
      <w:r>
        <w:t>The 180-day window has been removed, so the 4-hour-per-event and 8-hour cumulative downtime caps now apply for the entire Blanket P.O. term rather than just the initial ramp-up period. This materially expands our SLA exposure and likely drives higher costs for redundancy, spares, on-site support, and response staffing across the full contract life. Reliability, service, and pricing leads should reassess uptime architecture, recompute risk reserves and LD exposure, and consider negotiating an exclusion or higher cap for steady-state operation.</w:t>
      </w:r>
    </w:p>
    <w:p>
      <w:r>
        <w:rPr>
          <w:i/>
        </w:rPr>
        <w:t xml:space="preserve">Severity: </w:t>
      </w:r>
      <w:r>
        <w:rPr>
          <w:b/>
          <w:color w:val="ED6C02"/>
        </w:rPr>
        <w:t>HIGH</w:t>
      </w:r>
      <w:r>
        <w:rPr>
          <w:i/>
        </w:rPr>
        <w:t xml:space="preserve">   |   Diff record: #5635</w:t>
      </w:r>
    </w:p>
    <w:p/>
    <w:p>
      <w:pPr>
        <w:pStyle w:val="Heading3"/>
      </w:pPr>
      <w:r>
        <w:t>[CHANGED] §4.24.2.A — Provide Business Continuity &amp; Disaster Recovery Plan within 180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Business Continuity and Disaster Recovery</w:t>
            </w:r>
          </w:p>
        </w:tc>
        <w:tc>
          <w:tcPr>
            <w:tcW w:type="dxa" w:w="2880"/>
          </w:tcPr>
          <w:p>
            <w:r>
              <w:t>1</w:t>
            </w:r>
          </w:p>
        </w:tc>
      </w:tr>
      <w:tr>
        <w:tc>
          <w:tcPr>
            <w:tcW w:type="dxa" w:w="2880"/>
          </w:tcPr>
          <w:p>
            <w:r>
              <w:rPr>
                <w:b/>
              </w:rPr>
              <w:t>2026 RFP</w:t>
            </w:r>
          </w:p>
        </w:tc>
        <w:tc>
          <w:tcPr>
            <w:tcW w:type="dxa" w:w="2880"/>
          </w:tcPr>
          <w:p>
            <w:r>
              <w:t>4.24.2.A</w:t>
            </w:r>
          </w:p>
        </w:tc>
        <w:tc>
          <w:tcPr>
            <w:tcW w:type="dxa" w:w="2880"/>
          </w:tcPr>
          <w:p>
            <w:r>
              <w:t>71</w:t>
            </w:r>
          </w:p>
        </w:tc>
      </w:tr>
    </w:tbl>
    <w:p/>
    <w:p>
      <w:r>
        <w:rPr>
          <w:b/>
        </w:rPr>
        <w:t xml:space="preserve">What changed: </w:t>
      </w:r>
      <w:r>
        <w:t>Added 180-day deadline after Contract Effective Date and SCM review/approval requirement.</w:t>
      </w:r>
    </w:p>
    <w:p>
      <w:r>
        <w:rPr>
          <w:b/>
          <w:color w:val="0066A0"/>
        </w:rPr>
        <w:t xml:space="preserve">Why it matters: </w:t>
      </w:r>
      <w:r>
        <w:t>The requirement now imposes a hard 180-day post-Effective-Date deadline to deliver the BC/DR Plan and subjects it to SCM review and approval, converting an open-ended deliverable into a schedule-bound, gated milestone. This affects mobilization staffing, pricing for BC/DR plan development, and creates compliance risk if approval cycles slip. Action: add the 180-day deliverable to the project schedule, allocate BC/DR SME hours in the cost model, and build in SCM review/revision cycles in the transition plan.</w:t>
      </w:r>
    </w:p>
    <w:p>
      <w:r>
        <w:rPr>
          <w:i/>
        </w:rPr>
        <w:t xml:space="preserve">Severity: </w:t>
      </w:r>
      <w:r>
        <w:rPr>
          <w:b/>
          <w:color w:val="ED6C02"/>
        </w:rPr>
        <w:t>HIGH</w:t>
      </w:r>
      <w:r>
        <w:rPr>
          <w:i/>
        </w:rPr>
        <w:t xml:space="preserve">   |   Diff record: #6057</w:t>
      </w:r>
    </w:p>
    <w:p/>
    <w:p>
      <w:pPr>
        <w:pStyle w:val="Heading3"/>
      </w:pPr>
      <w:r>
        <w:t>[CHANGED] §5.8 / 4.23.2.10 — SLA I-6: Provision UAT Environment and Deploy NGSystem Components Within 270 Days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3.39.2</w:t>
            </w:r>
          </w:p>
        </w:tc>
        <w:tc>
          <w:tcPr>
            <w:tcW w:type="dxa" w:w="2880"/>
          </w:tcPr>
          <w:p>
            <w:r>
              <w:t>1</w:t>
            </w:r>
          </w:p>
        </w:tc>
      </w:tr>
      <w:tr>
        <w:tc>
          <w:tcPr>
            <w:tcW w:type="dxa" w:w="2880"/>
          </w:tcPr>
          <w:p>
            <w:r>
              <w:rPr>
                <w:b/>
              </w:rPr>
              <w:t>2026 RFP</w:t>
            </w:r>
          </w:p>
        </w:tc>
        <w:tc>
          <w:tcPr>
            <w:tcW w:type="dxa" w:w="2880"/>
          </w:tcPr>
          <w:p>
            <w:r>
              <w:t>5.8 / 4.23.2.10</w:t>
            </w:r>
          </w:p>
        </w:tc>
        <w:tc>
          <w:tcPr>
            <w:tcW w:type="dxa" w:w="2880"/>
          </w:tcPr>
          <w:p>
            <w:r>
              <w:t>93</w:t>
            </w:r>
          </w:p>
        </w:tc>
      </w:tr>
    </w:tbl>
    <w:p/>
    <w:p>
      <w:r>
        <w:rPr>
          <w:b/>
        </w:rPr>
        <w:t xml:space="preserve">What changed: </w:t>
      </w:r>
      <w:r>
        <w:t>Deadline extended from 180 to 270 days and scope expanded to include provisioning the UAT environment in addition to deploying NGSystem components.</w:t>
      </w:r>
    </w:p>
    <w:p>
      <w:r>
        <w:rPr>
          <w:b/>
          <w:color w:val="0066A0"/>
        </w:rPr>
        <w:t xml:space="preserve">Why it matters: </w:t>
      </w:r>
      <w:r>
        <w:t>The SLA now bundles UAT environment provisioning with the NGSystem deployment under a single 270-day deadline (up from 180 days for deployment alone), keeping the same $5,000/business-day penalty. The added provisioning scope requires infrastructure effort and cost we likely did not price under the prior version, though the longer window eases schedule risk. Action: confirm UAT provisioning is in our BoM and staffing plan, update the project schedule and penalty exposure model, and align with infrastructure leads on environment readiness milestones.</w:t>
      </w:r>
    </w:p>
    <w:p>
      <w:r>
        <w:rPr>
          <w:i/>
        </w:rPr>
        <w:t xml:space="preserve">Severity: </w:t>
      </w:r>
      <w:r>
        <w:rPr>
          <w:b/>
          <w:color w:val="ED6C02"/>
        </w:rPr>
        <w:t>HIGH</w:t>
      </w:r>
      <w:r>
        <w:rPr>
          <w:i/>
        </w:rPr>
        <w:t xml:space="preserve">   |   Diff record: #6387</w:t>
      </w:r>
    </w:p>
    <w:p/>
    <w:p>
      <w:pPr>
        <w:pStyle w:val="Heading3"/>
      </w:pPr>
      <w:r>
        <w:t>[CHANGED] §8.4.1.a — 180-day combined notice triggers both warranties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5.11</w:t>
            </w:r>
          </w:p>
        </w:tc>
        <w:tc>
          <w:tcPr>
            <w:tcW w:type="dxa" w:w="2880"/>
          </w:tcPr>
          <w:p>
            <w:r>
              <w:t>1</w:t>
            </w:r>
          </w:p>
        </w:tc>
      </w:tr>
      <w:tr>
        <w:tc>
          <w:tcPr>
            <w:tcW w:type="dxa" w:w="2880"/>
          </w:tcPr>
          <w:p>
            <w:r>
              <w:rPr>
                <w:b/>
              </w:rPr>
              <w:t>2026 RFP</w:t>
            </w:r>
          </w:p>
        </w:tc>
        <w:tc>
          <w:tcPr>
            <w:tcW w:type="dxa" w:w="2880"/>
          </w:tcPr>
          <w:p>
            <w:r>
              <w:t>8.4.1.a</w:t>
            </w:r>
          </w:p>
        </w:tc>
        <w:tc>
          <w:tcPr>
            <w:tcW w:type="dxa" w:w="2880"/>
          </w:tcPr>
          <w:p>
            <w:r>
              <w:t>20</w:t>
            </w:r>
          </w:p>
        </w:tc>
      </w:tr>
    </w:tbl>
    <w:p/>
    <w:p>
      <w:r>
        <w:rPr>
          <w:b/>
        </w:rPr>
        <w:t xml:space="preserve">What changed: </w:t>
      </w:r>
      <w:r>
        <w:t>Scope changed from Blanket P.O. to Contract/Supplement, and category shifted from informational to mandatory.</w:t>
      </w:r>
    </w:p>
    <w:p>
      <w:r>
        <w:rPr>
          <w:b/>
          <w:color w:val="0066A0"/>
        </w:rPr>
        <w:t xml:space="preserve">Why it matters: </w:t>
      </w:r>
      <w:r>
        <w:t>The clause now applies at the Contract/Supplement level rather than only the Blanket P.O., and it has been elevated from informational guidance to a mandatory warranty trigger covering both COTS/Customized and Custom Software. This expands our warranty exposure on every qualifying Contract, since a single functional defect notice within 180 days automatically invokes both 5.11(a) and 5.11(b) remedies—affecting pricing reserves, support staffing, and risk allocation with subcontractors. Legal and pricing should re-baseline warranty cost assumptions, confirm flow-down to OEMs/subs, and update our defect-triage process to handle dual-track warranty obligations.</w:t>
      </w:r>
    </w:p>
    <w:p>
      <w:r>
        <w:rPr>
          <w:i/>
        </w:rPr>
        <w:t xml:space="preserve">Severity: </w:t>
      </w:r>
      <w:r>
        <w:rPr>
          <w:b/>
          <w:color w:val="ED6C02"/>
        </w:rPr>
        <w:t>HIGH</w:t>
      </w:r>
      <w:r>
        <w:rPr>
          <w:i/>
        </w:rPr>
        <w:t xml:space="preserve">   |   Diff record: #5359</w:t>
      </w:r>
    </w:p>
    <w:p/>
    <w:p>
      <w:pPr>
        <w:pStyle w:val="Heading3"/>
      </w:pPr>
      <w:r>
        <w:t>[ADDED] §3.2H — No brake dynamometer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3.2H</w:t>
            </w:r>
          </w:p>
        </w:tc>
        <w:tc>
          <w:tcPr>
            <w:tcW w:type="dxa" w:w="2880"/>
          </w:tcPr>
          <w:p>
            <w:r>
              <w:t>1</w:t>
            </w:r>
          </w:p>
        </w:tc>
      </w:tr>
    </w:tbl>
    <w:p/>
    <w:p>
      <w:r>
        <w:rPr>
          <w:b/>
        </w:rPr>
        <w:t xml:space="preserve">What changed: </w:t>
      </w:r>
      <w:r>
        <w:t>NEW requirement in 2026 not present in the 2021 baseline.</w:t>
      </w:r>
    </w:p>
    <w:p>
      <w:r>
        <w:rPr>
          <w:b/>
          <w:color w:val="0066A0"/>
        </w:rPr>
        <w:t xml:space="preserve">Why it matters: </w:t>
      </w:r>
      <w:r>
        <w:t>This new exclusion explicitly disqualifies brake dynamometer-based testing approaches, meaning any planned use of a brake dyno in our test methodology must be replaced with an acceptable alternative (e.g., chassis or engine dynamometer or on-vehicle testing). The capture team should immediately confirm our proposed test approach, update cost and equipment plans accordingly, and seek clarification from the contracting officer on what measurement methods will be deemed sufficient.</w:t>
      </w:r>
    </w:p>
    <w:p>
      <w:r>
        <w:rPr>
          <w:i/>
        </w:rPr>
        <w:t xml:space="preserve">Severity: </w:t>
      </w:r>
      <w:r>
        <w:rPr>
          <w:b/>
          <w:color w:val="ED6C02"/>
        </w:rPr>
        <w:t>HIGH</w:t>
      </w:r>
      <w:r>
        <w:rPr>
          <w:i/>
        </w:rPr>
        <w:t xml:space="preserve">   |   Diff record: #11272</w:t>
      </w:r>
    </w:p>
    <w:p/>
    <w:p>
      <w:pPr>
        <w:pStyle w:val="Heading3"/>
      </w:pPr>
      <w:r>
        <w:t>[ADDED] §4.21.1 — Transfer rules system ownership to State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4.21.1</w:t>
            </w:r>
          </w:p>
        </w:tc>
        <w:tc>
          <w:tcPr>
            <w:tcW w:type="dxa" w:w="2880"/>
          </w:tcPr>
          <w:p>
            <w:r>
              <w:t>62</w:t>
            </w:r>
          </w:p>
        </w:tc>
      </w:tr>
    </w:tbl>
    <w:p/>
    <w:p>
      <w:r>
        <w:rPr>
          <w:b/>
        </w:rPr>
        <w:t xml:space="preserve">What changed: </w:t>
      </w:r>
      <w:r>
        <w:t>NEW requirement in 2026 not present in the 2021 baseline.</w:t>
      </w:r>
    </w:p>
    <w:p>
      <w:r>
        <w:rPr>
          <w:b/>
          <w:color w:val="0066A0"/>
        </w:rPr>
        <w:t xml:space="preserve">Why it matters: </w:t>
      </w:r>
      <w:r>
        <w:t>This new clause requires us to hand over permanent ownership of the rules system at contract end, which has major IP, licensing, and pricing implications—any third-party or proprietary rules engine components must be licensed for State ownership or replaced with transferable alternatives. Legal and solution architects should immediately review our rules engine stack and licensing terms, and pricing should account for transfer/escrow obligations.</w:t>
      </w:r>
    </w:p>
    <w:p>
      <w:r>
        <w:rPr>
          <w:i/>
        </w:rPr>
        <w:t xml:space="preserve">Severity: </w:t>
      </w:r>
      <w:r>
        <w:rPr>
          <w:b/>
          <w:color w:val="ED6C02"/>
        </w:rPr>
        <w:t>HIGH</w:t>
      </w:r>
      <w:r>
        <w:rPr>
          <w:i/>
        </w:rPr>
        <w:t xml:space="preserve">   |   Diff record: #8467</w:t>
      </w:r>
    </w:p>
    <w:p/>
    <w:p>
      <w:pPr>
        <w:pStyle w:val="Heading3"/>
      </w:pPr>
      <w:r>
        <w:t>[ADDED] §4.9.1 — Complete NGWorkstation installation at PIFs/PFFs within 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4.9.1</w:t>
            </w:r>
          </w:p>
        </w:tc>
        <w:tc>
          <w:tcPr>
            <w:tcW w:type="dxa" w:w="2880"/>
          </w:tcPr>
          <w:p>
            <w:r>
              <w:t>31</w:t>
            </w:r>
          </w:p>
        </w:tc>
      </w:tr>
    </w:tbl>
    <w:p/>
    <w:p>
      <w:r>
        <w:rPr>
          <w:b/>
        </w:rPr>
        <w:t xml:space="preserve">What changed: </w:t>
      </w:r>
      <w:r>
        <w:t>NEW requirement in 2026 not present in the 2021 baseline.</w:t>
      </w:r>
    </w:p>
    <w:p>
      <w:r>
        <w:rPr>
          <w:b/>
          <w:color w:val="0066A0"/>
        </w:rPr>
        <w:t xml:space="preserve">Why it matters: </w:t>
      </w:r>
      <w:r>
        <w:t>This new requirement imposes a hard 18-month deployment deadline for NGWorkstation installations across all PIFs/PFFs, creating significant schedule, logistics, and resource risk that must be reflected in our proposal. The team should develop a detailed, site-by-site rollout schedule with milestones, staffing, and contingency plans, and confirm equipment supply lead times can support the deadline.</w:t>
      </w:r>
    </w:p>
    <w:p>
      <w:r>
        <w:rPr>
          <w:i/>
        </w:rPr>
        <w:t xml:space="preserve">Severity: </w:t>
      </w:r>
      <w:r>
        <w:rPr>
          <w:b/>
          <w:color w:val="ED6C02"/>
        </w:rPr>
        <w:t>HIGH</w:t>
      </w:r>
      <w:r>
        <w:rPr>
          <w:i/>
        </w:rPr>
        <w:t xml:space="preserve">   |   Diff record: #7983</w:t>
      </w:r>
    </w:p>
    <w:p/>
    <w:p>
      <w:pPr>
        <w:pStyle w:val="Heading3"/>
      </w:pPr>
      <w:r>
        <w:t>[ADDED] §4.9.4.2 — Replace UVIS camera and monitor within 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4.9.4.2</w:t>
            </w:r>
          </w:p>
        </w:tc>
        <w:tc>
          <w:tcPr>
            <w:tcW w:type="dxa" w:w="2880"/>
          </w:tcPr>
          <w:p>
            <w:r>
              <w:t>36</w:t>
            </w:r>
          </w:p>
        </w:tc>
      </w:tr>
    </w:tbl>
    <w:p/>
    <w:p>
      <w:r>
        <w:rPr>
          <w:b/>
        </w:rPr>
        <w:t xml:space="preserve">What changed: </w:t>
      </w:r>
      <w:r>
        <w:t>NEW requirement in 2026 not present in the 2021 baseline.</w:t>
      </w:r>
    </w:p>
    <w:p>
      <w:r>
        <w:rPr>
          <w:b/>
          <w:color w:val="0066A0"/>
        </w:rPr>
        <w:t xml:space="preserve">Why it matters: </w:t>
      </w:r>
      <w:r>
        <w:t>This new requirement obligates us to procure, install, and optimally position replacement UVIS cameras and monitors in every inspection lane within 18 months of CED, creating material capex, scheduling, and site-survey risk that must be priced and resourced. Action: have engineering confirm lane counts and siting, solicit vendor quotes for the camera/monitor refresh, and build an 18-month rollout schedule with cost into the bid.</w:t>
      </w:r>
    </w:p>
    <w:p>
      <w:r>
        <w:rPr>
          <w:i/>
        </w:rPr>
        <w:t xml:space="preserve">Severity: </w:t>
      </w:r>
      <w:r>
        <w:rPr>
          <w:b/>
          <w:color w:val="ED6C02"/>
        </w:rPr>
        <w:t>HIGH</w:t>
      </w:r>
      <w:r>
        <w:rPr>
          <w:i/>
        </w:rPr>
        <w:t xml:space="preserve">   |   Diff record: #8442</w:t>
      </w:r>
    </w:p>
    <w:p/>
    <w:p>
      <w:pPr>
        <w:pStyle w:val="Heading3"/>
      </w:pPr>
      <w:r>
        <w:t>[ADDED] §4.9.4.2 — Maintain and replace wait queue internet-based video system within 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Section</w:t>
            </w:r>
          </w:p>
        </w:tc>
        <w:tc>
          <w:tcPr>
            <w:tcW w:type="dxa" w:w="2880"/>
          </w:tcPr>
          <w:p>
            <w:r>
              <w:rPr>
                <w:b/>
              </w:rPr>
              <w:t>Page</w:t>
            </w:r>
          </w:p>
        </w:tc>
      </w:tr>
      <w:tr>
        <w:tc>
          <w:tcPr>
            <w:tcW w:type="dxa" w:w="2880"/>
          </w:tcPr>
          <w:p>
            <w:r>
              <w:rPr>
                <w:b/>
              </w:rPr>
              <w:t>2021 (As-Amended)</w:t>
            </w:r>
          </w:p>
        </w:tc>
        <w:tc>
          <w:tcPr>
            <w:tcW w:type="dxa" w:w="2880"/>
          </w:tcPr>
          <w:p>
            <w:r>
              <w:t>— (not in baseline)</w:t>
            </w:r>
          </w:p>
        </w:tc>
        <w:tc>
          <w:tcPr>
            <w:tcW w:type="dxa" w:w="2880"/>
          </w:tcPr>
          <w:p>
            <w:r>
              <w:t>—</w:t>
            </w:r>
          </w:p>
        </w:tc>
      </w:tr>
      <w:tr>
        <w:tc>
          <w:tcPr>
            <w:tcW w:type="dxa" w:w="2880"/>
          </w:tcPr>
          <w:p>
            <w:r>
              <w:rPr>
                <w:b/>
              </w:rPr>
              <w:t>2026 RFP</w:t>
            </w:r>
          </w:p>
        </w:tc>
        <w:tc>
          <w:tcPr>
            <w:tcW w:type="dxa" w:w="2880"/>
          </w:tcPr>
          <w:p>
            <w:r>
              <w:t>4.9.4.2</w:t>
            </w:r>
          </w:p>
        </w:tc>
        <w:tc>
          <w:tcPr>
            <w:tcW w:type="dxa" w:w="2880"/>
          </w:tcPr>
          <w:p>
            <w:r>
              <w:t>36</w:t>
            </w:r>
          </w:p>
        </w:tc>
      </w:tr>
    </w:tbl>
    <w:p/>
    <w:p>
      <w:r>
        <w:rPr>
          <w:b/>
        </w:rPr>
        <w:t xml:space="preserve">What changed: </w:t>
      </w:r>
      <w:r>
        <w:t>NEW requirement in 2026 not present in the 2021 baseline.</w:t>
      </w:r>
    </w:p>
    <w:p>
      <w:r>
        <w:rPr>
          <w:b/>
          <w:color w:val="0066A0"/>
        </w:rPr>
        <w:t xml:space="preserve">Why it matters: </w:t>
      </w:r>
      <w:r>
        <w:t>This new requirement obligates us to fully replace the wait queue internet-based video system within 18 months of contract start, creating a hard CapEx and schedule commitment that must be priced, sourced, and staffed up front. Capture should immediately scope the legacy equipment inventory, build a replacement BOM and deployment schedule, and confirm vendor lead times before pricing lock.</w:t>
      </w:r>
    </w:p>
    <w:p>
      <w:r>
        <w:rPr>
          <w:i/>
        </w:rPr>
        <w:t xml:space="preserve">Severity: </w:t>
      </w:r>
      <w:r>
        <w:rPr>
          <w:b/>
          <w:color w:val="ED6C02"/>
        </w:rPr>
        <w:t>HIGH</w:t>
      </w:r>
      <w:r>
        <w:rPr>
          <w:i/>
        </w:rPr>
        <w:t xml:space="preserve">   |   Diff record: #10057</w:t>
      </w:r>
    </w:p>
    <w:p/>
    <w:p>
      <w:r>
        <w:br w:type="page"/>
      </w:r>
    </w:p>
    <w:p>
      <w:pPr>
        <w:pStyle w:val="Heading1"/>
      </w:pPr>
      <w:r>
        <w:t>Appendix: Methodology &amp; Source Provenance</w:t>
      </w:r>
    </w:p>
    <w:p>
      <w:r>
        <w:t>This briefing was prepared from Diff Run #2 in the Everest RFP analysis system. Every itemized change traces back to a specific RfpRequirementDiff record (diff_id given in each entry's footer) and to specific RfpRequirement rows on both the baseline and target sides.</w:t>
        <w:br/>
        <w:br/>
      </w:r>
      <w:r>
        <w:t>Items shown here meet ALL of the following criteria:</w:t>
        <w:br/>
      </w:r>
    </w:p>
    <w:p>
      <w:pPr>
        <w:pStyle w:val="ListBullet"/>
      </w:pPr>
      <w:r>
        <w:t>Diff Run #2 (consolidated 2021 baseline vs 2026 RFP)</w:t>
      </w:r>
    </w:p>
    <w:p>
      <w:pPr>
        <w:pStyle w:val="ListBullet"/>
      </w:pPr>
      <w:r>
        <w:t>Severity graded as critical OR (high AND matches a material theme)</w:t>
      </w:r>
    </w:p>
    <w:p>
      <w:pPr>
        <w:pStyle w:val="ListBullet"/>
      </w:pPr>
      <w:r>
        <w:t>Status is added, removed, or changed (not unchanged)</w:t>
      </w:r>
    </w:p>
    <w:p>
      <w:pPr>
        <w:pStyle w:val="ListBullet"/>
      </w:pPr>
      <w:r>
        <w:t>Either a change_summary or impact_blurb is present (no orphan entries)</w:t>
      </w:r>
    </w:p>
    <w:p>
      <w:r>
        <w:rPr>
          <w:b/>
        </w:rPr>
        <w:t>Items NOT shown:</w:t>
        <w:br/>
      </w:r>
    </w:p>
    <w:p>
      <w:pPr>
        <w:pStyle w:val="ListBullet"/>
      </w:pPr>
      <w:r>
        <w:t>Individual technical specification additions (XML field formats, OBD codes, NGWorkstation behaviors) — high in count but routine in nature; available in the compliance matrix.</w:t>
      </w:r>
    </w:p>
    <w:p>
      <w:pPr>
        <w:pStyle w:val="ListBullet"/>
      </w:pPr>
      <w:r>
        <w:t>Medium / low / informational-severity changes that do not match a material theme.</w:t>
      </w:r>
    </w:p>
    <w:p>
      <w:pPr>
        <w:pStyle w:val="ListBullet"/>
      </w:pPr>
      <w:r>
        <w:t>Wording-only refinements where the underlying obligation is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