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NJ MVC T1628 — Material Scope Changes</w:t>
      </w:r>
    </w:p>
    <w:p>
      <w:pPr>
        <w:jc w:val="center"/>
      </w:pPr>
      <w:r>
        <w:rPr>
          <w:b/>
          <w:sz w:val="32"/>
        </w:rPr>
        <w:t>2026 Rebid vs. 2021 Contract (As-Amended)</w:t>
      </w:r>
    </w:p>
    <w:p>
      <w:pPr>
        <w:jc w:val="center"/>
      </w:pPr>
      <w:r>
        <w:rPr>
          <w:i/>
          <w:sz w:val="28"/>
        </w:rPr>
        <w:t>Executive Briefing</w:t>
      </w:r>
    </w:p>
    <w:p/>
    <w:p>
      <w:pPr>
        <w:jc w:val="center"/>
      </w:pPr>
      <w:r>
        <w:rPr>
          <w:sz w:val="22"/>
        </w:rPr>
        <w:t>Prepared: April 27, 2026</w:t>
      </w:r>
    </w:p>
    <w:p>
      <w:pPr>
        <w:jc w:val="center"/>
      </w:pPr>
      <w:r>
        <w:rPr>
          <w:sz w:val="20"/>
        </w:rPr>
        <w:t>Source: Diff Run #2 (Consolidated 2021 baseline + 23 amendments vs 2026 RFP)</w:t>
      </w:r>
    </w:p>
    <w:p/>
    <w:p>
      <w:pPr>
        <w:pStyle w:val="Heading2"/>
      </w:pPr>
      <w:r>
        <w:t>Source of Truth</w:t>
      </w:r>
    </w:p>
    <w:p>
      <w:r>
        <w:rPr>
          <w:b/>
        </w:rPr>
        <w:t xml:space="preserve">Baseline: </w:t>
      </w:r>
      <w:r>
        <w:t>NJ MVC T1628 — 2021 Revised Bid Solicitation, fully merged with 23 contract amendments and revisions. Built from the consolidation pipeline (run #2, completed 2026-04-26). 2,669 active requirements.</w:t>
        <w:br/>
        <w:br/>
      </w:r>
      <w:r>
        <w:rPr>
          <w:b/>
        </w:rPr>
        <w:t xml:space="preserve">Target: </w:t>
      </w:r>
      <w:r>
        <w:t>NJ MVC T1628 2026 Rebid solicitation package: Bid Solicitation 4.22.26, Appendix 3, Price Sheet 4.22.2026, Standard Procurement Forms Packet, NJ Standard Terms and Conditions 6.3.2025, Current Collective Bargaining Agreement, Pre-Quote Conference deck, and statute L2025 c.359.</w:t>
        <w:br/>
        <w:br/>
      </w:r>
      <w:r>
        <w:rPr>
          <w:b/>
        </w:rPr>
        <w:t xml:space="preserve">Method: </w:t>
      </w:r>
      <w:r>
        <w:t>Triple-pass requirement-by-requirement diff with embedding-based semantic matching, severity grading, and per-change impact analysis. Every entry below is grounded in the underlying requirement text — citations to old and new section/page are included in each entry.</w:t>
      </w:r>
    </w:p>
    <w:p>
      <w:r>
        <w:br w:type="page"/>
      </w:r>
    </w:p>
    <w:p>
      <w:pPr>
        <w:pStyle w:val="Heading1"/>
      </w:pPr>
      <w:r>
        <w:t>Executive Summary</w:t>
      </w:r>
    </w:p>
    <w:p>
      <w:r>
        <w:rPr>
          <w:sz w:val="22"/>
        </w:rPr>
        <w:t xml:space="preserve">The 2026 NJ MVC T1628 rebid contains </w:t>
      </w:r>
      <w:r>
        <w:rPr>
          <w:b/>
        </w:rPr>
        <w:t>5,507</w:t>
      </w:r>
      <w:r>
        <w:t xml:space="preserve"> net requirement changes versus the 2021 contract as-amended:</w:t>
      </w:r>
    </w:p>
    <w:p>
      <w:pPr>
        <w:pStyle w:val="ListBullet"/>
      </w:pPr>
      <w:r>
        <w:rPr>
          <w:b/>
        </w:rPr>
        <w:t>3,760</w:t>
      </w:r>
      <w:r>
        <w:t xml:space="preserve"> net-new requirements not in the 2021 baseline</w:t>
      </w:r>
    </w:p>
    <w:p>
      <w:pPr>
        <w:pStyle w:val="ListBullet"/>
      </w:pPr>
      <w:r>
        <w:rPr>
          <w:b/>
        </w:rPr>
        <w:t>1,274</w:t>
      </w:r>
      <w:r>
        <w:t xml:space="preserve"> requirements removed in 2026</w:t>
      </w:r>
    </w:p>
    <w:p>
      <w:pPr>
        <w:pStyle w:val="ListBullet"/>
      </w:pPr>
      <w:r>
        <w:rPr>
          <w:b/>
        </w:rPr>
        <w:t>473</w:t>
      </w:r>
      <w:r>
        <w:t xml:space="preserve"> requirements modified (same intent, changed wording or scope)</w:t>
      </w:r>
    </w:p>
    <w:p/>
    <w:p>
      <w:r>
        <w:rPr>
          <w:sz w:val="22"/>
        </w:rPr>
        <w:t xml:space="preserve">Of these, </w:t>
      </w:r>
      <w:r>
        <w:rPr>
          <w:b/>
        </w:rPr>
        <w:t>2,741</w:t>
      </w:r>
      <w:r>
        <w:t xml:space="preserve"> were graded critical or high severity. </w:t>
      </w:r>
      <w:r>
        <w:rPr>
          <w:b/>
        </w:rPr>
        <w:t>This briefing focuses on the 185 most material changes</w:t>
      </w:r>
      <w:r>
        <w:t xml:space="preserve"> — those that move bid economics, risk allocation, or scope obligations. The remaining changes (largely individual technical specification updates, XML field formats, and routine wording shifts) are itemized in the underlying compliance matrix and are not reproduced here.</w:t>
      </w:r>
    </w:p>
    <w:p/>
    <w:p>
      <w:pPr>
        <w:pStyle w:val="Heading2"/>
      </w:pPr>
      <w:r>
        <w:t>Material Changes by Theme</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Theme</w:t>
            </w:r>
          </w:p>
        </w:tc>
        <w:tc>
          <w:tcPr>
            <w:tcW w:type="dxa" w:w="4320"/>
          </w:tcPr>
          <w:p>
            <w:r>
              <w:rPr>
                <w:b/>
              </w:rPr>
              <w:t>Material Changes</w:t>
            </w:r>
          </w:p>
        </w:tc>
      </w:tr>
      <w:tr>
        <w:tc>
          <w:tcPr>
            <w:tcW w:type="dxa" w:w="4320"/>
          </w:tcPr>
          <w:p>
            <w:r>
              <w:t>Critical-Severity Changes (procedural &amp; structural)</w:t>
            </w:r>
          </w:p>
        </w:tc>
        <w:tc>
          <w:tcPr>
            <w:tcW w:type="dxa" w:w="4320"/>
          </w:tcPr>
          <w:p>
            <w:r>
              <w:t>39</w:t>
            </w:r>
          </w:p>
        </w:tc>
      </w:tr>
      <w:tr>
        <w:tc>
          <w:tcPr>
            <w:tcW w:type="dxa" w:w="4320"/>
          </w:tcPr>
          <w:p>
            <w:r>
              <w:t>Liquidated Damages &amp; SLA Penalties</w:t>
            </w:r>
          </w:p>
        </w:tc>
        <w:tc>
          <w:tcPr>
            <w:tcW w:type="dxa" w:w="4320"/>
          </w:tcPr>
          <w:p>
            <w:r>
              <w:t>48</w:t>
            </w:r>
          </w:p>
        </w:tc>
      </w:tr>
      <w:tr>
        <w:tc>
          <w:tcPr>
            <w:tcW w:type="dxa" w:w="4320"/>
          </w:tcPr>
          <w:p>
            <w:r>
              <w:t>Liability Caps</w:t>
            </w:r>
          </w:p>
        </w:tc>
        <w:tc>
          <w:tcPr>
            <w:tcW w:type="dxa" w:w="4320"/>
          </w:tcPr>
          <w:p>
            <w:r>
              <w:t>20</w:t>
            </w:r>
          </w:p>
        </w:tc>
      </w:tr>
      <w:tr>
        <w:tc>
          <w:tcPr>
            <w:tcW w:type="dxa" w:w="4320"/>
          </w:tcPr>
          <w:p>
            <w:r>
              <w:t>Indemnification &amp; Risk Allocation</w:t>
            </w:r>
          </w:p>
        </w:tc>
        <w:tc>
          <w:tcPr>
            <w:tcW w:type="dxa" w:w="4320"/>
          </w:tcPr>
          <w:p>
            <w:r>
              <w:t>39</w:t>
            </w:r>
          </w:p>
        </w:tc>
      </w:tr>
      <w:tr>
        <w:tc>
          <w:tcPr>
            <w:tcW w:type="dxa" w:w="4320"/>
          </w:tcPr>
          <w:p>
            <w:r>
              <w:t>Capital Repairs Scope</w:t>
            </w:r>
          </w:p>
        </w:tc>
        <w:tc>
          <w:tcPr>
            <w:tcW w:type="dxa" w:w="4320"/>
          </w:tcPr>
          <w:p>
            <w:r>
              <w:t>12</w:t>
            </w:r>
          </w:p>
        </w:tc>
      </w:tr>
      <w:tr>
        <w:tc>
          <w:tcPr>
            <w:tcW w:type="dxa" w:w="4320"/>
          </w:tcPr>
          <w:p>
            <w:r>
              <w:t>Technology / Hardware Refresh</w:t>
            </w:r>
          </w:p>
        </w:tc>
        <w:tc>
          <w:tcPr>
            <w:tcW w:type="dxa" w:w="4320"/>
          </w:tcPr>
          <w:p>
            <w:r>
              <w:t>5</w:t>
            </w:r>
          </w:p>
        </w:tc>
      </w:tr>
      <w:tr>
        <w:tc>
          <w:tcPr>
            <w:tcW w:type="dxa" w:w="4320"/>
          </w:tcPr>
          <w:p>
            <w:r>
              <w:t>Cover-Purchase / Exclusive Remedy</w:t>
            </w:r>
          </w:p>
        </w:tc>
        <w:tc>
          <w:tcPr>
            <w:tcW w:type="dxa" w:w="4320"/>
          </w:tcPr>
          <w:p>
            <w:r>
              <w:t>1</w:t>
            </w:r>
          </w:p>
        </w:tc>
      </w:tr>
      <w:tr>
        <w:tc>
          <w:tcPr>
            <w:tcW w:type="dxa" w:w="4320"/>
          </w:tcPr>
          <w:p>
            <w:r>
              <w:t>Bonds &amp; Performance Security</w:t>
            </w:r>
          </w:p>
        </w:tc>
        <w:tc>
          <w:tcPr>
            <w:tcW w:type="dxa" w:w="4320"/>
          </w:tcPr>
          <w:p>
            <w:r>
              <w:t>10</w:t>
            </w:r>
          </w:p>
        </w:tc>
      </w:tr>
      <w:tr>
        <w:tc>
          <w:tcPr>
            <w:tcW w:type="dxa" w:w="4320"/>
          </w:tcPr>
          <w:p>
            <w:r>
              <w:t>Force Majeure</w:t>
            </w:r>
          </w:p>
        </w:tc>
        <w:tc>
          <w:tcPr>
            <w:tcW w:type="dxa" w:w="4320"/>
          </w:tcPr>
          <w:p>
            <w:r>
              <w:t>1</w:t>
            </w:r>
          </w:p>
        </w:tc>
      </w:tr>
      <w:tr>
        <w:tc>
          <w:tcPr>
            <w:tcW w:type="dxa" w:w="4320"/>
          </w:tcPr>
          <w:p>
            <w:r>
              <w:t>Term &amp; Deadline Changes</w:t>
            </w:r>
          </w:p>
        </w:tc>
        <w:tc>
          <w:tcPr>
            <w:tcW w:type="dxa" w:w="4320"/>
          </w:tcPr>
          <w:p>
            <w:r>
              <w:t>10</w:t>
            </w:r>
          </w:p>
        </w:tc>
      </w:tr>
    </w:tbl>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