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64"/>
          <w:szCs w:val="64"/>
          <w:rtl w:val="0"/>
        </w:rPr>
        <w:t xml:space="preserve">SolidSafe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f5e5a"/>
          <w:sz w:val="32"/>
          <w:szCs w:val="32"/>
          <w:rtl w:val="0"/>
        </w:rPr>
        <w:t xml:space="preserve">CI/CD Pipeline and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5f5e5a"/>
          <w:sz w:val="32"/>
          <w:szCs w:val="32"/>
          <w:rtl w:val="0"/>
        </w:rPr>
        <w:t xml:space="preserve">Contractor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4f8a" w:space="0" w:sz="8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Issued: </w:t>
      </w:r>
      <w:r w:rsidDel="00000000" w:rsidR="00000000" w:rsidRPr="00000000">
        <w:rPr>
          <w:rFonts w:ascii="Arial" w:cs="Arial" w:eastAsia="Arial" w:hAnsi="Arial"/>
          <w:color w:val="5f5e5a"/>
          <w:sz w:val="19"/>
          <w:szCs w:val="19"/>
          <w:rtl w:val="0"/>
        </w:rPr>
        <w:t xml:space="preserve">8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Required by: </w:t>
      </w:r>
      <w:r w:rsidDel="00000000" w:rsidR="00000000" w:rsidRPr="00000000">
        <w:rPr>
          <w:rFonts w:ascii="Arial" w:cs="Arial" w:eastAsia="Arial" w:hAnsi="Arial"/>
          <w:color w:val="5f5e5a"/>
          <w:sz w:val="19"/>
          <w:szCs w:val="19"/>
          <w:rtl w:val="0"/>
        </w:rPr>
        <w:t xml:space="preserve">End of Sprint 1 (Week 2 from project 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Handover session: </w:t>
      </w:r>
      <w:r w:rsidDel="00000000" w:rsidR="00000000" w:rsidRPr="00000000">
        <w:rPr>
          <w:rFonts w:ascii="Arial" w:cs="Arial" w:eastAsia="Arial" w:hAnsi="Arial"/>
          <w:color w:val="5f5e5a"/>
          <w:sz w:val="19"/>
          <w:szCs w:val="19"/>
          <w:rtl w:val="0"/>
        </w:rPr>
        <w:t xml:space="preserve">Required before this engagement is considered complete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e6f1fb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This brief defines the complete scope, technical requirements, acceptance criteria, and handover expectations for a DevOps contractor engagement. The in-house team will begin application development during the same sprint. The CI/CD pipeline and infrastructure must be delivered and handed over by end of Week 2 so the application team can deploy to staging without contractor involvement from Sprint 2 onwards.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32"/>
          <w:szCs w:val="32"/>
          <w:rtl w:val="0"/>
        </w:rPr>
        <w:t xml:space="preserve">1. Context and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SolidSafe is a multi-tenant SaaS backup platform. The in-house team is 1–3 full-stack engineers working in two-week sprints. The application is written in Python 3.12+ with FastAPI, Temporal workflow orchestration, MinIO object storage, PostgreSQL, Vault CE, and Redis — all self-hosted on an existing Kubernetes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objective of this engagement is to deliver a production-grade CI/CD pipeline and local development environment that the in-house team can own, extend, and operate without contractor involvement from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7e34" w:space="0" w:sz="4" w:val="single"/>
              <w:left w:color="1e7e34" w:space="0" w:sz="4" w:val="single"/>
              <w:bottom w:color="1e7e34" w:space="0" w:sz="4" w:val="single"/>
              <w:right w:color="1e7e34" w:space="0" w:sz="4" w:val="single"/>
            </w:tcBorders>
            <w:shd w:fill="eaf3de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20"/>
                <w:szCs w:val="20"/>
                <w:rtl w:val="0"/>
              </w:rPr>
              <w:t xml:space="preserve">What success looks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7e34" w:space="0" w:sz="4" w:val="single"/>
              <w:left w:color="1e7e34" w:space="0" w:sz="4" w:val="single"/>
              <w:bottom w:color="1e7e34" w:space="0" w:sz="4" w:val="single"/>
              <w:right w:color="1e7e34" w:space="0" w:sz="4" w:val="single"/>
            </w:tcBorders>
            <w:shd w:fill="eaf3de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developer can run 'docker compose up' and have a fully functional local environment in under two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7e34" w:space="0" w:sz="4" w:val="single"/>
              <w:left w:color="1e7e34" w:space="0" w:sz="4" w:val="single"/>
              <w:bottom w:color="1e7e34" w:space="0" w:sz="4" w:val="single"/>
              <w:right w:color="1e7e34" w:space="0" w:sz="4" w:val="single"/>
            </w:tcBorders>
            <w:shd w:fill="eaf3de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push to any branch triggers the Stage 1 pipeline (mypy, ruff, pytest unit tests) in under three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7e34" w:space="0" w:sz="4" w:val="single"/>
              <w:left w:color="1e7e34" w:space="0" w:sz="4" w:val="single"/>
              <w:bottom w:color="1e7e34" w:space="0" w:sz="4" w:val="single"/>
              <w:right w:color="1e7e34" w:space="0" w:sz="4" w:val="single"/>
            </w:tcBorders>
            <w:shd w:fill="eaf3de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merge to main triggers the full integration test suite and, on passing, automatically deploys to staging.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7e34" w:space="0" w:sz="4" w:val="single"/>
              <w:left w:color="1e7e34" w:space="0" w:sz="4" w:val="single"/>
              <w:bottom w:color="1e7e34" w:space="0" w:sz="4" w:val="single"/>
              <w:right w:color="1e7e34" w:space="0" w:sz="4" w:val="single"/>
            </w:tcBorders>
            <w:shd w:fill="eaf3de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 git tag triggers a production deployment that requires Stage 2 to have passed on the same commit SHA.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7e34" w:space="0" w:sz="4" w:val="single"/>
              <w:left w:color="1e7e34" w:space="0" w:sz="4" w:val="single"/>
              <w:bottom w:color="1e7e34" w:space="0" w:sz="4" w:val="single"/>
              <w:right w:color="1e7e34" w:space="0" w:sz="4" w:val="single"/>
            </w:tcBorders>
            <w:shd w:fill="eaf3de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At handover, an in-house engineer can explain every component, make a basic change unassisted, and knows where everything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32"/>
          <w:szCs w:val="32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following is the complete deliverable. Nothing outside this scope is expected or authorised without a written change to this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2.1  Local development environment (Docker Compose)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A single docker-compose.yml in the repository root. Target: under two minutes from 'docker compose up' to ready on a MacBook with a warm Docker 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000"/>
        <w:gridCol w:w="4760"/>
        <w:tblGridChange w:id="0">
          <w:tblGrid>
            <w:gridCol w:w="1800"/>
            <w:gridCol w:w="1800"/>
            <w:gridCol w:w="10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postgres:16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Schema migrations applied on startup. Partition-per-customer schema as defined by in-house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minio/minio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9000/9001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S3-compatible object storage. Console on 9001. Bucket created on startup.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hashicorp/vault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8200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Dev mode (auto-unsealed). Transit engine enabled. KV v2 at secret/. AppRole auth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redis:7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Rate limiter and circuit breaker backing store. No persistence required locally.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Temporal dev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temporalio/auto-setup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7233/8080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temporal server start-dev. No K8s, no separate Postgres backend. UI on 8080.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Seed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(built from repo)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Runs once on startup: provisions dev customer, creates HubSpot credential stub, starts worker.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35c00" w:space="0" w:sz="4" w:val="single"/>
              <w:left w:color="b35c00" w:space="0" w:sz="4" w:val="single"/>
              <w:bottom w:color="b35c00" w:space="0" w:sz="4" w:val="single"/>
              <w:right w:color="b35c00" w:space="0" w:sz="4" w:val="single"/>
            </w:tcBorders>
            <w:shd w:fill="fdf3e3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35c00"/>
                <w:sz w:val="20"/>
                <w:szCs w:val="20"/>
                <w:rtl w:val="0"/>
              </w:rPr>
              <w:t xml:space="preserve">NOT in the compose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35c00" w:space="0" w:sz="4" w:val="single"/>
              <w:left w:color="b35c00" w:space="0" w:sz="4" w:val="single"/>
              <w:bottom w:color="b35c00" w:space="0" w:sz="4" w:val="single"/>
              <w:right w:color="b35c00" w:space="0" w:sz="4" w:val="single"/>
            </w:tcBorders>
            <w:shd w:fill="fdf3e3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Kafka/Redpanda — not needed locally; the application uses a stub event producer.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35c00" w:space="0" w:sz="4" w:val="single"/>
              <w:left w:color="b35c00" w:space="0" w:sz="4" w:val="single"/>
              <w:bottom w:color="b35c00" w:space="0" w:sz="4" w:val="single"/>
              <w:right w:color="b35c00" w:space="0" w:sz="4" w:val="single"/>
            </w:tcBorders>
            <w:shd w:fill="fdf3e3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KEDA or a full Kubernetes stack — the worker runs as a plain Python process locally, not in a pod.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35c00" w:space="0" w:sz="4" w:val="single"/>
              <w:left w:color="b35c00" w:space="0" w:sz="4" w:val="single"/>
              <w:bottom w:color="b35c00" w:space="0" w:sz="4" w:val="single"/>
              <w:right w:color="b35c00" w:space="0" w:sz="4" w:val="single"/>
            </w:tcBorders>
            <w:shd w:fill="fdf3e3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Vault HA — dev mode is correct locally; a full Raft cluster is disproportionate.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2.2  GitLab CI/CD pipeline — four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Built against the existing self-hosted GitLab instance. All four stages must be passing before this engagement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Stage 1 — Fast checks  (&lt; 3 min, triggers on every push)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mypy — type checking across the full saas_backup package. Blocks the MR if it fails.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ruff — linting and import ordering.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pytest (unit tests only) — does not require the compose stack.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All three run in parallel.</w:t>
      </w:r>
    </w:p>
    <w:p w:rsidR="00000000" w:rsidDel="00000000" w:rsidP="00000000" w:rsidRDefault="00000000" w:rsidRPr="00000000" w14:paraId="0000004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Stage 2 — Integration tests  (&lt; 15 min, triggers on MR to 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Start the compose stack as GitLab CI service containers (Postgres, MinIO, Vault dev mode, Redis, Temporal dev server).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pytest full suite including integration tests against real Postgres, real MinIO, and real Temporal dev server.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No squash merge to main until this passes. This is the gate that keeps main deployable.</w:t>
      </w:r>
    </w:p>
    <w:p w:rsidR="00000000" w:rsidDel="00000000" w:rsidP="00000000" w:rsidRDefault="00000000" w:rsidRPr="00000000" w14:paraId="0000004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Stage 3 — Staging deployment  (triggers automatically on merge to 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Build Docker images for api-service and worker-service, tagged with the full commit SHA.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Push to GitLab Container Registry.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Run database migrations as a pre-deployment Kubernetes Job — before new application containers start, not on startup.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Apply Kubernetes manifests to the staging cluster via helm upgrade --install.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Run smoke tests against the live staging API (5–10 critical-path requests).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Notify the team channel on success or failure.</w:t>
      </w:r>
    </w:p>
    <w:p w:rsidR="00000000" w:rsidDel="00000000" w:rsidP="00000000" w:rsidRDefault="00000000" w:rsidRPr="00000000" w14:paraId="0000005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Stage 4 — Production deployment  (triggers on git tag v[0-9]+.[0-9]+.[0-9]+)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Identical pipeline to Stage 3, targeting the production cluster.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Enforces that Stage 2 has passed on the same commit SHA — enforced by the pipeline, not by convention.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Deployment notifications to the team shared channel.</w:t>
      </w:r>
    </w:p>
    <w:p w:rsidR="00000000" w:rsidDel="00000000" w:rsidP="00000000" w:rsidRDefault="00000000" w:rsidRPr="00000000" w14:paraId="0000005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2.3  Kubernetes manifests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For both staging and production clusters. The in-house team provides kubeconfig and namespace; the contractor provides manifests and Helm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5960"/>
        <w:tblGridChange w:id="0">
          <w:tblGrid>
            <w:gridCol w:w="1800"/>
            <w:gridCol w:w="16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api-service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Deployment +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FastAPI application. HPA scaling on CPU/memory.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Temporal worker. KEDA ScaledObject scaling on task queue depth. Must exclude rate-limit-backoff items from queue depth metric — see Section 3.3.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Database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Kubernetes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Runs before new application pods start on each deployment. Uses Alembic. Helm pre-upgrade hook.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ConfigMap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ConfigMap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Environment variable configuration per environment (staging, production).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Secret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References to Vault-managed secrets. AppRole credentials injected at pod startup.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2.4  Helm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A Helm chart wrapping the above manifests. Must support values overrides per environment without duplicating manifests. The in-house team will use this chart for all future deployments — it must be readable and extensible without contractor involvement.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2.5  Vault CE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Vault Community Edition is already provisioned. The contractor configures: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Transit engine: encryption key setup for envelope encryption (CDK per customer).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KV v2: mounted at secret/ with paths for customer keys and application secrets.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AppRole authentication: separate AppRole for api-service and worker-service with scoped policies. Credentials injected into pods at startup.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Audit logging: enabled and directed to stdout for collection by the cluster logging stack.</w:t>
      </w:r>
    </w:p>
    <w:p w:rsidR="00000000" w:rsidDel="00000000" w:rsidP="00000000" w:rsidRDefault="00000000" w:rsidRPr="00000000" w14:paraId="0000007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2.6  MinIO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MinIO is already provisioned on existing storage infrastructure. The contractor configures: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Bucket creation and policies (backup data bucket, Parquet/Iceberg bucket).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Object Lock enabled in GOVERNANCE mode on the backup data bucket.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Service account credentials created and stored in Vault for application access.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Bucket lifecycle policies — placeholder configuration; specific values to be confirmed by the in-house team.</w:t>
      </w:r>
    </w:p>
    <w:p w:rsidR="00000000" w:rsidDel="00000000" w:rsidP="00000000" w:rsidRDefault="00000000" w:rsidRPr="00000000" w14:paraId="0000007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2.7  PostgreSQL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CloudNativePG operator is already deployed. The contractor configures: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CloudNativePG Cluster resource for the application database (separate from Temporal's Postgres).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Automated backups via CloudNativePG's built-in facilities.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PgBouncer connection pooling configured and deployed.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Partition-creation script applied on startup — the in-house team provides the schema migration SQL.</w:t>
      </w:r>
    </w:p>
    <w:p w:rsidR="00000000" w:rsidDel="00000000" w:rsidP="00000000" w:rsidRDefault="00000000" w:rsidRPr="00000000" w14:paraId="0000008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2.8  Monitoring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monitoring stack decision (Zabbix vs Prometheus/Grafana) is being resolved by the in-house team in Sprint 1. The in-house team will confirm the decision by end of Day 1 of the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Wire Prometheus metrics from Temporal and KEDA into whatever scrape target is confirmed.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If Prometheus/Grafana: deploy service monitors for api-service, worker-service, and Temporal. Provide a basic Grafana dashboard (task queue depth, worker pod count, deployment status).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If Zabbix-only: provide Zabbix agent configuration for the above metrics, noting any that cannot be bridged from Prometheus format.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32"/>
          <w:szCs w:val="32"/>
          <w:rtl w:val="0"/>
        </w:rPr>
        <w:t xml:space="preserve">3. Technical Constraints and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These constraints are not negotiable without a written change to this brief — downstream application code depends on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3.1  Environment variable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application reads configuration from these exact variable names. Do not introduce alternative names or aliases.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VAULT_ADDR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api-service, 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http://vault:8200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VAULT_ROLE_ID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api-service, 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AppRole role ID — injected from Secret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VAULT_SECRET_ID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api-service, 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AppRole secret ID — injected from Secret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TEMPORAL_HOST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temporal:7233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TEMPORAL_NAMESPACE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api-service, 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postgresql://user:pass@pgbouncer:5432/solidsafe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redis://redis:6379/0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MINIO_ENDPOINT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minio:9000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MINIO_ACCESS_KEY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from Vault — injected at startup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from Vault — injected at startup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MINIO_BUCKET_BACKUP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solidsafe-backup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MINIO_BUCKET_PARQUET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solidsafe-parquet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api-service, worker-service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staging OR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3.2  Docker image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api-service: registry.gitlab.example.com/solidsafe/api-service:{SHA}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worker-service: registry.gitlab.example.com/solidsafe/worker-service:{SHA}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{SHA} is the full Git commit SHA. The production pipeline enforces that the SHA matches a commit on which Stage 2 passed.</w:t>
      </w:r>
    </w:p>
    <w:p w:rsidR="00000000" w:rsidDel="00000000" w:rsidP="00000000" w:rsidRDefault="00000000" w:rsidRPr="00000000" w14:paraId="000000C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3.3  KEDA configuration — rate-limit backoff 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worker-service KEDA ScaledObject must scale on effective queue depth — defined as total task queue depth minus tasks currently in rate-limit backoff. Without this, KEDA scales up worker pods in response to rate-limit pressure, which makes the problem worse rather than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in-house team will provide the specific Prometheus metric name that the worker exports for backoff task count. If the metric is not yet available during the engagement, leave a clearly documented placeholder in the ScaledObject manifest.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3.4  Migration job 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Database migrations must run as a Kubernetes Job before new application pods start — not on application startup. Enforced via a Helm hook (helm.sh/hook: pre-upgrade). If the migration Job fails, the deployment must halt and the team channel must be notified.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3.5  Seed script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local development seed script runs once on compose startup and must be idempotent. It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Create a Postgres customer partition for dev customer (customer_id: 'dev-customer-001').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Generate and store a CDK in Vault at secret/customers/dev-customer-001/cdk.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Create a HubSpot integration credential stub (access_token: 'dev-token', portal_id: 'dev-portal').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Start the Temporal worker process (python -m saas_backup.workers.main).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32"/>
          <w:szCs w:val="32"/>
          <w:rtl w:val="0"/>
        </w:rPr>
        <w:t xml:space="preserve">4.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engagement is complete when every item below is confirmed by the in-house team. The handover session (Section 5) is the formal acceptance 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4.1  Local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'docker compose up' completes in under two minutes on a MacBook with a warm Docker cache.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All six services start without errors and pass their health checks.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The seed script runs to completion and the dev customer is queryable in Postgres.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The Temporal UI at localhost:8080 shows the dev worker connected and polling.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An in-house engineer can shut down and restart the environment without data loss (Postgres and MinIO data persisted in named Docker volumes).</w:t>
      </w:r>
    </w:p>
    <w:p w:rsidR="00000000" w:rsidDel="00000000" w:rsidP="00000000" w:rsidRDefault="00000000" w:rsidRPr="00000000" w14:paraId="000000D9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4.2 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1 completes in under 3 minutes on a typical push (no compose stack).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2 completes in under 15 minutes on a MR to main.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merge to main that passes Stage 2 automatically deploys to staging within 10 minutes of merge.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git tag matching v* on a commit where Stage 2 passed triggers a production deployment.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git tag on a commit where Stage 2 has NOT passed fails at the SHA verification step — it does not deploy.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failed Stage 3 or Stage 4 deployment sends a notification to the team channel with the job URL and failure reason.</w:t>
      </w:r>
    </w:p>
    <w:p w:rsidR="00000000" w:rsidDel="00000000" w:rsidP="00000000" w:rsidRDefault="00000000" w:rsidRPr="00000000" w14:paraId="000000E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4.3 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Staging and production clusters both have api-service and worker-service running and healthy.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Helm upgrade to a new image tag completes without downtime (rolling update, one pod at a time).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The migration Job runs and completes before new pods start on each deployment.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Vault AppRole credentials are injected into pods correctly — the application can read and write Vault secrets without hardcoded credentials.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MinIO buckets exist with Object Lock enabled on the backup bucket.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KEDA autoscales the worker-service in response to task queue depth changes (demonstrated during handover).</w:t>
      </w:r>
    </w:p>
    <w:p w:rsidR="00000000" w:rsidDel="00000000" w:rsidP="00000000" w:rsidRDefault="00000000" w:rsidRPr="00000000" w14:paraId="000000E9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4.4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An in-house engineer can add a new environment variable to the ConfigMap and deploy without contractor assistance.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An in-house engineer can roll back a deployment to the previous image tag without contractor assistance.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An in-house engineer can identify why a pipeline stage failed from the GitLab CI logs without contractor assistance.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All configuration files are in the repository — no configuration exists only on the contractor's machine or in an undocumented location.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32"/>
          <w:szCs w:val="32"/>
          <w:rtl w:val="0"/>
        </w:rPr>
        <w:t xml:space="preserve">5. Handover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No work is considered complete until the handover session has taken place and the in-house team can make basic changes without the contractor present. The handover session is a hard requirement, not an optional courtesy.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5.1  Handover session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Two to three hours. The contractor walks the in-house team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What was built and where it lives in the repository — every file, every directory, the purpose of each.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How to extend the pipeline — adding a new stage, adding a new environment variable, changing the deploy target.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How to debug a failure — where to look when a pipeline stage fails, when a pod fails to start, when a deployment hangs.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Known limitations — anything incomplete, approximate, or that will need revisiting as the application evolves.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Live demonstration of KEDA autoscaling by artificially increasing task queue depth during the session.</w:t>
      </w:r>
    </w:p>
    <w:p w:rsidR="00000000" w:rsidDel="00000000" w:rsidP="00000000" w:rsidRDefault="00000000" w:rsidRPr="00000000" w14:paraId="000000FA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5.2  Documentation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following must be in the repository at handover: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README.md — how to start the local environment, run the test suite, trigger a deployment.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docs/infrastructure/pipeline.md — each pipeline stage: what triggers it, what it does, what blocks it.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docs/infrastructure/environments.md — local, staging, and production: purpose, how to access each.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docs/infrastructure/vault.md — Vault configuration, AppRole setup, how to rotate credentials, what paths exist.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docs/infrastructure/keda.md — ScaledObject configuration, the rate-limit backoff metric, how to tune scaling parameters.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docs/runbooks/rollback.md — step-by-step procedure to roll back a deployment to the previous image tag.</w:t>
      </w:r>
    </w:p>
    <w:p w:rsidR="00000000" w:rsidDel="00000000" w:rsidP="00000000" w:rsidRDefault="00000000" w:rsidRPr="00000000" w14:paraId="00000103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5.3  Post-handover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contractor is available for up to five hours of questions during the two weeks following handover. Questions should be submitted in writing so answers are documented. This is not a retainer — it is a short tail for clarification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32"/>
          <w:szCs w:val="32"/>
          <w:rtl w:val="0"/>
        </w:rPr>
        <w:t xml:space="preserve">6. What the Contractor Needs from the In-House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contractor cannot start or complete this engagement without the following items. The in-house team commits to providing each by the date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160"/>
        <w:tblGridChange w:id="0">
          <w:tblGrid>
            <w:gridCol w:w="2800"/>
            <w:gridCol w:w="1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f8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Staging cluster kubeconfig and 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Read/write access to the application namespace. Cluster-admin not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Production cluster kubeconfig and 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Required for staging-to-production parity validation before the engagement 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GitLab project URL and developer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Maintainer access required to configure CI/CD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GitLab Container Registry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For pushing built images during pipeline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Monitoring stack decision (Zabbix vs Prometheus)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End of 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Determines Section 2.8 implementation path. Cannot be deferred past Day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Schema migration SQL (for migration 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Even a minimal migration is sufficient for acceptance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Postgres partition-creation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For the seed script to provision the dev customer partition.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Vault instance URL and initial root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For AppRole and Transit engine setup. Root token revoked after setup.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MinIO endpoint, access key, and secret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For bucket and policy configuration.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32"/>
          <w:szCs w:val="32"/>
          <w:rtl w:val="0"/>
        </w:rPr>
        <w:t xml:space="preserve">7.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The following are explicitly out of scope. They may be valid future contractor engagements.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Application code — the contractor does not write, review, or modify Python application code.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Temporal server installation or configuration — Temporal is deployed by the in-house team. The contractor configures KEDA to scale against it and wires it into the compose stack.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Security penetration testing or security review — the in-house team owns the security posture of the application.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Customer-facing dashboard or frontend — a separate engagement scoped for the Stage 1/2 boundary.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Load testing or performance benchmarking — the in-house team owns the load-test harness.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Ongoing infrastructure maintenance or on-call support — the in-house team operates the infrastructure after handover.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Monitoring alert rule design — the contractor wires the monitoring integration; the in-house team defines the alert rules.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SSL/TLS certificate management — assumed to be handled by the existing cluster ingress controller.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a"/>
          <w:sz w:val="32"/>
          <w:szCs w:val="32"/>
          <w:rtl w:val="0"/>
        </w:rPr>
        <w:t xml:space="preserve">8. Questions and Clarifications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Questions about this brief should be submitted in writing before the engagement begins. The primary point of contact for technical questions is the in-house engineering lead. Scope changes require written agreement from both parties — verbal agreements during the engagement do not constitute a change to this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8f8" w:val="clear"/>
            <w:tcMar>
              <w:top w:w="12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Acceptance of this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8f8" w:val="clear"/>
            <w:tcMar>
              <w:top w:w="6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By beginning work against this brief, the contractor confirms they have read and understood the scope, constraints, and acceptance criteria, and agree that the handover session is a hard requirement before the engagement is considered 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6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Contractor name:  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Date accepted:     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f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