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62F9" w:rsidRDefault="00DE0322">
      <w:pPr>
        <w:rPr>
          <w:rFonts w:ascii="Tahoma" w:hAnsi="Tahoma" w:cs="Tahoma"/>
          <w:sz w:val="28"/>
        </w:rPr>
      </w:pPr>
      <w:r>
        <w:rPr>
          <w:rFonts w:ascii="Tahoma" w:hAnsi="Tahoma" w:cs="Tahoma"/>
          <w:sz w:val="28"/>
        </w:rPr>
        <w:t xml:space="preserve">CONTEXTE ET JUSTIFACTIF </w:t>
      </w:r>
    </w:p>
    <w:p w:rsidR="00DE0322" w:rsidRDefault="00DE0322">
      <w:pPr>
        <w:rPr>
          <w:rFonts w:ascii="Tahoma" w:hAnsi="Tahoma" w:cs="Tahoma"/>
          <w:sz w:val="28"/>
        </w:rPr>
      </w:pPr>
      <w:r>
        <w:rPr>
          <w:rFonts w:ascii="Tahoma" w:hAnsi="Tahoma" w:cs="Tahoma"/>
          <w:sz w:val="28"/>
        </w:rPr>
        <w:t>Le fonds de promotion culturel joue un rôle crucial dans le financement et la promotion des initiatives culturelles. Cependant, le processus de gestion et de recouvrement des taxes est actuellement largement manuel, ce qui entraine plusieurs défis :</w:t>
      </w:r>
    </w:p>
    <w:p w:rsidR="00DE0322" w:rsidRDefault="00DE0322" w:rsidP="00DE0322">
      <w:pPr>
        <w:pStyle w:val="Paragraphedeliste"/>
        <w:numPr>
          <w:ilvl w:val="0"/>
          <w:numId w:val="1"/>
        </w:numPr>
        <w:rPr>
          <w:rFonts w:ascii="Tahoma" w:hAnsi="Tahoma" w:cs="Tahoma"/>
          <w:sz w:val="28"/>
        </w:rPr>
      </w:pPr>
      <w:r w:rsidRPr="00DE0322">
        <w:rPr>
          <w:rFonts w:ascii="Tahoma" w:hAnsi="Tahoma" w:cs="Tahoma"/>
          <w:sz w:val="28"/>
        </w:rPr>
        <w:t>Temps et ressources importantes</w:t>
      </w:r>
    </w:p>
    <w:p w:rsidR="00DE0322" w:rsidRDefault="00DE0322" w:rsidP="00DE0322">
      <w:pPr>
        <w:pStyle w:val="Paragraphedeliste"/>
        <w:numPr>
          <w:ilvl w:val="0"/>
          <w:numId w:val="1"/>
        </w:numPr>
        <w:rPr>
          <w:rFonts w:ascii="Tahoma" w:hAnsi="Tahoma" w:cs="Tahoma"/>
          <w:sz w:val="28"/>
        </w:rPr>
      </w:pPr>
      <w:r>
        <w:rPr>
          <w:rFonts w:ascii="Tahoma" w:hAnsi="Tahoma" w:cs="Tahoma"/>
          <w:sz w:val="28"/>
        </w:rPr>
        <w:t>Le risque d’erreurs humaines</w:t>
      </w:r>
    </w:p>
    <w:p w:rsidR="00DE0322" w:rsidRDefault="00DE0322" w:rsidP="00DE0322">
      <w:pPr>
        <w:pStyle w:val="Paragraphedeliste"/>
        <w:numPr>
          <w:ilvl w:val="0"/>
          <w:numId w:val="1"/>
        </w:numPr>
        <w:rPr>
          <w:rFonts w:ascii="Tahoma" w:hAnsi="Tahoma" w:cs="Tahoma"/>
          <w:sz w:val="28"/>
        </w:rPr>
      </w:pPr>
      <w:r>
        <w:rPr>
          <w:rFonts w:ascii="Tahoma" w:hAnsi="Tahoma" w:cs="Tahoma"/>
          <w:sz w:val="28"/>
        </w:rPr>
        <w:t>Manque d’un suivi en temps réel</w:t>
      </w:r>
    </w:p>
    <w:p w:rsidR="00DE0322" w:rsidRDefault="00DE0322" w:rsidP="00DE0322">
      <w:pPr>
        <w:pStyle w:val="Paragraphedeliste"/>
        <w:numPr>
          <w:ilvl w:val="0"/>
          <w:numId w:val="1"/>
        </w:numPr>
        <w:rPr>
          <w:rFonts w:ascii="Tahoma" w:hAnsi="Tahoma" w:cs="Tahoma"/>
          <w:sz w:val="28"/>
        </w:rPr>
      </w:pPr>
      <w:r>
        <w:rPr>
          <w:rFonts w:ascii="Tahoma" w:hAnsi="Tahoma" w:cs="Tahoma"/>
          <w:sz w:val="28"/>
        </w:rPr>
        <w:t>Le système actuel ne permet pas une transparence optimale</w:t>
      </w:r>
    </w:p>
    <w:p w:rsidR="00DE0322" w:rsidRDefault="00DE0322" w:rsidP="00DE0322">
      <w:pPr>
        <w:rPr>
          <w:rFonts w:ascii="Tahoma" w:hAnsi="Tahoma" w:cs="Tahoma"/>
          <w:sz w:val="28"/>
        </w:rPr>
      </w:pPr>
      <w:r>
        <w:rPr>
          <w:rFonts w:ascii="Tahoma" w:hAnsi="Tahoma" w:cs="Tahoma"/>
          <w:sz w:val="28"/>
        </w:rPr>
        <w:t>Face à ces défis LOGIMOB a été développé pour digitaliser le service d’assiette et améliorer l’efficacité du recouvrement et mobilisation des taxes. Ce logiciel vise à automatisé et moderniser les processus tout en garantissant une gestion transparente et sécurisé de fonds. Il permet non seulement de gagner du temps et de réduire les erreurs, mais aussi de renforcer la confiance en assurant une meilleure visibilité sur les recettes collectées.</w:t>
      </w:r>
    </w:p>
    <w:p w:rsidR="00DE0322" w:rsidRDefault="00DE0322" w:rsidP="00DE0322">
      <w:pPr>
        <w:rPr>
          <w:rFonts w:ascii="Tahoma" w:hAnsi="Tahoma" w:cs="Tahoma"/>
          <w:sz w:val="28"/>
        </w:rPr>
      </w:pPr>
    </w:p>
    <w:p w:rsidR="00DE0322" w:rsidRDefault="00DE0322">
      <w:pPr>
        <w:rPr>
          <w:rFonts w:ascii="Tahoma" w:hAnsi="Tahoma" w:cs="Tahoma"/>
          <w:sz w:val="28"/>
        </w:rPr>
      </w:pPr>
      <w:r>
        <w:rPr>
          <w:rFonts w:ascii="Tahoma" w:hAnsi="Tahoma" w:cs="Tahoma"/>
          <w:sz w:val="28"/>
        </w:rPr>
        <w:br w:type="page"/>
      </w:r>
    </w:p>
    <w:p w:rsidR="00DE0322" w:rsidRDefault="00B9658B" w:rsidP="00DE0322">
      <w:pPr>
        <w:rPr>
          <w:rFonts w:ascii="Tahoma" w:hAnsi="Tahoma" w:cs="Tahoma"/>
          <w:sz w:val="28"/>
        </w:rPr>
      </w:pPr>
      <w:r>
        <w:rPr>
          <w:rFonts w:ascii="Tahoma" w:hAnsi="Tahoma" w:cs="Tahoma"/>
          <w:sz w:val="28"/>
        </w:rPr>
        <w:lastRenderedPageBreak/>
        <w:t>Objectif du projet LOGIBOM</w:t>
      </w:r>
    </w:p>
    <w:p w:rsidR="00B9658B" w:rsidRDefault="00B9658B" w:rsidP="00DE0322">
      <w:pPr>
        <w:rPr>
          <w:rFonts w:ascii="Tahoma" w:hAnsi="Tahoma" w:cs="Tahoma"/>
          <w:sz w:val="28"/>
        </w:rPr>
      </w:pPr>
      <w:r>
        <w:rPr>
          <w:rFonts w:ascii="Tahoma" w:hAnsi="Tahoma" w:cs="Tahoma"/>
          <w:sz w:val="28"/>
        </w:rPr>
        <w:t>LOGIMOB est une solution logicielle innovante, conçu pour automatiser le processus de mobilisation et de recouvrement des taxes au sein du fonds Promotion  Culturel. Son objectif principal est de simplifier la gestion des taxes, réduire les erreurs humaines et d’améliorer l’efficacité des processus administratifs</w:t>
      </w:r>
    </w:p>
    <w:p w:rsidR="00B9658B" w:rsidRDefault="00B9658B" w:rsidP="00B9658B">
      <w:pPr>
        <w:pStyle w:val="Paragraphedeliste"/>
        <w:numPr>
          <w:ilvl w:val="0"/>
          <w:numId w:val="2"/>
        </w:numPr>
        <w:rPr>
          <w:rFonts w:ascii="Tahoma" w:hAnsi="Tahoma" w:cs="Tahoma"/>
          <w:sz w:val="28"/>
        </w:rPr>
      </w:pPr>
      <w:r>
        <w:rPr>
          <w:rFonts w:ascii="Tahoma" w:hAnsi="Tahoma" w:cs="Tahoma"/>
          <w:sz w:val="28"/>
        </w:rPr>
        <w:t>Optimiser la gestion des fonds culturel : LOGIMOB permet de centraliser et de gérer efficacement les contributions fiscales, garantissant ainsi une meilleure allocation des ressources pour la promotion de la culture</w:t>
      </w:r>
    </w:p>
    <w:p w:rsidR="00B9658B" w:rsidRDefault="00B9658B" w:rsidP="00B9658B">
      <w:pPr>
        <w:pStyle w:val="Paragraphedeliste"/>
        <w:numPr>
          <w:ilvl w:val="0"/>
          <w:numId w:val="2"/>
        </w:numPr>
        <w:rPr>
          <w:rFonts w:ascii="Tahoma" w:hAnsi="Tahoma" w:cs="Tahoma"/>
          <w:sz w:val="28"/>
        </w:rPr>
      </w:pPr>
      <w:r>
        <w:rPr>
          <w:rFonts w:ascii="Tahoma" w:hAnsi="Tahoma" w:cs="Tahoma"/>
          <w:sz w:val="28"/>
        </w:rPr>
        <w:t>Accélérer le recouvrement des taxes : Le logiciel automatise les rappels de paiement, les factures et le suivi des paiements, ce qui accélère le recouvrement de taxes dues.</w:t>
      </w:r>
    </w:p>
    <w:p w:rsidR="00B9658B" w:rsidRDefault="00B9658B" w:rsidP="00B9658B">
      <w:pPr>
        <w:pStyle w:val="Paragraphedeliste"/>
        <w:numPr>
          <w:ilvl w:val="0"/>
          <w:numId w:val="2"/>
        </w:numPr>
        <w:rPr>
          <w:rFonts w:ascii="Tahoma" w:hAnsi="Tahoma" w:cs="Tahoma"/>
          <w:sz w:val="28"/>
        </w:rPr>
      </w:pPr>
      <w:r>
        <w:rPr>
          <w:rFonts w:ascii="Tahoma" w:hAnsi="Tahoma" w:cs="Tahoma"/>
          <w:sz w:val="28"/>
        </w:rPr>
        <w:t xml:space="preserve">Améliorer la transparence : grâce à des rapports détaillés et des tableaux de bord en temps </w:t>
      </w:r>
      <w:proofErr w:type="spellStart"/>
      <w:r>
        <w:rPr>
          <w:rFonts w:ascii="Tahoma" w:hAnsi="Tahoma" w:cs="Tahoma"/>
          <w:sz w:val="28"/>
        </w:rPr>
        <w:t>reel</w:t>
      </w:r>
      <w:proofErr w:type="spellEnd"/>
      <w:r>
        <w:rPr>
          <w:rFonts w:ascii="Tahoma" w:hAnsi="Tahoma" w:cs="Tahoma"/>
          <w:sz w:val="28"/>
        </w:rPr>
        <w:t>, LOGIMOB permet une transparence totale dans la gestion des fonds et des opérations fiscales</w:t>
      </w:r>
    </w:p>
    <w:p w:rsidR="008E7DEE" w:rsidRDefault="008E7DEE" w:rsidP="00B9658B">
      <w:pPr>
        <w:pStyle w:val="Paragraphedeliste"/>
        <w:numPr>
          <w:ilvl w:val="0"/>
          <w:numId w:val="2"/>
        </w:numPr>
        <w:rPr>
          <w:rFonts w:ascii="Tahoma" w:hAnsi="Tahoma" w:cs="Tahoma"/>
          <w:sz w:val="28"/>
        </w:rPr>
      </w:pPr>
      <w:r>
        <w:rPr>
          <w:rFonts w:ascii="Tahoma" w:hAnsi="Tahoma" w:cs="Tahoma"/>
          <w:sz w:val="28"/>
        </w:rPr>
        <w:t xml:space="preserve">Assurer la sécurité des données sensibles : LOGIMOB garantit la protection des informations fiscale grâce à un chiffrement de </w:t>
      </w:r>
      <w:r>
        <w:rPr>
          <w:rFonts w:ascii="Tahoma" w:hAnsi="Tahoma" w:cs="Tahoma"/>
          <w:sz w:val="28"/>
        </w:rPr>
        <w:lastRenderedPageBreak/>
        <w:t>niveau bancaire, en respectant les normes le plus stricte en matière de sécurité de données</w:t>
      </w:r>
    </w:p>
    <w:p w:rsidR="008E7DEE" w:rsidRDefault="008E7DEE" w:rsidP="008E7DEE">
      <w:pPr>
        <w:rPr>
          <w:rFonts w:ascii="Tahoma" w:hAnsi="Tahoma" w:cs="Tahoma"/>
          <w:sz w:val="28"/>
        </w:rPr>
      </w:pPr>
      <w:r>
        <w:rPr>
          <w:rFonts w:ascii="Tahoma" w:hAnsi="Tahoma" w:cs="Tahoma"/>
          <w:sz w:val="28"/>
        </w:rPr>
        <w:t>Impact attendu : LOGIMOB permettra au fonds de Promotion Culturelle de maximiser ses recettes fiscales, d’améliorer l’efficacité des processus administratif et d’offrir une gestion plus transparente et sécurisé des fonds</w:t>
      </w:r>
    </w:p>
    <w:p w:rsidR="008E7DEE" w:rsidRDefault="008E7DEE">
      <w:pPr>
        <w:rPr>
          <w:rFonts w:ascii="Tahoma" w:hAnsi="Tahoma" w:cs="Tahoma"/>
          <w:sz w:val="28"/>
        </w:rPr>
      </w:pPr>
      <w:r>
        <w:rPr>
          <w:rFonts w:ascii="Tahoma" w:hAnsi="Tahoma" w:cs="Tahoma"/>
          <w:sz w:val="28"/>
        </w:rPr>
        <w:br w:type="page"/>
      </w:r>
    </w:p>
    <w:p w:rsidR="008E7DEE" w:rsidRDefault="008E7DEE" w:rsidP="008E7DEE">
      <w:pPr>
        <w:rPr>
          <w:rFonts w:ascii="Tahoma" w:hAnsi="Tahoma" w:cs="Tahoma"/>
          <w:sz w:val="28"/>
        </w:rPr>
      </w:pPr>
      <w:r>
        <w:rPr>
          <w:rFonts w:ascii="Tahoma" w:hAnsi="Tahoma" w:cs="Tahoma"/>
          <w:sz w:val="28"/>
        </w:rPr>
        <w:lastRenderedPageBreak/>
        <w:t>Avantage du LOGIMOB</w:t>
      </w:r>
    </w:p>
    <w:p w:rsidR="008E7DEE" w:rsidRPr="008E7DEE" w:rsidRDefault="008E7DEE" w:rsidP="008E7DEE">
      <w:pPr>
        <w:numPr>
          <w:ilvl w:val="0"/>
          <w:numId w:val="3"/>
        </w:numPr>
        <w:rPr>
          <w:rFonts w:ascii="Tahoma" w:hAnsi="Tahoma" w:cs="Tahoma"/>
          <w:sz w:val="28"/>
        </w:rPr>
      </w:pPr>
      <w:bookmarkStart w:id="0" w:name="_GoBack"/>
      <w:r w:rsidRPr="008E7DEE">
        <w:rPr>
          <w:rFonts w:ascii="Tahoma" w:hAnsi="Tahoma" w:cs="Tahoma"/>
          <w:b/>
          <w:bCs/>
          <w:sz w:val="28"/>
        </w:rPr>
        <w:t>Réduction des Erreurs</w:t>
      </w:r>
      <w:r w:rsidRPr="008E7DEE">
        <w:rPr>
          <w:rFonts w:ascii="Tahoma" w:hAnsi="Tahoma" w:cs="Tahoma"/>
          <w:sz w:val="28"/>
        </w:rPr>
        <w:t xml:space="preserve"> : Grâce à l’automatisation, le risque d'erreurs dans le calcul des taxes et le suivi des paiements est considérablement réduit.</w:t>
      </w:r>
    </w:p>
    <w:p w:rsidR="008E7DEE" w:rsidRPr="008E7DEE" w:rsidRDefault="008E7DEE" w:rsidP="008E7DEE">
      <w:pPr>
        <w:numPr>
          <w:ilvl w:val="0"/>
          <w:numId w:val="3"/>
        </w:numPr>
        <w:rPr>
          <w:rFonts w:ascii="Tahoma" w:hAnsi="Tahoma" w:cs="Tahoma"/>
          <w:sz w:val="28"/>
        </w:rPr>
      </w:pPr>
      <w:r w:rsidRPr="008E7DEE">
        <w:rPr>
          <w:rFonts w:ascii="Tahoma" w:hAnsi="Tahoma" w:cs="Tahoma"/>
          <w:b/>
          <w:bCs/>
          <w:sz w:val="28"/>
        </w:rPr>
        <w:t>Gain de Temps et Réduction des Coûts</w:t>
      </w:r>
      <w:r w:rsidRPr="008E7DEE">
        <w:rPr>
          <w:rFonts w:ascii="Tahoma" w:hAnsi="Tahoma" w:cs="Tahoma"/>
          <w:sz w:val="28"/>
        </w:rPr>
        <w:t xml:space="preserve"> : Les processus manuels sont simplifiés, permettant de gagner un temps précieux et de réduire les coûts associés à la gestion des taxes et recouvrements.</w:t>
      </w:r>
    </w:p>
    <w:p w:rsidR="008E7DEE" w:rsidRPr="008E7DEE" w:rsidRDefault="008E7DEE" w:rsidP="008E7DEE">
      <w:pPr>
        <w:numPr>
          <w:ilvl w:val="0"/>
          <w:numId w:val="3"/>
        </w:numPr>
        <w:rPr>
          <w:rFonts w:ascii="Tahoma" w:hAnsi="Tahoma" w:cs="Tahoma"/>
          <w:sz w:val="28"/>
        </w:rPr>
      </w:pPr>
      <w:r w:rsidRPr="008E7DEE">
        <w:rPr>
          <w:rFonts w:ascii="Tahoma" w:hAnsi="Tahoma" w:cs="Tahoma"/>
          <w:b/>
          <w:bCs/>
          <w:sz w:val="28"/>
        </w:rPr>
        <w:t>Optimisation de la Transparence</w:t>
      </w:r>
      <w:r w:rsidRPr="008E7DEE">
        <w:rPr>
          <w:rFonts w:ascii="Tahoma" w:hAnsi="Tahoma" w:cs="Tahoma"/>
          <w:sz w:val="28"/>
        </w:rPr>
        <w:t xml:space="preserve"> : Un accès en temps réel à toutes les informations fiscales permet une meilleure prise de décision et une gestion optimale.</w:t>
      </w:r>
    </w:p>
    <w:p w:rsidR="008E7DEE" w:rsidRPr="008E7DEE" w:rsidRDefault="008E7DEE" w:rsidP="008E7DEE">
      <w:pPr>
        <w:numPr>
          <w:ilvl w:val="0"/>
          <w:numId w:val="3"/>
        </w:numPr>
        <w:rPr>
          <w:rFonts w:ascii="Tahoma" w:hAnsi="Tahoma" w:cs="Tahoma"/>
          <w:sz w:val="28"/>
        </w:rPr>
      </w:pPr>
      <w:r w:rsidRPr="008E7DEE">
        <w:rPr>
          <w:rFonts w:ascii="Tahoma" w:hAnsi="Tahoma" w:cs="Tahoma"/>
          <w:b/>
          <w:bCs/>
          <w:sz w:val="28"/>
        </w:rPr>
        <w:t>Meilleure Gestion des Ressources</w:t>
      </w:r>
      <w:r w:rsidRPr="008E7DEE">
        <w:rPr>
          <w:rFonts w:ascii="Tahoma" w:hAnsi="Tahoma" w:cs="Tahoma"/>
          <w:sz w:val="28"/>
        </w:rPr>
        <w:t xml:space="preserve"> : L'automatisation permet une réallocation des ressources humaines vers des tâches à plus forte valeur ajoutée.</w:t>
      </w:r>
    </w:p>
    <w:p w:rsidR="008E7DEE" w:rsidRPr="008E7DEE" w:rsidRDefault="008E7DEE" w:rsidP="008E7DEE">
      <w:pPr>
        <w:numPr>
          <w:ilvl w:val="0"/>
          <w:numId w:val="3"/>
        </w:numPr>
        <w:rPr>
          <w:rFonts w:ascii="Tahoma" w:hAnsi="Tahoma" w:cs="Tahoma"/>
          <w:sz w:val="28"/>
        </w:rPr>
      </w:pPr>
      <w:r w:rsidRPr="008E7DEE">
        <w:rPr>
          <w:rFonts w:ascii="Tahoma" w:hAnsi="Tahoma" w:cs="Tahoma"/>
          <w:b/>
          <w:bCs/>
          <w:sz w:val="28"/>
        </w:rPr>
        <w:t>Suivi Stratégique des Recouvrements</w:t>
      </w:r>
      <w:r w:rsidRPr="008E7DEE">
        <w:rPr>
          <w:rFonts w:ascii="Tahoma" w:hAnsi="Tahoma" w:cs="Tahoma"/>
          <w:sz w:val="28"/>
        </w:rPr>
        <w:t xml:space="preserve"> : Grâce aux rapports détaillés et à la segmentation des redevables, LOGIMOB permet de cibler efficacement les actions de recouvrement.</w:t>
      </w:r>
    </w:p>
    <w:bookmarkEnd w:id="0"/>
    <w:p w:rsidR="008E7DEE" w:rsidRPr="008E7DEE" w:rsidRDefault="008E7DEE" w:rsidP="008E7DEE">
      <w:pPr>
        <w:rPr>
          <w:rFonts w:ascii="Tahoma" w:hAnsi="Tahoma" w:cs="Tahoma"/>
          <w:sz w:val="28"/>
        </w:rPr>
      </w:pPr>
      <w:r>
        <w:rPr>
          <w:rFonts w:ascii="Tahoma" w:hAnsi="Tahoma" w:cs="Tahoma"/>
          <w:sz w:val="28"/>
        </w:rPr>
        <w:t xml:space="preserve"> </w:t>
      </w:r>
    </w:p>
    <w:sectPr w:rsidR="008E7DEE" w:rsidRPr="008E7DEE" w:rsidSect="004B24FF">
      <w:pgSz w:w="11906" w:h="16838" w:code="9"/>
      <w:pgMar w:top="1440" w:right="1440" w:bottom="1440" w:left="1440" w:header="709" w:footer="709" w:gutter="0"/>
      <w:paperSrc w:first="15" w:other="15"/>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17A30"/>
    <w:multiLevelType w:val="multilevel"/>
    <w:tmpl w:val="9046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7468CF"/>
    <w:multiLevelType w:val="hybridMultilevel"/>
    <w:tmpl w:val="35706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C66237C"/>
    <w:multiLevelType w:val="hybridMultilevel"/>
    <w:tmpl w:val="0F4673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proofState w:spelling="clean" w:grammar="clean"/>
  <w:defaultTabStop w:val="708"/>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322"/>
    <w:rsid w:val="004875EE"/>
    <w:rsid w:val="004B24FF"/>
    <w:rsid w:val="008E7DEE"/>
    <w:rsid w:val="00936E14"/>
    <w:rsid w:val="00B9658B"/>
    <w:rsid w:val="00DE0322"/>
    <w:rsid w:val="00F462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007D2-DD0F-41BF-B6A1-0F65AC30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fr-FR"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5EE"/>
  </w:style>
  <w:style w:type="paragraph" w:styleId="Titre1">
    <w:name w:val="heading 1"/>
    <w:basedOn w:val="Normal"/>
    <w:next w:val="Normal"/>
    <w:link w:val="Titre1Car"/>
    <w:uiPriority w:val="9"/>
    <w:qFormat/>
    <w:rsid w:val="004875EE"/>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4875EE"/>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4875EE"/>
    <w:pPr>
      <w:pBdr>
        <w:top w:val="single" w:sz="6" w:space="2" w:color="5B9BD5" w:themeColor="accent1"/>
      </w:pBdr>
      <w:spacing w:before="300" w:after="0"/>
      <w:outlineLvl w:val="2"/>
    </w:pPr>
    <w:rPr>
      <w:caps/>
      <w:color w:val="1F4D78" w:themeColor="accent1" w:themeShade="7F"/>
      <w:spacing w:val="15"/>
    </w:rPr>
  </w:style>
  <w:style w:type="paragraph" w:styleId="Titre4">
    <w:name w:val="heading 4"/>
    <w:basedOn w:val="Normal"/>
    <w:next w:val="Normal"/>
    <w:link w:val="Titre4Car"/>
    <w:uiPriority w:val="9"/>
    <w:semiHidden/>
    <w:unhideWhenUsed/>
    <w:qFormat/>
    <w:rsid w:val="004875EE"/>
    <w:pPr>
      <w:pBdr>
        <w:top w:val="dotted" w:sz="6" w:space="2" w:color="5B9BD5" w:themeColor="accent1"/>
      </w:pBdr>
      <w:spacing w:before="200" w:after="0"/>
      <w:outlineLvl w:val="3"/>
    </w:pPr>
    <w:rPr>
      <w:caps/>
      <w:color w:val="2E74B5" w:themeColor="accent1" w:themeShade="BF"/>
      <w:spacing w:val="10"/>
    </w:rPr>
  </w:style>
  <w:style w:type="paragraph" w:styleId="Titre5">
    <w:name w:val="heading 5"/>
    <w:basedOn w:val="Normal"/>
    <w:next w:val="Normal"/>
    <w:link w:val="Titre5Car"/>
    <w:uiPriority w:val="9"/>
    <w:semiHidden/>
    <w:unhideWhenUsed/>
    <w:qFormat/>
    <w:rsid w:val="004875EE"/>
    <w:pPr>
      <w:pBdr>
        <w:bottom w:val="single" w:sz="6" w:space="1" w:color="5B9BD5" w:themeColor="accent1"/>
      </w:pBdr>
      <w:spacing w:before="200" w:after="0"/>
      <w:outlineLvl w:val="4"/>
    </w:pPr>
    <w:rPr>
      <w:caps/>
      <w:color w:val="2E74B5" w:themeColor="accent1" w:themeShade="BF"/>
      <w:spacing w:val="10"/>
    </w:rPr>
  </w:style>
  <w:style w:type="paragraph" w:styleId="Titre6">
    <w:name w:val="heading 6"/>
    <w:basedOn w:val="Normal"/>
    <w:next w:val="Normal"/>
    <w:link w:val="Titre6Car"/>
    <w:uiPriority w:val="9"/>
    <w:semiHidden/>
    <w:unhideWhenUsed/>
    <w:qFormat/>
    <w:rsid w:val="004875EE"/>
    <w:pPr>
      <w:pBdr>
        <w:bottom w:val="dotted" w:sz="6" w:space="1" w:color="5B9BD5" w:themeColor="accent1"/>
      </w:pBdr>
      <w:spacing w:before="200" w:after="0"/>
      <w:outlineLvl w:val="5"/>
    </w:pPr>
    <w:rPr>
      <w:caps/>
      <w:color w:val="2E74B5" w:themeColor="accent1" w:themeShade="BF"/>
      <w:spacing w:val="10"/>
    </w:rPr>
  </w:style>
  <w:style w:type="paragraph" w:styleId="Titre7">
    <w:name w:val="heading 7"/>
    <w:basedOn w:val="Normal"/>
    <w:next w:val="Normal"/>
    <w:link w:val="Titre7Car"/>
    <w:uiPriority w:val="9"/>
    <w:semiHidden/>
    <w:unhideWhenUsed/>
    <w:qFormat/>
    <w:rsid w:val="004875EE"/>
    <w:pPr>
      <w:spacing w:before="200" w:after="0"/>
      <w:outlineLvl w:val="6"/>
    </w:pPr>
    <w:rPr>
      <w:caps/>
      <w:color w:val="2E74B5" w:themeColor="accent1" w:themeShade="BF"/>
      <w:spacing w:val="10"/>
    </w:rPr>
  </w:style>
  <w:style w:type="paragraph" w:styleId="Titre8">
    <w:name w:val="heading 8"/>
    <w:basedOn w:val="Normal"/>
    <w:next w:val="Normal"/>
    <w:link w:val="Titre8Car"/>
    <w:uiPriority w:val="9"/>
    <w:semiHidden/>
    <w:unhideWhenUsed/>
    <w:qFormat/>
    <w:rsid w:val="004875EE"/>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875EE"/>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75EE"/>
    <w:rPr>
      <w:caps/>
      <w:color w:val="FFFFFF" w:themeColor="background1"/>
      <w:spacing w:val="15"/>
      <w:sz w:val="22"/>
      <w:szCs w:val="22"/>
      <w:shd w:val="clear" w:color="auto" w:fill="5B9BD5" w:themeFill="accent1"/>
    </w:rPr>
  </w:style>
  <w:style w:type="character" w:customStyle="1" w:styleId="Titre2Car">
    <w:name w:val="Titre 2 Car"/>
    <w:basedOn w:val="Policepardfaut"/>
    <w:link w:val="Titre2"/>
    <w:uiPriority w:val="9"/>
    <w:semiHidden/>
    <w:rsid w:val="004875EE"/>
    <w:rPr>
      <w:caps/>
      <w:spacing w:val="15"/>
      <w:shd w:val="clear" w:color="auto" w:fill="DEEAF6" w:themeFill="accent1" w:themeFillTint="33"/>
    </w:rPr>
  </w:style>
  <w:style w:type="character" w:customStyle="1" w:styleId="Titre3Car">
    <w:name w:val="Titre 3 Car"/>
    <w:basedOn w:val="Policepardfaut"/>
    <w:link w:val="Titre3"/>
    <w:uiPriority w:val="9"/>
    <w:semiHidden/>
    <w:rsid w:val="004875EE"/>
    <w:rPr>
      <w:caps/>
      <w:color w:val="1F4D78" w:themeColor="accent1" w:themeShade="7F"/>
      <w:spacing w:val="15"/>
    </w:rPr>
  </w:style>
  <w:style w:type="character" w:customStyle="1" w:styleId="Titre4Car">
    <w:name w:val="Titre 4 Car"/>
    <w:basedOn w:val="Policepardfaut"/>
    <w:link w:val="Titre4"/>
    <w:uiPriority w:val="9"/>
    <w:semiHidden/>
    <w:rsid w:val="004875EE"/>
    <w:rPr>
      <w:caps/>
      <w:color w:val="2E74B5" w:themeColor="accent1" w:themeShade="BF"/>
      <w:spacing w:val="10"/>
    </w:rPr>
  </w:style>
  <w:style w:type="character" w:customStyle="1" w:styleId="Titre5Car">
    <w:name w:val="Titre 5 Car"/>
    <w:basedOn w:val="Policepardfaut"/>
    <w:link w:val="Titre5"/>
    <w:uiPriority w:val="9"/>
    <w:semiHidden/>
    <w:rsid w:val="004875EE"/>
    <w:rPr>
      <w:caps/>
      <w:color w:val="2E74B5" w:themeColor="accent1" w:themeShade="BF"/>
      <w:spacing w:val="10"/>
    </w:rPr>
  </w:style>
  <w:style w:type="character" w:customStyle="1" w:styleId="Titre6Car">
    <w:name w:val="Titre 6 Car"/>
    <w:basedOn w:val="Policepardfaut"/>
    <w:link w:val="Titre6"/>
    <w:uiPriority w:val="9"/>
    <w:semiHidden/>
    <w:rsid w:val="004875EE"/>
    <w:rPr>
      <w:caps/>
      <w:color w:val="2E74B5" w:themeColor="accent1" w:themeShade="BF"/>
      <w:spacing w:val="10"/>
    </w:rPr>
  </w:style>
  <w:style w:type="character" w:customStyle="1" w:styleId="Titre7Car">
    <w:name w:val="Titre 7 Car"/>
    <w:basedOn w:val="Policepardfaut"/>
    <w:link w:val="Titre7"/>
    <w:uiPriority w:val="9"/>
    <w:semiHidden/>
    <w:rsid w:val="004875EE"/>
    <w:rPr>
      <w:caps/>
      <w:color w:val="2E74B5" w:themeColor="accent1" w:themeShade="BF"/>
      <w:spacing w:val="10"/>
    </w:rPr>
  </w:style>
  <w:style w:type="character" w:customStyle="1" w:styleId="Titre8Car">
    <w:name w:val="Titre 8 Car"/>
    <w:basedOn w:val="Policepardfaut"/>
    <w:link w:val="Titre8"/>
    <w:uiPriority w:val="9"/>
    <w:semiHidden/>
    <w:rsid w:val="004875EE"/>
    <w:rPr>
      <w:caps/>
      <w:spacing w:val="10"/>
      <w:sz w:val="18"/>
      <w:szCs w:val="18"/>
    </w:rPr>
  </w:style>
  <w:style w:type="character" w:customStyle="1" w:styleId="Titre9Car">
    <w:name w:val="Titre 9 Car"/>
    <w:basedOn w:val="Policepardfaut"/>
    <w:link w:val="Titre9"/>
    <w:uiPriority w:val="9"/>
    <w:semiHidden/>
    <w:rsid w:val="004875EE"/>
    <w:rPr>
      <w:i/>
      <w:iCs/>
      <w:caps/>
      <w:spacing w:val="10"/>
      <w:sz w:val="18"/>
      <w:szCs w:val="18"/>
    </w:rPr>
  </w:style>
  <w:style w:type="paragraph" w:styleId="Lgende">
    <w:name w:val="caption"/>
    <w:basedOn w:val="Normal"/>
    <w:next w:val="Normal"/>
    <w:uiPriority w:val="35"/>
    <w:semiHidden/>
    <w:unhideWhenUsed/>
    <w:qFormat/>
    <w:rsid w:val="004875EE"/>
    <w:rPr>
      <w:b/>
      <w:bCs/>
      <w:color w:val="2E74B5" w:themeColor="accent1" w:themeShade="BF"/>
      <w:sz w:val="16"/>
      <w:szCs w:val="16"/>
    </w:rPr>
  </w:style>
  <w:style w:type="paragraph" w:styleId="Titre">
    <w:name w:val="Title"/>
    <w:basedOn w:val="Normal"/>
    <w:next w:val="Normal"/>
    <w:link w:val="TitreCar"/>
    <w:uiPriority w:val="10"/>
    <w:qFormat/>
    <w:rsid w:val="004875EE"/>
    <w:pPr>
      <w:spacing w:after="0"/>
    </w:pPr>
    <w:rPr>
      <w:rFonts w:asciiTheme="majorHAnsi" w:eastAsiaTheme="majorEastAsia" w:hAnsiTheme="majorHAnsi" w:cstheme="majorBidi"/>
      <w:caps/>
      <w:color w:val="5B9BD5" w:themeColor="accent1"/>
      <w:spacing w:val="10"/>
      <w:sz w:val="52"/>
      <w:szCs w:val="52"/>
    </w:rPr>
  </w:style>
  <w:style w:type="character" w:customStyle="1" w:styleId="TitreCar">
    <w:name w:val="Titre Car"/>
    <w:basedOn w:val="Policepardfaut"/>
    <w:link w:val="Titre"/>
    <w:uiPriority w:val="10"/>
    <w:rsid w:val="004875EE"/>
    <w:rPr>
      <w:rFonts w:asciiTheme="majorHAnsi" w:eastAsiaTheme="majorEastAsia" w:hAnsiTheme="majorHAnsi" w:cstheme="majorBidi"/>
      <w:caps/>
      <w:color w:val="5B9BD5" w:themeColor="accent1"/>
      <w:spacing w:val="10"/>
      <w:sz w:val="52"/>
      <w:szCs w:val="52"/>
    </w:rPr>
  </w:style>
  <w:style w:type="paragraph" w:styleId="Sous-titre">
    <w:name w:val="Subtitle"/>
    <w:basedOn w:val="Normal"/>
    <w:next w:val="Normal"/>
    <w:link w:val="Sous-titreCar"/>
    <w:uiPriority w:val="11"/>
    <w:qFormat/>
    <w:rsid w:val="004875EE"/>
    <w:pPr>
      <w:spacing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875EE"/>
    <w:rPr>
      <w:caps/>
      <w:color w:val="595959" w:themeColor="text1" w:themeTint="A6"/>
      <w:spacing w:val="10"/>
      <w:sz w:val="21"/>
      <w:szCs w:val="21"/>
    </w:rPr>
  </w:style>
  <w:style w:type="character" w:styleId="lev">
    <w:name w:val="Strong"/>
    <w:uiPriority w:val="22"/>
    <w:qFormat/>
    <w:rsid w:val="004875EE"/>
    <w:rPr>
      <w:b/>
      <w:bCs/>
    </w:rPr>
  </w:style>
  <w:style w:type="character" w:styleId="Accentuation">
    <w:name w:val="Emphasis"/>
    <w:uiPriority w:val="20"/>
    <w:qFormat/>
    <w:rsid w:val="004875EE"/>
    <w:rPr>
      <w:caps/>
      <w:color w:val="1F4D78" w:themeColor="accent1" w:themeShade="7F"/>
      <w:spacing w:val="5"/>
    </w:rPr>
  </w:style>
  <w:style w:type="paragraph" w:styleId="Sansinterligne">
    <w:name w:val="No Spacing"/>
    <w:uiPriority w:val="1"/>
    <w:qFormat/>
    <w:rsid w:val="004875EE"/>
    <w:pPr>
      <w:spacing w:after="0" w:line="240" w:lineRule="auto"/>
    </w:pPr>
  </w:style>
  <w:style w:type="paragraph" w:styleId="Paragraphedeliste">
    <w:name w:val="List Paragraph"/>
    <w:basedOn w:val="Normal"/>
    <w:uiPriority w:val="34"/>
    <w:qFormat/>
    <w:rsid w:val="004875EE"/>
    <w:pPr>
      <w:ind w:left="720"/>
      <w:contextualSpacing/>
    </w:pPr>
  </w:style>
  <w:style w:type="paragraph" w:styleId="Citation">
    <w:name w:val="Quote"/>
    <w:basedOn w:val="Normal"/>
    <w:next w:val="Normal"/>
    <w:link w:val="CitationCar"/>
    <w:uiPriority w:val="29"/>
    <w:qFormat/>
    <w:rsid w:val="004875EE"/>
    <w:rPr>
      <w:i/>
      <w:iCs/>
      <w:sz w:val="24"/>
      <w:szCs w:val="24"/>
    </w:rPr>
  </w:style>
  <w:style w:type="character" w:customStyle="1" w:styleId="CitationCar">
    <w:name w:val="Citation Car"/>
    <w:basedOn w:val="Policepardfaut"/>
    <w:link w:val="Citation"/>
    <w:uiPriority w:val="29"/>
    <w:rsid w:val="004875EE"/>
    <w:rPr>
      <w:i/>
      <w:iCs/>
      <w:sz w:val="24"/>
      <w:szCs w:val="24"/>
    </w:rPr>
  </w:style>
  <w:style w:type="paragraph" w:styleId="Citationintense">
    <w:name w:val="Intense Quote"/>
    <w:basedOn w:val="Normal"/>
    <w:next w:val="Normal"/>
    <w:link w:val="CitationintenseCar"/>
    <w:uiPriority w:val="30"/>
    <w:qFormat/>
    <w:rsid w:val="004875EE"/>
    <w:pPr>
      <w:spacing w:before="240" w:after="240" w:line="240" w:lineRule="auto"/>
      <w:ind w:left="1080" w:right="1080"/>
      <w:jc w:val="center"/>
    </w:pPr>
    <w:rPr>
      <w:color w:val="5B9BD5" w:themeColor="accent1"/>
      <w:sz w:val="24"/>
      <w:szCs w:val="24"/>
    </w:rPr>
  </w:style>
  <w:style w:type="character" w:customStyle="1" w:styleId="CitationintenseCar">
    <w:name w:val="Citation intense Car"/>
    <w:basedOn w:val="Policepardfaut"/>
    <w:link w:val="Citationintense"/>
    <w:uiPriority w:val="30"/>
    <w:rsid w:val="004875EE"/>
    <w:rPr>
      <w:color w:val="5B9BD5" w:themeColor="accent1"/>
      <w:sz w:val="24"/>
      <w:szCs w:val="24"/>
    </w:rPr>
  </w:style>
  <w:style w:type="character" w:styleId="Emphaseple">
    <w:name w:val="Subtle Emphasis"/>
    <w:uiPriority w:val="19"/>
    <w:qFormat/>
    <w:rsid w:val="004875EE"/>
    <w:rPr>
      <w:i/>
      <w:iCs/>
      <w:color w:val="1F4D78" w:themeColor="accent1" w:themeShade="7F"/>
    </w:rPr>
  </w:style>
  <w:style w:type="character" w:styleId="Emphaseintense">
    <w:name w:val="Intense Emphasis"/>
    <w:uiPriority w:val="21"/>
    <w:qFormat/>
    <w:rsid w:val="004875EE"/>
    <w:rPr>
      <w:b/>
      <w:bCs/>
      <w:caps/>
      <w:color w:val="1F4D78" w:themeColor="accent1" w:themeShade="7F"/>
      <w:spacing w:val="10"/>
    </w:rPr>
  </w:style>
  <w:style w:type="character" w:styleId="Rfrenceple">
    <w:name w:val="Subtle Reference"/>
    <w:uiPriority w:val="31"/>
    <w:qFormat/>
    <w:rsid w:val="004875EE"/>
    <w:rPr>
      <w:b/>
      <w:bCs/>
      <w:color w:val="5B9BD5" w:themeColor="accent1"/>
    </w:rPr>
  </w:style>
  <w:style w:type="character" w:styleId="Rfrenceintense">
    <w:name w:val="Intense Reference"/>
    <w:uiPriority w:val="32"/>
    <w:qFormat/>
    <w:rsid w:val="004875EE"/>
    <w:rPr>
      <w:b/>
      <w:bCs/>
      <w:i/>
      <w:iCs/>
      <w:caps/>
      <w:color w:val="5B9BD5" w:themeColor="accent1"/>
    </w:rPr>
  </w:style>
  <w:style w:type="character" w:styleId="Titredulivre">
    <w:name w:val="Book Title"/>
    <w:uiPriority w:val="33"/>
    <w:qFormat/>
    <w:rsid w:val="004875EE"/>
    <w:rPr>
      <w:b/>
      <w:bCs/>
      <w:i/>
      <w:iCs/>
      <w:spacing w:val="0"/>
    </w:rPr>
  </w:style>
  <w:style w:type="paragraph" w:styleId="En-ttedetabledesmatires">
    <w:name w:val="TOC Heading"/>
    <w:basedOn w:val="Titre1"/>
    <w:next w:val="Normal"/>
    <w:uiPriority w:val="39"/>
    <w:semiHidden/>
    <w:unhideWhenUsed/>
    <w:qFormat/>
    <w:rsid w:val="004875E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472</Words>
  <Characters>2602</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Murphy BOBONGO</dc:creator>
  <cp:keywords/>
  <dc:description/>
  <cp:lastModifiedBy>Murphy BOBONGO</cp:lastModifiedBy>
  <cp:revision>1</cp:revision>
  <dcterms:created xsi:type="dcterms:W3CDTF">2025-01-03T07:15:00Z</dcterms:created>
  <dcterms:modified xsi:type="dcterms:W3CDTF">2025-01-03T14:37:00Z</dcterms:modified>
</cp:coreProperties>
</file>