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M1.2 战略规划SP流程说明文件-V0.9</w:t>
      </w:r>
    </w:p>
    <w:p>
      <w:pPr>
        <w:spacing w:before="120" w:after="120" w:line="288" w:lineRule="auto"/>
        <w:ind w:left="0" w:firstLine="0"/>
        <w:jc w:val="left"/>
      </w:pPr>
      <w:r>
        <w:rPr>
          <w:rFonts w:eastAsia="等线" w:ascii="Arial" w:cs="Arial" w:hAnsi="Arial"/>
          <w:b w:val="true"/>
          <w:sz w:val="22"/>
        </w:rPr>
        <w:t>M1.2 战略规划SP流程说明文件-V0.9</w:t>
      </w:r>
    </w:p>
    <w:p>
      <w:pPr>
        <w:spacing w:before="120" w:after="120" w:line="288" w:lineRule="auto"/>
        <w:ind w:left="0" w:firstLine="0"/>
        <w:jc w:val="right"/>
      </w:pPr>
      <w:r>
        <w:rPr>
          <w:rFonts w:eastAsia="等线" w:ascii="Arial" w:cs="Arial" w:hAnsi="Arial"/>
          <w:sz w:val="22"/>
        </w:rPr>
        <w:t>密级：B</w:t>
      </w:r>
    </w:p>
    <w:p>
      <w:pPr>
        <w:spacing w:before="120" w:after="120" w:line="288" w:lineRule="auto"/>
        <w:ind w:left="0" w:firstLine="0"/>
        <w:jc w:val="left"/>
      </w:pPr>
    </w:p>
    <w:p>
      <w:pPr>
        <w:pStyle w:val="1"/>
        <w:spacing w:before="380" w:after="140" w:line="288" w:lineRule="auto"/>
        <w:ind w:left="0"/>
        <w:jc w:val="center"/>
        <w:outlineLvl w:val="0"/>
      </w:pPr>
      <w:bookmarkStart w:name="heading_0" w:id="0"/>
      <w:r>
        <w:rPr>
          <w:rFonts w:eastAsia="等线" w:ascii="Arial" w:cs="Arial" w:hAnsi="Arial"/>
          <w:b w:val="true"/>
          <w:sz w:val="36"/>
        </w:rPr>
        <w:t xml:space="preserve"> </w:t>
      </w:r>
      <w:bookmarkEnd w:id="0"/>
    </w:p>
    <w:p>
      <w:pPr>
        <w:pStyle w:val="1"/>
        <w:spacing w:before="380" w:after="140" w:line="288" w:lineRule="auto"/>
        <w:ind w:left="0"/>
        <w:jc w:val="center"/>
        <w:outlineLvl w:val="0"/>
      </w:pPr>
      <w:bookmarkStart w:name="heading_1" w:id="1"/>
      <w:r>
        <w:rPr>
          <w:rFonts w:eastAsia="等线" w:ascii="Arial" w:cs="Arial" w:hAnsi="Arial"/>
          <w:b w:val="true"/>
          <w:sz w:val="36"/>
        </w:rPr>
        <w:t xml:space="preserve"> </w:t>
      </w:r>
      <w:bookmarkEnd w:id="1"/>
    </w:p>
    <w:p>
      <w:pPr>
        <w:pStyle w:val="1"/>
        <w:spacing w:before="380" w:after="140" w:line="288" w:lineRule="auto"/>
        <w:ind w:left="0"/>
        <w:jc w:val="center"/>
        <w:outlineLvl w:val="0"/>
      </w:pPr>
      <w:bookmarkStart w:name="heading_2" w:id="2"/>
      <w:r>
        <w:rPr>
          <w:rFonts w:eastAsia="等线" w:ascii="Arial" w:cs="Arial" w:hAnsi="Arial"/>
          <w:b w:val="true"/>
          <w:sz w:val="36"/>
        </w:rPr>
        <w:t>M1.2 战略规划SP流程</w:t>
      </w:r>
      <w:bookmarkEnd w:id="2"/>
    </w:p>
    <w:p>
      <w:pPr>
        <w:spacing w:before="120" w:after="120" w:line="288" w:lineRule="auto"/>
        <w:ind w:left="0" w:firstLine="0"/>
        <w:jc w:val="left"/>
      </w:pPr>
    </w:p>
    <w:p>
      <w:pPr>
        <w:pStyle w:val="1"/>
        <w:spacing w:before="380" w:after="140" w:line="288" w:lineRule="auto"/>
        <w:ind w:left="0"/>
        <w:jc w:val="center"/>
        <w:outlineLvl w:val="0"/>
      </w:pPr>
      <w:bookmarkStart w:name="heading_3" w:id="3"/>
      <w:r>
        <w:rPr>
          <w:rFonts w:eastAsia="等线" w:ascii="Arial" w:cs="Arial" w:hAnsi="Arial"/>
          <w:b w:val="true"/>
          <w:sz w:val="36"/>
        </w:rPr>
        <w:t xml:space="preserve"> </w:t>
      </w:r>
      <w:bookmarkEnd w:id="3"/>
    </w:p>
    <w:p>
      <w:pPr>
        <w:spacing w:before="120" w:after="120" w:line="288" w:lineRule="auto"/>
        <w:ind w:left="0" w:firstLine="0"/>
        <w:jc w:val="center"/>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1455"/>
        <w:gridCol w:w="1455"/>
        <w:gridCol w:w="1350"/>
        <w:gridCol w:w="1350"/>
        <w:gridCol w:w="1215"/>
      </w:tblGrid>
      <w:tr>
        <w:tc>
          <w:tcPr>
            <w:tcW w:w="57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文件名称：M1.2战略规划SP流程说明文件-V0.9</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文件编号：MTCV-DSTE-M1.2-P-战略规划SP流程-V0.9</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256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生效日期：2025/3/15</w:t>
            </w: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PO：黄镇</w:t>
            </w:r>
          </w:p>
        </w:tc>
        <w:tc>
          <w:tcPr>
            <w:tcW w:w="56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PO：黄镇</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391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流程组团队成员：黄赞、陈秋植</w:t>
            </w:r>
          </w:p>
        </w:tc>
        <w:tc>
          <w:tcPr>
            <w:tcW w:w="1350" w:type="dxa"/>
            <w:hMerge w:val="continue"/>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 改   记 录</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生效日期</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更改内容</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V0.9</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w:t>
            </w:r>
            <w:r>
              <w:rPr>
                <w:rFonts w:eastAsia="等线" w:ascii="Arial" w:cs="Arial" w:hAnsi="Arial"/>
                <w:b w:val="true"/>
                <w:sz w:val="22"/>
              </w:rPr>
              <w:t>黄镇</w:t>
            </w:r>
          </w:p>
          <w:p>
            <w:pPr>
              <w:spacing w:before="120" w:after="120" w:line="288" w:lineRule="auto"/>
              <w:ind w:left="0"/>
              <w:jc w:val="left"/>
            </w:pPr>
            <w:r>
              <w:rPr>
                <w:rFonts w:eastAsia="等线" w:ascii="Arial" w:cs="Arial" w:hAnsi="Arial"/>
                <w:sz w:val="22"/>
              </w:rPr>
              <w:t>流程PC：隋媛</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黄镇</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2024-3-15</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首次发布</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4" w:id="4"/>
      <w:r>
        <w:rPr>
          <w:rFonts w:eastAsia="等线" w:ascii="Arial" w:cs="Arial" w:hAnsi="Arial"/>
          <w:b w:val="true"/>
          <w:color w:val="245bdb"/>
          <w:sz w:val="36"/>
        </w:rPr>
        <w:t xml:space="preserve">1. </w:t>
      </w:r>
      <w:r>
        <w:rPr>
          <w:rFonts w:eastAsia="等线" w:ascii="Arial" w:cs="Arial" w:hAnsi="Arial"/>
          <w:b w:val="true"/>
          <w:sz w:val="36"/>
        </w:rPr>
        <w:t>目的</w:t>
      </w:r>
      <w:bookmarkEnd w:id="4"/>
    </w:p>
    <w:p>
      <w:pPr>
        <w:spacing w:before="120" w:after="120" w:line="288" w:lineRule="auto"/>
        <w:ind w:left="0" w:firstLine="0"/>
        <w:jc w:val="left"/>
      </w:pPr>
      <w:r>
        <w:rPr>
          <w:rFonts w:eastAsia="等线" w:ascii="Arial" w:cs="Arial" w:hAnsi="Arial"/>
          <w:sz w:val="22"/>
        </w:rPr>
        <w:t>为了系统化、规范化地制定和实施组织的战略目标，通过建设科学、系统化的战略规划流程，使得组织能够更好地应对复杂多变的环境，实现资源的高效利用，推动目标的达成和可持续发展。</w:t>
      </w:r>
    </w:p>
    <w:p>
      <w:pPr>
        <w:pStyle w:val="1"/>
        <w:spacing w:before="380" w:after="140" w:line="288" w:lineRule="auto"/>
        <w:ind w:left="0"/>
        <w:jc w:val="left"/>
        <w:outlineLvl w:val="0"/>
      </w:pPr>
      <w:bookmarkStart w:name="heading_5" w:id="5"/>
      <w:r>
        <w:rPr>
          <w:rFonts w:eastAsia="等线" w:ascii="Arial" w:cs="Arial" w:hAnsi="Arial"/>
          <w:b w:val="true"/>
          <w:color w:val="245bdb"/>
          <w:sz w:val="36"/>
        </w:rPr>
        <w:t xml:space="preserve">2. </w:t>
      </w:r>
      <w:r>
        <w:rPr>
          <w:rFonts w:eastAsia="等线" w:ascii="Arial" w:cs="Arial" w:hAnsi="Arial"/>
          <w:b w:val="true"/>
          <w:sz w:val="36"/>
        </w:rPr>
        <w:t>适用范围</w:t>
      </w:r>
      <w:bookmarkEnd w:id="5"/>
    </w:p>
    <w:p>
      <w:pPr>
        <w:spacing w:before="120" w:after="120" w:line="288" w:lineRule="auto"/>
        <w:ind w:left="0" w:firstLine="0"/>
        <w:jc w:val="left"/>
      </w:pPr>
      <w:r>
        <w:rPr>
          <w:rFonts w:eastAsia="等线" w:ascii="Arial" w:cs="Arial" w:hAnsi="Arial"/>
          <w:sz w:val="22"/>
        </w:rPr>
        <w:t>本流程适用于 EBG 所有BG及BU的战略规划场景。</w:t>
      </w:r>
    </w:p>
    <w:p>
      <w:pPr>
        <w:pStyle w:val="1"/>
        <w:spacing w:before="380" w:after="140" w:line="288" w:lineRule="auto"/>
        <w:ind w:left="0"/>
        <w:jc w:val="left"/>
        <w:outlineLvl w:val="0"/>
      </w:pPr>
      <w:bookmarkStart w:name="heading_6" w:id="6"/>
      <w:r>
        <w:rPr>
          <w:rFonts w:eastAsia="等线" w:ascii="Arial" w:cs="Arial" w:hAnsi="Arial"/>
          <w:b w:val="true"/>
          <w:color w:val="245bdb"/>
          <w:sz w:val="36"/>
        </w:rPr>
        <w:t xml:space="preserve">3. </w:t>
      </w:r>
      <w:r>
        <w:rPr>
          <w:rFonts w:eastAsia="等线" w:ascii="Arial" w:cs="Arial" w:hAnsi="Arial"/>
          <w:b w:val="true"/>
          <w:sz w:val="36"/>
        </w:rPr>
        <w:t>名词解释</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1215"/>
        <w:gridCol w:w="6105"/>
      </w:tblGrid>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名词</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英文</w:t>
            </w:r>
          </w:p>
        </w:tc>
        <w:tc>
          <w:tcPr>
            <w:tcW w:w="61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解释</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战略复盘</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6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文中的战略复盘指的是：收集实际的市场结果和业务进展情况，将战略执行反馈和目标对比，感知现状和期望业绩的差距，进行根因分析和找出针对性对策，并加以持续改进。</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战略规划</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SP：Strategy Plan</w:t>
            </w:r>
          </w:p>
        </w:tc>
        <w:tc>
          <w:tcPr>
            <w:tcW w:w="6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是企业战略管理的组成部分之一，指基于战略机会点针对长远的发展作出的规划，指代三到五年的长期业务规划。旨在培养企业管理者的战略思维和帮助公司建立稳定发展的业务等。</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三层面</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6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为H1/H2/H3，H1业务处于企业心脏位置，为企业带来大部分利润和现金流，与近期业绩关系重大；H2业务是正在崛起中的业务，带有快速发展和创业性的特质；H3业务是未来更长远业务的种子，处于胚胎状态，但不同于“想法”，H3业务是实实在在项目和投资。</w:t>
            </w:r>
          </w:p>
        </w:tc>
      </w:tr>
    </w:tbl>
    <w:p>
      <w:pPr>
        <w:pStyle w:val="1"/>
        <w:spacing w:before="380" w:after="140" w:line="288" w:lineRule="auto"/>
        <w:ind w:left="0"/>
        <w:jc w:val="left"/>
        <w:outlineLvl w:val="0"/>
      </w:pPr>
      <w:bookmarkStart w:name="heading_7" w:id="7"/>
      <w:r>
        <w:rPr>
          <w:rFonts w:eastAsia="等线" w:ascii="Arial" w:cs="Arial" w:hAnsi="Arial"/>
          <w:b w:val="true"/>
          <w:color w:val="245bdb"/>
          <w:sz w:val="36"/>
        </w:rPr>
        <w:t xml:space="preserve">4. </w:t>
      </w:r>
      <w:r>
        <w:rPr>
          <w:rFonts w:eastAsia="等线" w:ascii="Arial" w:cs="Arial" w:hAnsi="Arial"/>
          <w:b w:val="true"/>
          <w:sz w:val="36"/>
        </w:rPr>
        <w:t>职责分工</w:t>
      </w:r>
      <w:bookmarkEnd w:id="7"/>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1350"/>
        <w:gridCol w:w="4755"/>
      </w:tblGrid>
      <w:tr>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角色</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岗位描述</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w:t>
            </w:r>
          </w:p>
        </w:tc>
      </w:tr>
      <w:tr>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BU战略规划负责人</w:t>
            </w:r>
          </w:p>
        </w:tc>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各产品和系统BU总经理、营销经理、产品规划经理等</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1、根据战略规划流程指引输出的SP报告，并向相关业务合作部门、评审委员会进行汇报；</w:t>
            </w:r>
          </w:p>
          <w:p>
            <w:pPr>
              <w:spacing w:before="120" w:after="120" w:line="288" w:lineRule="auto"/>
              <w:ind w:left="0"/>
              <w:jc w:val="left"/>
            </w:pPr>
            <w:r>
              <w:rPr>
                <w:rFonts w:eastAsia="等线" w:ascii="Arial" w:cs="Arial" w:hAnsi="Arial"/>
                <w:sz w:val="22"/>
              </w:rPr>
              <w:t>2、根据相关业务合作部门反馈意见进行答复，根据评审委员会评审意见进行修订；</w:t>
            </w:r>
          </w:p>
        </w:tc>
      </w:tr>
      <w:tr>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BG战略规划负责人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BG总、副总，BG战略部负责人等</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根据战略复盘和战略洞察，制定战略意图并对战略机会进行选择，制定未来中长期的业务布局。</w:t>
            </w:r>
          </w:p>
        </w:tc>
      </w:tr>
      <w:tr>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EBG执委会</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BG总、副总，总经理助理等</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针对目标SP报告进行评审，如果战略机会点清晰，未来三年业务布局匹配战略机会和BG战略规划，则通过。</w:t>
            </w:r>
          </w:p>
        </w:tc>
      </w:tr>
      <w:tr>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公司执委会</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公司总经理，副总经理等</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对EBG的战略复盘及战略规划进行评审。</w:t>
            </w:r>
          </w:p>
        </w:tc>
      </w:tr>
      <w:tr>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战略部负责人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战略部经理</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组织EBG的DSTE全流程。</w:t>
            </w:r>
          </w:p>
        </w:tc>
      </w:tr>
    </w:tbl>
    <w:p>
      <w:pPr>
        <w:spacing w:before="120" w:after="120" w:line="288" w:lineRule="auto"/>
        <w:ind w:left="0" w:firstLine="0"/>
        <w:jc w:val="left"/>
      </w:pPr>
    </w:p>
    <w:p>
      <w:pPr>
        <w:pStyle w:val="1"/>
        <w:spacing w:before="380" w:after="140" w:line="288" w:lineRule="auto"/>
        <w:ind w:left="0"/>
        <w:jc w:val="left"/>
        <w:outlineLvl w:val="0"/>
      </w:pPr>
      <w:bookmarkStart w:name="heading_8" w:id="8"/>
      <w:r>
        <w:rPr>
          <w:rFonts w:eastAsia="等线" w:ascii="Arial" w:cs="Arial" w:hAnsi="Arial"/>
          <w:b w:val="true"/>
          <w:color w:val="245bdb"/>
          <w:sz w:val="36"/>
        </w:rPr>
        <w:t xml:space="preserve">5. </w:t>
      </w:r>
      <w:r>
        <w:rPr>
          <w:rFonts w:eastAsia="等线" w:ascii="Arial" w:cs="Arial" w:hAnsi="Arial"/>
          <w:b w:val="true"/>
          <w:sz w:val="36"/>
        </w:rPr>
        <w:t>流程文件说明</w:t>
      </w:r>
      <w:bookmarkEnd w:id="8"/>
    </w:p>
    <w:p>
      <w:pPr>
        <w:pStyle w:val="2"/>
        <w:spacing w:before="320" w:after="120" w:line="288" w:lineRule="auto"/>
        <w:ind w:left="0"/>
        <w:jc w:val="left"/>
        <w:outlineLvl w:val="1"/>
      </w:pPr>
      <w:bookmarkStart w:name="heading_9" w:id="9"/>
      <w:r>
        <w:rPr>
          <w:rFonts w:eastAsia="等线" w:ascii="Arial" w:cs="Arial" w:hAnsi="Arial"/>
          <w:b w:val="true"/>
          <w:color w:val="245bdb"/>
          <w:sz w:val="32"/>
        </w:rPr>
        <w:t xml:space="preserve">5.1 </w:t>
      </w:r>
      <w:r>
        <w:rPr>
          <w:rFonts w:eastAsia="等线" w:ascii="Arial" w:cs="Arial" w:hAnsi="Arial"/>
          <w:b w:val="true"/>
          <w:sz w:val="32"/>
        </w:rPr>
        <w:t xml:space="preserve">流程卡 </w:t>
      </w:r>
      <w:bookmarkEnd w:id="9"/>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0" w:id="10"/>
      <w:r>
        <w:rPr>
          <w:rFonts w:eastAsia="等线" w:ascii="Arial" w:cs="Arial" w:hAnsi="Arial"/>
          <w:b w:val="true"/>
          <w:color w:val="245bdb"/>
          <w:sz w:val="32"/>
        </w:rPr>
        <w:t xml:space="preserve">5.2 </w:t>
      </w:r>
      <w:r>
        <w:rPr>
          <w:rFonts w:eastAsia="等线" w:ascii="Arial" w:cs="Arial" w:hAnsi="Arial"/>
          <w:b w:val="true"/>
          <w:sz w:val="32"/>
        </w:rPr>
        <w:t>流程图</w:t>
      </w:r>
      <w:bookmarkEnd w:id="10"/>
    </w:p>
    <w:p>
      <w:pPr>
        <w:pStyle w:val="3"/>
        <w:spacing w:before="300" w:after="120" w:line="288" w:lineRule="auto"/>
        <w:ind w:left="0"/>
        <w:jc w:val="left"/>
        <w:outlineLvl w:val="2"/>
      </w:pPr>
      <w:bookmarkStart w:name="heading_11" w:id="11"/>
      <w:r>
        <w:rPr>
          <w:rFonts w:eastAsia="等线" w:ascii="Arial" w:cs="Arial" w:hAnsi="Arial"/>
          <w:b w:val="true"/>
          <w:color w:val="245bdb"/>
          <w:sz w:val="30"/>
        </w:rPr>
        <w:t xml:space="preserve">5.2.1 </w:t>
      </w:r>
      <w:r>
        <w:rPr>
          <w:rFonts w:eastAsia="等线" w:ascii="Arial" w:cs="Arial" w:hAnsi="Arial"/>
          <w:b w:val="true"/>
          <w:sz w:val="30"/>
        </w:rPr>
        <w:t>L2流程框架（键盘图）</w:t>
      </w:r>
      <w:bookmarkEnd w:id="11"/>
    </w:p>
    <w:p>
      <w:pPr>
        <w:spacing w:before="120" w:after="120" w:line="288" w:lineRule="auto"/>
        <w:ind w:left="0" w:firstLine="420"/>
        <w:jc w:val="left"/>
      </w:pPr>
      <w:r>
        <w:rPr>
          <w:rFonts w:eastAsia="等线" w:ascii="Arial" w:cs="Arial" w:hAnsi="Arial"/>
          <w:b w:val="true"/>
          <w:sz w:val="22"/>
        </w:rPr>
        <w:t>1、L2流程键盘图</w:t>
      </w:r>
    </w:p>
    <w:p>
      <w:pPr>
        <w:spacing w:before="120" w:after="120" w:line="288" w:lineRule="auto"/>
        <w:ind w:left="0"/>
        <w:jc w:val="center"/>
      </w:pPr>
      <w:r>
        <w:drawing>
          <wp:inline distT="0" distR="0" distB="0" distL="0">
            <wp:extent cx="5257800" cy="2466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466975"/>
                    </a:xfrm>
                    <a:prstGeom prst="rect">
                      <a:avLst/>
                    </a:prstGeom>
                  </pic:spPr>
                </pic:pic>
              </a:graphicData>
            </a:graphic>
          </wp:inline>
        </w:drawing>
      </w:r>
    </w:p>
    <w:p>
      <w:pPr>
        <w:spacing w:before="120" w:after="120" w:line="288" w:lineRule="auto"/>
        <w:ind w:left="0" w:firstLine="420"/>
        <w:jc w:val="left"/>
      </w:pPr>
    </w:p>
    <w:p>
      <w:pPr>
        <w:spacing w:before="120" w:after="120" w:line="288" w:lineRule="auto"/>
        <w:ind w:left="0" w:firstLine="420"/>
        <w:jc w:val="left"/>
      </w:pPr>
    </w:p>
    <w:p>
      <w:pPr>
        <w:pStyle w:val="3"/>
        <w:spacing w:before="300" w:after="120" w:line="288" w:lineRule="auto"/>
        <w:ind w:left="0"/>
        <w:jc w:val="left"/>
        <w:outlineLvl w:val="2"/>
      </w:pPr>
      <w:bookmarkStart w:name="heading_12" w:id="12"/>
      <w:r>
        <w:rPr>
          <w:rFonts w:eastAsia="等线" w:ascii="Arial" w:cs="Arial" w:hAnsi="Arial"/>
          <w:b w:val="true"/>
          <w:color w:val="245bdb"/>
          <w:sz w:val="30"/>
        </w:rPr>
        <w:t xml:space="preserve">5.2.2 </w:t>
      </w:r>
      <w:r>
        <w:rPr>
          <w:rFonts w:eastAsia="等线" w:ascii="Arial" w:cs="Arial" w:hAnsi="Arial"/>
          <w:b w:val="true"/>
          <w:sz w:val="30"/>
        </w:rPr>
        <w:t>L2流程示意图</w:t>
      </w:r>
      <w:bookmarkEnd w:id="12"/>
    </w:p>
    <w:p>
      <w:pPr>
        <w:spacing w:before="120" w:after="120" w:line="288" w:lineRule="auto"/>
        <w:ind w:left="0"/>
        <w:jc w:val="center"/>
      </w:pPr>
      <w:r>
        <w:drawing>
          <wp:inline distT="0" distR="0" distB="0" distL="0">
            <wp:extent cx="5257800" cy="22098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209800"/>
                    </a:xfrm>
                    <a:prstGeom prst="rect">
                      <a:avLst/>
                    </a:prstGeom>
                  </pic:spPr>
                </pic:pic>
              </a:graphicData>
            </a:graphic>
          </wp:inline>
        </w:drawing>
      </w:r>
    </w:p>
    <w:p>
      <w:pPr>
        <w:pStyle w:val="3"/>
        <w:spacing w:before="300" w:after="120" w:line="288" w:lineRule="auto"/>
        <w:ind w:left="0"/>
        <w:jc w:val="left"/>
        <w:outlineLvl w:val="2"/>
      </w:pPr>
      <w:bookmarkStart w:name="heading_13" w:id="13"/>
      <w:r>
        <w:rPr>
          <w:rFonts w:eastAsia="等线" w:ascii="Arial" w:cs="Arial" w:hAnsi="Arial"/>
          <w:b w:val="true"/>
          <w:color w:val="245bdb"/>
          <w:sz w:val="30"/>
        </w:rPr>
        <w:t xml:space="preserve">5.2.3 </w:t>
      </w:r>
      <w:r>
        <w:rPr>
          <w:rFonts w:eastAsia="等线" w:ascii="Arial" w:cs="Arial" w:hAnsi="Arial"/>
          <w:b w:val="true"/>
          <w:sz w:val="30"/>
        </w:rPr>
        <w:t>L3示意图</w:t>
      </w:r>
      <w:bookmarkEnd w:id="13"/>
    </w:p>
    <w:p>
      <w:pPr>
        <w:spacing w:before="120" w:after="120" w:line="288" w:lineRule="auto"/>
        <w:ind w:left="0"/>
        <w:jc w:val="center"/>
      </w:pPr>
      <w:r>
        <w:drawing>
          <wp:inline distT="0" distR="0" distB="0" distL="0">
            <wp:extent cx="5257800" cy="23145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314575"/>
                    </a:xfrm>
                    <a:prstGeom prst="rect">
                      <a:avLst/>
                    </a:prstGeom>
                  </pic:spPr>
                </pic:pic>
              </a:graphicData>
            </a:graphic>
          </wp:inline>
        </w:drawing>
      </w:r>
    </w:p>
    <w:p>
      <w:pPr>
        <w:pStyle w:val="3"/>
        <w:spacing w:before="300" w:after="120" w:line="288" w:lineRule="auto"/>
        <w:ind w:left="0"/>
        <w:jc w:val="left"/>
        <w:outlineLvl w:val="2"/>
      </w:pPr>
      <w:bookmarkStart w:name="heading_14" w:id="14"/>
      <w:r>
        <w:rPr>
          <w:rFonts w:eastAsia="等线" w:ascii="Arial" w:cs="Arial" w:hAnsi="Arial"/>
          <w:b w:val="true"/>
          <w:color w:val="245bdb"/>
          <w:sz w:val="30"/>
        </w:rPr>
        <w:t xml:space="preserve">5.2.4 </w:t>
      </w:r>
      <w:r>
        <w:rPr>
          <w:rFonts w:eastAsia="等线" w:ascii="Arial" w:cs="Arial" w:hAnsi="Arial"/>
          <w:b w:val="true"/>
          <w:sz w:val="30"/>
        </w:rPr>
        <w:t>L3流程图</w:t>
      </w:r>
      <w:bookmarkEnd w:id="14"/>
    </w:p>
    <w:p>
      <w:pPr>
        <w:spacing w:before="120" w:after="120" w:line="288" w:lineRule="auto"/>
        <w:ind w:left="0"/>
        <w:jc w:val="center"/>
      </w:pPr>
      <w:r>
        <w:drawing>
          <wp:inline distT="0" distR="0" distB="0" distL="0">
            <wp:extent cx="5257800" cy="12573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1257300"/>
                    </a:xfrm>
                    <a:prstGeom prst="rect">
                      <a:avLst/>
                    </a:prstGeom>
                  </pic:spPr>
                </pic:pic>
              </a:graphicData>
            </a:graphic>
          </wp:inline>
        </w:drawing>
      </w:r>
    </w:p>
    <w:p>
      <w:pPr>
        <w:pStyle w:val="2"/>
        <w:spacing w:before="320" w:after="120" w:line="288" w:lineRule="auto"/>
        <w:ind w:left="0"/>
        <w:jc w:val="left"/>
        <w:outlineLvl w:val="1"/>
      </w:pPr>
      <w:bookmarkStart w:name="heading_15" w:id="15"/>
      <w:r>
        <w:rPr>
          <w:rFonts w:eastAsia="等线" w:ascii="Arial" w:cs="Arial" w:hAnsi="Arial"/>
          <w:b w:val="true"/>
          <w:color w:val="245bdb"/>
          <w:sz w:val="32"/>
        </w:rPr>
        <w:t xml:space="preserve">5.3 </w:t>
      </w:r>
      <w:r>
        <w:rPr>
          <w:rFonts w:eastAsia="等线" w:ascii="Arial" w:cs="Arial" w:hAnsi="Arial"/>
          <w:b w:val="true"/>
          <w:sz w:val="32"/>
        </w:rPr>
        <w:t>流程活动说明</w:t>
      </w:r>
      <w:bookmarkEnd w:id="15"/>
    </w:p>
    <w:p>
      <w:pPr>
        <w:pStyle w:val="3"/>
        <w:spacing w:before="300" w:after="120" w:line="288" w:lineRule="auto"/>
        <w:ind w:left="0"/>
        <w:jc w:val="left"/>
        <w:outlineLvl w:val="2"/>
      </w:pPr>
      <w:bookmarkStart w:name="heading_16" w:id="16"/>
      <w:r>
        <w:rPr>
          <w:rFonts w:eastAsia="等线" w:ascii="Arial" w:cs="Arial" w:hAnsi="Arial"/>
          <w:b w:val="true"/>
          <w:color w:val="245bdb"/>
          <w:sz w:val="30"/>
        </w:rPr>
        <w:t xml:space="preserve">5.3.1 </w:t>
      </w:r>
      <w:r>
        <w:rPr>
          <w:rFonts w:eastAsia="等线" w:ascii="Arial" w:cs="Arial" w:hAnsi="Arial"/>
          <w:b w:val="true"/>
          <w:sz w:val="30"/>
        </w:rPr>
        <w:t>流程活动说明</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5"/>
        <w:gridCol w:w="405"/>
        <w:gridCol w:w="330"/>
        <w:gridCol w:w="1485"/>
        <w:gridCol w:w="345"/>
        <w:gridCol w:w="615"/>
        <w:gridCol w:w="1035"/>
        <w:gridCol w:w="540"/>
        <w:gridCol w:w="825"/>
        <w:gridCol w:w="840"/>
        <w:gridCol w:w="405"/>
        <w:gridCol w:w="720"/>
        <w:gridCol w:w="480"/>
      </w:tblGrid>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编号</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执行角色/岗位</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流程活动说明</w:t>
            </w:r>
          </w:p>
        </w:tc>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是否是KCP/KDP</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输入标准</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输出标准</w:t>
            </w:r>
          </w:p>
          <w:p>
            <w:pPr>
              <w:spacing w:before="120" w:after="120" w:line="288" w:lineRule="auto"/>
              <w:ind w:left="0"/>
              <w:jc w:val="left"/>
            </w:pPr>
            <w:r>
              <w:rPr>
                <w:rFonts w:eastAsia="等线" w:ascii="Arial" w:cs="Arial" w:hAnsi="Arial"/>
                <w:sz w:val="22"/>
              </w:rPr>
              <w:t>（良品条件）</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业务变化点说明（与之前的主要变化点）</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工作模板</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4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复盘信息搜集</w:t>
            </w:r>
          </w:p>
        </w:tc>
        <w:tc>
          <w:tcPr>
            <w:tcW w:w="3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战略部负责人，各BU战略规划负责人，</w:t>
            </w:r>
          </w:p>
          <w:p>
            <w:pPr>
              <w:spacing w:before="120" w:after="120" w:line="288" w:lineRule="auto"/>
              <w:ind w:left="0"/>
              <w:jc w:val="left"/>
            </w:pPr>
            <w:r>
              <w:rPr>
                <w:rFonts w:eastAsia="等线" w:ascii="Arial" w:cs="Arial" w:hAnsi="Arial"/>
                <w:sz w:val="22"/>
              </w:rPr>
              <w:t>BG战略规划负责人</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1、收集用于战略复盘的齐套材料：上年SP/BP，战略解码细节，三年经营数据，产品研发进度，战略主题完成情况，关键任务完成情况，竞争分析报告等。</w:t>
            </w:r>
          </w:p>
          <w:p>
            <w:pPr>
              <w:spacing w:before="120" w:after="120" w:line="288" w:lineRule="auto"/>
              <w:ind w:left="0"/>
              <w:jc w:val="left"/>
            </w:pPr>
            <w:r>
              <w:rPr>
                <w:rFonts w:eastAsia="等线" w:ascii="Arial" w:cs="Arial" w:hAnsi="Arial"/>
                <w:sz w:val="22"/>
              </w:rPr>
              <w:t>2、按照BG和BU两个维度分别整理和分类。</w:t>
            </w:r>
          </w:p>
        </w:tc>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战略复盘资料需求</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包含上年SP/BP，战略解码细节，三年经营数据，产品研发进度，战略主题完成情况，关键任务完成情况，竞争分析报告等。</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战略复盘资料包</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资料包内，上年SP/BP，战略解码细节，三年经营数据，产品研发进度，战略主题完成情况，关键任务完成情况，竞争分析报告等均按照公司要求完成。</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2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4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下发模板和评审要素</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战略部负责人</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1、战略部下发模板，BG及各BU战略负责人领取复盘目标和要求</w:t>
            </w:r>
          </w:p>
          <w:p>
            <w:pPr>
              <w:spacing w:before="120" w:after="120" w:line="288" w:lineRule="auto"/>
              <w:ind w:left="0"/>
              <w:jc w:val="left"/>
            </w:pPr>
            <w:r>
              <w:rPr>
                <w:rFonts w:eastAsia="等线" w:ascii="Arial" w:cs="Arial" w:hAnsi="Arial"/>
                <w:sz w:val="22"/>
              </w:rPr>
              <w:t>2、明确复盘任务截止日期</w:t>
            </w:r>
          </w:p>
          <w:p>
            <w:pPr>
              <w:spacing w:before="120" w:after="120" w:line="288" w:lineRule="auto"/>
              <w:ind w:left="0"/>
              <w:jc w:val="left"/>
            </w:pPr>
            <w:r>
              <w:rPr>
                <w:rFonts w:eastAsia="等线" w:ascii="Arial" w:cs="Arial" w:hAnsi="Arial"/>
                <w:sz w:val="22"/>
              </w:rPr>
              <w:t>3、制定复盘计划，明确关键里程碑点</w:t>
            </w:r>
          </w:p>
          <w:p>
            <w:pPr>
              <w:spacing w:before="120" w:after="120" w:line="288" w:lineRule="auto"/>
              <w:ind w:left="0"/>
              <w:jc w:val="left"/>
            </w:pPr>
            <w:r>
              <w:rPr>
                <w:rFonts w:eastAsia="等线" w:ascii="Arial" w:cs="Arial" w:hAnsi="Arial"/>
                <w:sz w:val="22"/>
              </w:rPr>
              <w:t>4、明确组员任务分工、以及合作模式</w:t>
            </w:r>
          </w:p>
          <w:p>
            <w:pPr>
              <w:spacing w:before="120" w:after="120" w:line="288" w:lineRule="auto"/>
              <w:ind w:left="0"/>
              <w:jc w:val="left"/>
            </w:pPr>
            <w:r>
              <w:rPr>
                <w:rFonts w:eastAsia="等线" w:ascii="Arial" w:cs="Arial" w:hAnsi="Arial"/>
                <w:sz w:val="22"/>
              </w:rPr>
              <w:t>5、组织BG/BU对信息的齐备情况进行验证和评审，确保能够支撑战略复盘的开展。</w:t>
            </w:r>
          </w:p>
        </w:tc>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战略复盘资料包</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资料包内，上年SP/BP，战略解码细节，三年经营数据，产品研发进度，战略主题完成情况，关键任务完成情况，竞争分析报告等均按照公司要求完成。</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复盘计划；</w:t>
            </w:r>
          </w:p>
          <w:p>
            <w:pPr>
              <w:spacing w:before="120" w:after="120" w:line="288" w:lineRule="auto"/>
              <w:ind w:left="0"/>
              <w:jc w:val="center"/>
            </w:pPr>
            <w:r>
              <w:rPr>
                <w:rFonts w:eastAsia="等线" w:ascii="Arial" w:cs="Arial" w:hAnsi="Arial"/>
                <w:sz w:val="22"/>
              </w:rPr>
              <w:t>任务分工</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复盘计划内要明确关键里程碑；</w:t>
            </w:r>
          </w:p>
          <w:p>
            <w:pPr>
              <w:spacing w:before="120" w:after="120" w:line="288" w:lineRule="auto"/>
              <w:ind w:left="0"/>
              <w:jc w:val="left"/>
            </w:pPr>
            <w:r>
              <w:rPr>
                <w:rFonts w:eastAsia="等线" w:ascii="Arial" w:cs="Arial" w:hAnsi="Arial"/>
                <w:sz w:val="22"/>
              </w:rPr>
              <w:t>任务分工清晰，协同部分的合作模式清晰。</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2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hyperlink r:id="rId8">
              <w:r>
                <w:rPr>
                  <w:rFonts w:eastAsia="等线" w:ascii="Arial" w:cs="Arial" w:hAnsi="Arial"/>
                  <w:color w:val="3370ff"/>
                  <w:sz w:val="22"/>
                </w:rPr>
                <w:t>20240815 战略复盘模板 要求定稿9.13</w:t>
              </w:r>
            </w:hyperlink>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4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经营目标复盘</w:t>
            </w:r>
          </w:p>
          <w:p>
            <w:pPr>
              <w:spacing w:before="120" w:after="120" w:line="288" w:lineRule="auto"/>
              <w:ind w:left="0"/>
              <w:jc w:val="center"/>
            </w:pPr>
            <w:r>
              <w:rPr>
                <w:rFonts w:eastAsia="等线" w:ascii="Arial" w:cs="Arial" w:hAnsi="Arial"/>
                <w:sz w:val="22"/>
              </w:rPr>
              <w:t>（BG/BU）</w:t>
            </w:r>
          </w:p>
        </w:tc>
        <w:tc>
          <w:tcPr>
            <w:tcW w:w="33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各BU战略规划负责人，</w:t>
            </w:r>
          </w:p>
          <w:p>
            <w:pPr>
              <w:spacing w:before="120" w:after="120" w:line="288" w:lineRule="auto"/>
              <w:ind w:left="0"/>
              <w:jc w:val="left"/>
            </w:pPr>
            <w:r>
              <w:rPr>
                <w:rFonts w:eastAsia="等线" w:ascii="Arial" w:cs="Arial" w:hAnsi="Arial"/>
                <w:sz w:val="22"/>
              </w:rPr>
              <w:t>BG战略规划负责人</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1、战略部负责人进行组织和把关。</w:t>
            </w:r>
          </w:p>
          <w:p>
            <w:pPr>
              <w:spacing w:before="120" w:after="120" w:line="288" w:lineRule="auto"/>
              <w:ind w:left="0"/>
              <w:jc w:val="left"/>
            </w:pPr>
            <w:r>
              <w:rPr>
                <w:rFonts w:eastAsia="等线" w:ascii="Arial" w:cs="Arial" w:hAnsi="Arial"/>
                <w:sz w:val="22"/>
              </w:rPr>
              <w:t>2、各BU和BG战略规划负责人，基于BG/BU层面的复盘目标，就达成的经营目标进行分析复盘，识别差距和不足，进行根因分析，给出持续改进的对策和建议。</w:t>
            </w:r>
          </w:p>
        </w:tc>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否</w:t>
            </w:r>
          </w:p>
        </w:tc>
        <w:tc>
          <w:tcPr>
            <w:tcW w:w="6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萃取后的高质量信息</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三年经营数据</w:t>
            </w:r>
          </w:p>
        </w:tc>
        <w:tc>
          <w:tcPr>
            <w:tcW w:w="54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识别出的差距根因，剖析后的对策和建议</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目标完成情况清晰、原因分析透彻、经验教训明确、改进措施具体。</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2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4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产研项目复盘</w:t>
            </w:r>
          </w:p>
          <w:p>
            <w:pPr>
              <w:spacing w:before="120" w:after="120" w:line="288" w:lineRule="auto"/>
              <w:ind w:left="0"/>
              <w:jc w:val="center"/>
            </w:pPr>
            <w:r>
              <w:rPr>
                <w:rFonts w:eastAsia="等线" w:ascii="Arial" w:cs="Arial" w:hAnsi="Arial"/>
                <w:sz w:val="22"/>
              </w:rPr>
              <w:t>（BG/BU）</w:t>
            </w:r>
          </w:p>
        </w:tc>
        <w:tc>
          <w:tcPr>
            <w:tcW w:w="33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1、战略部负责人进行组织和把关。</w:t>
            </w:r>
          </w:p>
          <w:p>
            <w:pPr>
              <w:spacing w:before="120" w:after="120" w:line="288" w:lineRule="auto"/>
              <w:ind w:left="0"/>
              <w:jc w:val="left"/>
            </w:pPr>
            <w:r>
              <w:rPr>
                <w:rFonts w:eastAsia="等线" w:ascii="Arial" w:cs="Arial" w:hAnsi="Arial"/>
                <w:sz w:val="22"/>
              </w:rPr>
              <w:t>2、各BU和BG战略规划负责人，基于BG/BU层面的复盘目标，就产研的达成情况进行分析复盘，识别差距和不足，进行根因分析，给出持续改进的对策和建议。</w:t>
            </w:r>
          </w:p>
        </w:tc>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否</w:t>
            </w:r>
          </w:p>
        </w:tc>
        <w:tc>
          <w:tcPr>
            <w:tcW w:w="615" w:type="dxa"/>
            <w:vMerge w:val="continue"/>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产研达成的情况</w:t>
            </w:r>
          </w:p>
        </w:tc>
        <w:tc>
          <w:tcPr>
            <w:tcW w:w="540" w:type="dxa"/>
            <w:vMerge w:val="continue"/>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确保复盘成果能够真正指导未来的产研工作，包括目标达成情况清晰、技术与市场匹配度评估到位、经验教训总结明确、改进建议具体可行。</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2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4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战略主题和关键任务复盘</w:t>
            </w:r>
          </w:p>
          <w:p>
            <w:pPr>
              <w:spacing w:before="120" w:after="120" w:line="288" w:lineRule="auto"/>
              <w:ind w:left="0"/>
              <w:jc w:val="center"/>
            </w:pPr>
            <w:r>
              <w:rPr>
                <w:rFonts w:eastAsia="等线" w:ascii="Arial" w:cs="Arial" w:hAnsi="Arial"/>
                <w:sz w:val="22"/>
              </w:rPr>
              <w:t>（BG/BU）</w:t>
            </w:r>
          </w:p>
        </w:tc>
        <w:tc>
          <w:tcPr>
            <w:tcW w:w="33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1、战略部负责人进行组织和把关。</w:t>
            </w:r>
          </w:p>
          <w:p>
            <w:pPr>
              <w:spacing w:before="120" w:after="120" w:line="288" w:lineRule="auto"/>
              <w:ind w:left="0"/>
              <w:jc w:val="left"/>
            </w:pPr>
            <w:r>
              <w:rPr>
                <w:rFonts w:eastAsia="等线" w:ascii="Arial" w:cs="Arial" w:hAnsi="Arial"/>
                <w:sz w:val="22"/>
              </w:rPr>
              <w:t>2、各BU和BG战略规划负责人，基于BG/BU层面的复盘目标，就战略主题和关键任务的达成情况进行分析复盘，识别差距和不足，进行根因分析，给出持续改进的对策和建议。</w:t>
            </w:r>
          </w:p>
        </w:tc>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否</w:t>
            </w:r>
          </w:p>
        </w:tc>
        <w:tc>
          <w:tcPr>
            <w:tcW w:w="615" w:type="dxa"/>
            <w:vMerge w:val="continue"/>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战略主题的达成情况 ，关键任务的达成情况                                                                  </w:t>
            </w:r>
          </w:p>
        </w:tc>
        <w:tc>
          <w:tcPr>
            <w:tcW w:w="540" w:type="dxa"/>
            <w:vMerge w:val="continue"/>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主题与目标一致、执行效果评估明确、环境变化分析到位、优化建议清晰。</w:t>
            </w:r>
          </w:p>
          <w:p>
            <w:pPr>
              <w:spacing w:before="120" w:after="120" w:line="288" w:lineRule="auto"/>
              <w:ind w:left="0"/>
              <w:jc w:val="left"/>
            </w:pPr>
            <w:r>
              <w:rPr>
                <w:rFonts w:eastAsia="等线" w:ascii="Arial" w:cs="Arial" w:hAnsi="Arial"/>
                <w:sz w:val="22"/>
              </w:rPr>
              <w:t>任务完成情况清晰、执行问题分析透彻、任务与目标匹配度明确、优化建议具体。</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2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4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编写复盘报告并评审</w:t>
            </w:r>
          </w:p>
        </w:tc>
        <w:tc>
          <w:tcPr>
            <w:tcW w:w="3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BG/BU战略规划负责人；</w:t>
            </w:r>
          </w:p>
          <w:p>
            <w:pPr>
              <w:spacing w:before="120" w:after="120" w:line="288" w:lineRule="auto"/>
              <w:ind w:left="0"/>
              <w:jc w:val="center"/>
            </w:pPr>
            <w:r>
              <w:rPr>
                <w:rFonts w:eastAsia="等线" w:ascii="Arial" w:cs="Arial" w:hAnsi="Arial"/>
                <w:sz w:val="22"/>
              </w:rPr>
              <w:t>EBG执委会</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1、战略部负责人和各BU战略规划负责人，分别参考复盘报告模版，将复盘结论（对策+建议）逻辑化，形成条理清晰的支撑材料。</w:t>
            </w:r>
          </w:p>
          <w:p>
            <w:pPr>
              <w:spacing w:before="120" w:after="120" w:line="288" w:lineRule="auto"/>
              <w:ind w:left="0"/>
              <w:jc w:val="left"/>
            </w:pPr>
            <w:r>
              <w:rPr>
                <w:rFonts w:eastAsia="等线" w:ascii="Arial" w:cs="Arial" w:hAnsi="Arial"/>
                <w:sz w:val="22"/>
              </w:rPr>
              <w:t>2、报告需回应复盘目标，为后续决策和行动规划提供充分信息和依据。</w:t>
            </w:r>
          </w:p>
          <w:p>
            <w:pPr>
              <w:spacing w:before="120" w:after="120" w:line="288" w:lineRule="auto"/>
              <w:ind w:left="0"/>
              <w:jc w:val="left"/>
            </w:pPr>
            <w:r>
              <w:rPr>
                <w:rFonts w:eastAsia="等线" w:ascii="Arial" w:cs="Arial" w:hAnsi="Arial"/>
                <w:sz w:val="22"/>
              </w:rPr>
              <w:t>3、复盘报告具备系统性、完整性、全面性和科学性。</w:t>
            </w:r>
          </w:p>
          <w:p>
            <w:pPr>
              <w:spacing w:before="120" w:after="120" w:line="288" w:lineRule="auto"/>
              <w:ind w:left="0"/>
              <w:jc w:val="left"/>
            </w:pPr>
            <w:r>
              <w:rPr>
                <w:rFonts w:eastAsia="等线" w:ascii="Arial" w:cs="Arial" w:hAnsi="Arial"/>
                <w:sz w:val="22"/>
              </w:rPr>
              <w:t>4、复盘报告完成后先在EBG执委会进行内部评审。</w:t>
            </w:r>
          </w:p>
          <w:p>
            <w:pPr>
              <w:spacing w:before="120" w:after="120" w:line="288" w:lineRule="auto"/>
              <w:ind w:left="0"/>
              <w:jc w:val="left"/>
            </w:pPr>
            <w:r>
              <w:rPr>
                <w:rFonts w:eastAsia="等线" w:ascii="Arial" w:cs="Arial" w:hAnsi="Arial"/>
                <w:sz w:val="22"/>
              </w:rPr>
              <w:t>5、EBG内部评审通过后进入公司执委会评审。</w:t>
            </w:r>
          </w:p>
        </w:tc>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是</w:t>
            </w:r>
          </w:p>
        </w:tc>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复盘结论；</w:t>
            </w:r>
          </w:p>
          <w:p>
            <w:pPr>
              <w:spacing w:before="120" w:after="120" w:line="288" w:lineRule="auto"/>
              <w:ind w:left="0"/>
              <w:jc w:val="center"/>
            </w:pPr>
            <w:r>
              <w:rPr>
                <w:rFonts w:eastAsia="等线" w:ascii="Arial" w:cs="Arial" w:hAnsi="Arial"/>
                <w:sz w:val="22"/>
              </w:rPr>
              <w:t>复盘信息和数据</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完整且清晰，明确</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《战略复盘报告（待审稿）》</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内容完整、分析深入、结论明确、建议可行、逻辑清晰、数据支持充分，并能够为未来的战略调整和优化提供明确的指导。</w:t>
            </w:r>
          </w:p>
        </w:tc>
        <w:tc>
          <w:tcPr>
            <w:tcW w:w="840" w:type="dxa"/>
            <w:tcMar>
              <w:top w:type="dxa" w:w="60"/>
              <w:left w:type="dxa" w:w="120"/>
              <w:bottom w:type="dxa" w:w="30"/>
              <w:right w:type="dxa" w:w="120"/>
            </w:tcMar>
          </w:tcPr>
          <w:p>
            <w:pPr>
              <w:spacing w:before="120" w:after="120" w:line="288" w:lineRule="auto"/>
              <w:ind w:left="0"/>
              <w:jc w:val="left"/>
            </w:pPr>
          </w:p>
        </w:tc>
        <w:tc>
          <w:tcPr>
            <w:tcW w:w="40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战略复盘自检及战略复盘执委会评审，详情见：</w:t>
            </w:r>
            <w:hyperlink r:id="rId9">
              <w:r>
                <w:rPr>
                  <w:rFonts w:eastAsia="等线" w:ascii="Arial" w:cs="Arial" w:hAnsi="Arial"/>
                  <w:color w:val="3370ff"/>
                  <w:sz w:val="22"/>
                </w:rPr>
                <w:t>DSTE审核要素表-业务</w:t>
              </w:r>
            </w:hyperlink>
          </w:p>
        </w:tc>
        <w:tc>
          <w:tcPr>
            <w:tcW w:w="480"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rPr>
                <w:t>战略复盘&amp;洞察审核要素</w:t>
              </w:r>
            </w:hyperlink>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4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复盘报告评审</w:t>
            </w:r>
          </w:p>
        </w:tc>
        <w:tc>
          <w:tcPr>
            <w:tcW w:w="3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公司执委会</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战略部负责人组织，EBG内部评审通过后进入公司执委会评审。归档通过已评审的复盘报告。</w:t>
            </w:r>
          </w:p>
        </w:tc>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是</w:t>
            </w:r>
          </w:p>
        </w:tc>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《战略复盘报告（待审稿）》</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内容完整、分析深入、结论明确、建议可行、逻辑清晰、数据支持充分，并能够为未来的战略调整和优化提供明确的指导。</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《战略复盘报告（归档稿）》</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经过EBG执委内部评审后并通过公司执委会评审通过。</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战略复盘报告完成后会先经过EBG内容评审，通过后再上公司执委会评审。</w:t>
            </w:r>
          </w:p>
          <w:p>
            <w:pPr>
              <w:spacing w:before="120" w:after="120" w:line="288" w:lineRule="auto"/>
              <w:ind w:left="0"/>
              <w:jc w:val="left"/>
            </w:pPr>
            <w:r>
              <w:rPr>
                <w:rFonts w:eastAsia="等线" w:ascii="Arial" w:cs="Arial" w:hAnsi="Arial"/>
                <w:sz w:val="22"/>
              </w:rPr>
              <w:t>如果公司执委会评审后还需要修改，则在战略规划SP部分做修改内容的展示。</w:t>
            </w:r>
          </w:p>
        </w:tc>
        <w:tc>
          <w:tcPr>
            <w:tcW w:w="40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战略务虚会</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战略部负责人，BU/BG战略规划负责人</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1、由战略部负责人组织EBG的战略务虚会，BU/BG战略规划负责人参与。</w:t>
            </w:r>
          </w:p>
          <w:p>
            <w:pPr>
              <w:spacing w:before="120" w:after="120" w:line="288" w:lineRule="auto"/>
              <w:ind w:left="0"/>
              <w:jc w:val="left"/>
            </w:pPr>
            <w:r>
              <w:rPr>
                <w:rFonts w:eastAsia="等线" w:ascii="Arial" w:cs="Arial" w:hAnsi="Arial"/>
                <w:sz w:val="22"/>
              </w:rPr>
              <w:t>2、战略务虚会中包含制定和刷新战略意图、战略机会的选择、三层面的业务布局部分。</w:t>
            </w:r>
          </w:p>
          <w:p>
            <w:pPr>
              <w:spacing w:before="120" w:after="120" w:line="288" w:lineRule="auto"/>
              <w:ind w:left="0"/>
              <w:jc w:val="left"/>
            </w:pPr>
            <w:r>
              <w:rPr>
                <w:rFonts w:eastAsia="等线" w:ascii="Arial" w:cs="Arial" w:hAnsi="Arial"/>
                <w:sz w:val="22"/>
              </w:rPr>
              <w:t>3、制定和刷新战略意图部分，刷新EBG的使命、愿景、价值观和战略目标包括市场定位、市场份额、业绩目标等。</w:t>
            </w:r>
          </w:p>
          <w:p>
            <w:pPr>
              <w:spacing w:before="120" w:after="120" w:line="288" w:lineRule="auto"/>
              <w:ind w:left="0"/>
              <w:jc w:val="left"/>
            </w:pPr>
            <w:r>
              <w:rPr>
                <w:rFonts w:eastAsia="等线" w:ascii="Arial" w:cs="Arial" w:hAnsi="Arial"/>
                <w:sz w:val="22"/>
              </w:rPr>
              <w:t>4、战略机会的选择部分，确定达成战略目标的战略机会。</w:t>
            </w:r>
          </w:p>
          <w:p>
            <w:pPr>
              <w:spacing w:before="120" w:after="120" w:line="288" w:lineRule="auto"/>
              <w:ind w:left="0"/>
              <w:jc w:val="left"/>
            </w:pPr>
            <w:r>
              <w:rPr>
                <w:rFonts w:eastAsia="等线" w:ascii="Arial" w:cs="Arial" w:hAnsi="Arial"/>
                <w:sz w:val="22"/>
              </w:rPr>
              <w:t>5、三层面的业务布局，基于战略机会和战略目标确定H1/H2/H3业务的布局。</w:t>
            </w:r>
          </w:p>
        </w:tc>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上期SP战略指引回顾、宏观环境的变化、行业市场洞察、竞争洞察和技术趋势变化、产品市场洞察、波士顿矩阵和三层面业务布局、企业级客户的深度理解、SP目标和机会选择</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w:t>
            </w:r>
            <w:r>
              <w:rPr>
                <w:rFonts w:eastAsia="等线" w:ascii="Arial" w:cs="Arial" w:hAnsi="Arial"/>
                <w:b w:val="true"/>
                <w:color w:val="d83931"/>
                <w:sz w:val="22"/>
              </w:rPr>
              <w:t>历史3年</w:t>
            </w:r>
            <w:r>
              <w:rPr>
                <w:rFonts w:eastAsia="等线" w:ascii="Arial" w:cs="Arial" w:hAnsi="Arial"/>
                <w:sz w:val="22"/>
              </w:rPr>
              <w:t>的实际产出及趋势（市场份额、开票、利润）、投入（费用+人工总金额）及趋势、业务PMF情况等，进行业务诊断及分析、问题洞察（由各部门财经BP负责输出），向部门战略研讨进行输入。</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EBG，机会和威胁；</w:t>
            </w:r>
          </w:p>
          <w:p>
            <w:pPr>
              <w:spacing w:before="120" w:after="120" w:line="288" w:lineRule="auto"/>
              <w:ind w:left="0"/>
              <w:jc w:val="left"/>
            </w:pPr>
            <w:r>
              <w:rPr>
                <w:rFonts w:eastAsia="等线" w:ascii="Arial" w:cs="Arial" w:hAnsi="Arial"/>
                <w:sz w:val="22"/>
              </w:rPr>
              <w:t>EBG波士顿矩阵，三层面布局刷新；</w:t>
            </w:r>
          </w:p>
          <w:p>
            <w:pPr>
              <w:spacing w:before="120" w:after="120" w:line="288" w:lineRule="auto"/>
              <w:ind w:left="0"/>
              <w:jc w:val="left"/>
            </w:pPr>
            <w:r>
              <w:rPr>
                <w:rFonts w:eastAsia="等线" w:ascii="Arial" w:cs="Arial" w:hAnsi="Arial"/>
                <w:sz w:val="22"/>
              </w:rPr>
              <w:t>对企业级客户的全链条理解，找到服务好企业级客户的突破点；EBG未来3年目标的刷新</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按照《锐捷网络三层面业务组合管理操作手册v1.1》要求完成输出。</w:t>
            </w:r>
          </w:p>
          <w:p>
            <w:pPr>
              <w:spacing w:before="120" w:after="120" w:line="288" w:lineRule="auto"/>
              <w:ind w:left="0"/>
              <w:jc w:val="left"/>
            </w:pPr>
            <w:r>
              <w:rPr>
                <w:rFonts w:eastAsia="等线" w:ascii="Arial" w:cs="Arial" w:hAnsi="Arial"/>
                <w:sz w:val="22"/>
              </w:rPr>
              <w:t>三层面的资源配置汇总表，通过下表对目前的资源配置策略是否符合业务中长期发展及战略指引要求，进行审视。</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关键点活动，战略部负责人负责组织战略务虚会，EBG执委会，BG战略规划负责人，各BU战略规划负责人参会。</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新增活动</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《战略务虚会策划赋能和初步计划研讨》</w:t>
            </w:r>
            <w:hyperlink r:id="rId11">
              <w:r>
                <w:rPr>
                  <w:rFonts w:eastAsia="等线" w:ascii="Arial" w:cs="Arial" w:hAnsi="Arial"/>
                  <w:color w:val="3370ff"/>
                  <w:sz w:val="22"/>
                </w:rPr>
                <w:t>战略务虚会策划赋能和初步计划研讨.pdf</w:t>
              </w:r>
            </w:hyperlink>
          </w:p>
        </w:tc>
        <w:tc>
          <w:tcPr>
            <w:tcW w:w="480"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rPr>
                <w:t>公司战略指引模板.pptx</w:t>
              </w:r>
            </w:hyperlink>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业务战略设计并互锁</w:t>
            </w:r>
          </w:p>
          <w:p>
            <w:pPr>
              <w:spacing w:before="120" w:after="120" w:line="288" w:lineRule="auto"/>
              <w:ind w:left="0"/>
              <w:jc w:val="left"/>
            </w:pPr>
            <w:r>
              <w:rPr>
                <w:rFonts w:eastAsia="等线" w:ascii="Arial" w:cs="Arial" w:hAnsi="Arial"/>
                <w:sz w:val="22"/>
              </w:rPr>
              <w:t xml:space="preserve"> </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BG/BU战略规划负责人</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1、对于三年战略意图、战略主题进行刷新，BG和BU分别向上承接公司和BG的战略意图和战略主题，BG/行业系统BU负责人跟利益相关方，特别是对应产品BU负责人进行对齐和互锁，确保资源投入方向一致；</w:t>
            </w:r>
          </w:p>
        </w:tc>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战略洞察报告、战略机会。目标客户定位及竞品信息</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准确且全面。</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业务战略设计</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根据当年的战略规划要求设计的价值主张。并且完成互锁。</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需要完成互锁</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互锁为优化点</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《结果互锁指导书》</w:t>
            </w:r>
            <w:hyperlink r:id="rId13">
              <w:r>
                <w:rPr>
                  <w:rFonts w:eastAsia="等线" w:ascii="Arial" w:cs="Arial" w:hAnsi="Arial"/>
                  <w:color w:val="3370ff"/>
                  <w:sz w:val="22"/>
                </w:rPr>
                <w:t>结果互锁指导书</w:t>
              </w:r>
            </w:hyperlink>
            <w:r>
              <w:rPr>
                <w:rFonts w:eastAsia="等线" w:ascii="Arial" w:cs="Arial" w:hAnsi="Arial"/>
                <w:sz w:val="22"/>
              </w:rPr>
              <w:br/>
            </w:r>
            <w:r>
              <w:rPr>
                <w:rFonts w:eastAsia="等线" w:ascii="Arial" w:cs="Arial" w:hAnsi="Arial"/>
                <w:sz w:val="22"/>
              </w:rPr>
              <w:t xml:space="preserve"> 《过程互锁指南》</w:t>
            </w:r>
            <w:hyperlink r:id="rId14">
              <w:r>
                <w:rPr>
                  <w:rFonts w:eastAsia="等线" w:ascii="Arial" w:cs="Arial" w:hAnsi="Arial"/>
                  <w:color w:val="3370ff"/>
                  <w:sz w:val="22"/>
                </w:rPr>
                <w:t>过程互锁指南</w:t>
              </w:r>
            </w:hyperlink>
            <w:r>
              <w:rPr>
                <w:rFonts w:eastAsia="等线" w:ascii="Arial" w:cs="Arial" w:hAnsi="Arial"/>
                <w:sz w:val="22"/>
              </w:rPr>
              <w:t xml:space="preserve"> </w:t>
            </w:r>
          </w:p>
        </w:tc>
        <w:tc>
          <w:tcPr>
            <w:tcW w:w="480"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战略目标及关键任务设定及互锁</w:t>
            </w:r>
          </w:p>
          <w:p>
            <w:pPr>
              <w:spacing w:before="120" w:after="120" w:line="288" w:lineRule="auto"/>
              <w:ind w:left="0"/>
              <w:jc w:val="left"/>
            </w:pPr>
            <w:r>
              <w:rPr>
                <w:rFonts w:eastAsia="等线" w:ascii="Arial" w:cs="Arial" w:hAnsi="Arial"/>
                <w:sz w:val="22"/>
              </w:rPr>
              <w:t xml:space="preserve"> </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BG/BU战略规划负责人</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1、对于三年战略目标进行刷新、设计关键任务，BG/行业系统BU负责人跟对应产品BU负责人进行目标和任务策略的对齐和互锁。确保双方人财物资源投入的协同与保障。</w:t>
            </w:r>
          </w:p>
        </w:tc>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1、经营管理部的数据</w:t>
            </w:r>
          </w:p>
          <w:p>
            <w:pPr>
              <w:spacing w:before="120" w:after="120" w:line="288" w:lineRule="auto"/>
              <w:ind w:left="0"/>
              <w:jc w:val="left"/>
            </w:pPr>
            <w:r>
              <w:rPr>
                <w:rFonts w:eastAsia="等线" w:ascii="Arial" w:cs="Arial" w:hAnsi="Arial"/>
                <w:sz w:val="22"/>
              </w:rPr>
              <w:t>2、战略复盘报告中双差分析结论</w:t>
            </w:r>
          </w:p>
          <w:p>
            <w:pPr>
              <w:spacing w:before="120" w:after="120" w:line="288" w:lineRule="auto"/>
              <w:ind w:left="0"/>
              <w:jc w:val="left"/>
            </w:pPr>
            <w:r>
              <w:rPr>
                <w:rFonts w:eastAsia="等线" w:ascii="Arial" w:cs="Arial" w:hAnsi="Arial"/>
                <w:sz w:val="22"/>
              </w:rPr>
              <w:t>3、战略洞察报告结论（未来的机会/威胁）</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1、根据公司和BG的数据报表规范输出BG/BU各个维度的经营管理数据</w:t>
            </w:r>
          </w:p>
          <w:p>
            <w:pPr>
              <w:spacing w:before="120" w:after="120" w:line="288" w:lineRule="auto"/>
              <w:ind w:left="0"/>
              <w:jc w:val="left"/>
            </w:pPr>
            <w:r>
              <w:rPr>
                <w:rFonts w:eastAsia="等线" w:ascii="Arial" w:cs="Arial" w:hAnsi="Arial"/>
                <w:sz w:val="22"/>
              </w:rPr>
              <w:t>2、双差分析、根因明确，规划的改善策略试点验证能看到改善的成果变化</w:t>
            </w:r>
          </w:p>
          <w:p>
            <w:pPr>
              <w:spacing w:before="120" w:after="120" w:line="288" w:lineRule="auto"/>
              <w:ind w:left="0"/>
              <w:jc w:val="left"/>
            </w:pPr>
            <w:r>
              <w:rPr>
                <w:rFonts w:eastAsia="等线" w:ascii="Arial" w:cs="Arial" w:hAnsi="Arial"/>
                <w:sz w:val="22"/>
              </w:rPr>
              <w:t>3、战略洞察报告有明确的机会预测，有3M的容量判断</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战略目标及关键任务</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1、战略目标清晰，量化、可以被有效计算与衡量</w:t>
            </w:r>
          </w:p>
          <w:p>
            <w:pPr>
              <w:spacing w:before="120" w:after="120" w:line="288" w:lineRule="auto"/>
              <w:ind w:left="0"/>
              <w:jc w:val="left"/>
            </w:pPr>
            <w:r>
              <w:rPr>
                <w:rFonts w:eastAsia="等线" w:ascii="Arial" w:cs="Arial" w:hAnsi="Arial"/>
                <w:sz w:val="22"/>
              </w:rPr>
              <w:t>2、关键任务要解决双差问题，任务目标清晰、量化，可以被有效计算与衡量，Why、What、How规划清楚，任务负责人和项目团队有能力支撑</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需要完成互锁</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互锁为优化点</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《锐捷网络三层面业务组合管理纲领V1.1》</w:t>
            </w:r>
          </w:p>
          <w:p>
            <w:pPr>
              <w:spacing w:before="120" w:after="120" w:line="288" w:lineRule="auto"/>
              <w:ind w:left="0"/>
              <w:jc w:val="left"/>
            </w:pPr>
            <w:hyperlink r:id="rId15">
              <w:r>
                <w:rPr>
                  <w:rFonts w:eastAsia="等线" w:ascii="Arial" w:cs="Arial" w:hAnsi="Arial"/>
                  <w:color w:val="3370ff"/>
                  <w:sz w:val="22"/>
                </w:rPr>
                <w:t>锐捷网络三层面业务组合管理纲领V1.1</w:t>
              </w:r>
            </w:hyperlink>
          </w:p>
          <w:p>
            <w:pPr>
              <w:spacing w:before="120" w:after="120" w:line="288" w:lineRule="auto"/>
              <w:ind w:left="0"/>
              <w:jc w:val="left"/>
            </w:pPr>
            <w:r>
              <w:rPr>
                <w:rFonts w:eastAsia="等线" w:ascii="Arial" w:cs="Arial" w:hAnsi="Arial"/>
                <w:sz w:val="22"/>
              </w:rPr>
              <w:t>《锐捷网络三层面业务组合管理操作手册v1.1》</w:t>
            </w:r>
            <w:hyperlink r:id="rId16">
              <w:r>
                <w:rPr>
                  <w:rFonts w:eastAsia="等线" w:ascii="Arial" w:cs="Arial" w:hAnsi="Arial"/>
                  <w:color w:val="3370ff"/>
                  <w:sz w:val="22"/>
                </w:rPr>
                <w:t>锐捷网络三层面业务组合管理操作手册v1.1</w:t>
              </w:r>
            </w:hyperlink>
          </w:p>
        </w:tc>
        <w:tc>
          <w:tcPr>
            <w:tcW w:w="480"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组织能力建设规划</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BG/BU战略规划负责人</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1、给予战略复盘，双差分析中，定位到的组织能力问题，BG/BU战略规划负责人，进一步往下拆解，明确具体是什么能力需要提升</w:t>
            </w:r>
          </w:p>
          <w:p>
            <w:pPr>
              <w:spacing w:before="120" w:after="120" w:line="288" w:lineRule="auto"/>
              <w:ind w:left="0"/>
              <w:jc w:val="left"/>
            </w:pPr>
            <w:r>
              <w:rPr>
                <w:rFonts w:eastAsia="等线" w:ascii="Arial" w:cs="Arial" w:hAnsi="Arial"/>
                <w:sz w:val="22"/>
              </w:rPr>
              <w:t>2、BG/BU战略规划负责人，通过内外部寻源，找到能力提升的具体路径和方法，形成能力建设的规划</w:t>
            </w:r>
          </w:p>
        </w:tc>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战略复盘报告中双差分析结论</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双差分析中、有定位到组织能力短板的分析过程以及结论</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组织能力建设规划</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1、组织能力建设有转换到明确的关键任务作为支撑</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能力短板的细化拆解，到可以被提升的颗粒度</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方法有优化</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《MXF 组织能力短板识别和变革规划指导手册》</w:t>
            </w:r>
          </w:p>
          <w:p>
            <w:pPr>
              <w:spacing w:before="120" w:after="120" w:line="288" w:lineRule="auto"/>
              <w:ind w:left="0"/>
              <w:jc w:val="left"/>
            </w:pPr>
            <w:hyperlink r:id="rId17">
              <w:r>
                <w:rPr>
                  <w:rFonts w:eastAsia="等线" w:ascii="Arial" w:cs="Arial" w:hAnsi="Arial"/>
                  <w:color w:val="3370ff"/>
                  <w:sz w:val="22"/>
                </w:rPr>
                <w:t>MXF 组织能力短板识别和变革规划指导手册</w:t>
              </w:r>
            </w:hyperlink>
          </w:p>
        </w:tc>
        <w:tc>
          <w:tcPr>
            <w:tcW w:w="480" w:type="dxa"/>
            <w:tcMar>
              <w:top w:type="dxa" w:w="60"/>
              <w:left w:type="dxa" w:w="120"/>
              <w:bottom w:type="dxa" w:w="30"/>
              <w:right w:type="dxa" w:w="120"/>
            </w:tcMar>
          </w:tcPr>
          <w:p>
            <w:pPr>
              <w:spacing w:before="120" w:after="120" w:line="288" w:lineRule="auto"/>
              <w:ind w:left="0"/>
              <w:jc w:val="left"/>
            </w:pPr>
            <w:hyperlink r:id="rId18">
              <w:r>
                <w:rPr>
                  <w:rFonts w:eastAsia="等线" w:ascii="Arial" w:cs="Arial" w:hAnsi="Arial"/>
                  <w:color w:val="3370ff"/>
                  <w:sz w:val="22"/>
                </w:rPr>
                <w:t xml:space="preserve"> 20240815 SP 战略规划模板V3 10.24定稿</w:t>
              </w:r>
            </w:hyperlink>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组织及人力规划</w:t>
            </w:r>
          </w:p>
          <w:p>
            <w:pPr>
              <w:spacing w:before="120" w:after="120" w:line="288" w:lineRule="auto"/>
              <w:ind w:left="0"/>
              <w:jc w:val="left"/>
            </w:pPr>
            <w:r>
              <w:rPr>
                <w:rFonts w:eastAsia="等线" w:ascii="Arial" w:cs="Arial" w:hAnsi="Arial"/>
                <w:sz w:val="22"/>
              </w:rPr>
              <w:t xml:space="preserve"> </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BG/BU战略规划负责人</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1、BG/BU战略规划负责人，根据战略意图、战略目标，关键任务规划，设置相匹配的组织和人员架构</w:t>
            </w:r>
          </w:p>
        </w:tc>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1、阿米巴经营报表</w:t>
            </w:r>
          </w:p>
          <w:p>
            <w:pPr>
              <w:spacing w:before="120" w:after="120" w:line="288" w:lineRule="auto"/>
              <w:ind w:left="0"/>
              <w:jc w:val="left"/>
            </w:pPr>
            <w:r>
              <w:rPr>
                <w:rFonts w:eastAsia="等线" w:ascii="Arial" w:cs="Arial" w:hAnsi="Arial"/>
                <w:sz w:val="22"/>
              </w:rPr>
              <w:t>2、战略规划（战略意图、战略目标、关键任务设置）</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1、阿米巴经营报表按照公司和部门规范提供（经营管理部维护模板）</w:t>
            </w:r>
          </w:p>
          <w:p>
            <w:pPr>
              <w:spacing w:before="120" w:after="120" w:line="288" w:lineRule="auto"/>
              <w:ind w:left="0"/>
              <w:jc w:val="left"/>
            </w:pPr>
            <w:r>
              <w:rPr>
                <w:rFonts w:eastAsia="等线" w:ascii="Arial" w:cs="Arial" w:hAnsi="Arial"/>
                <w:sz w:val="22"/>
              </w:rPr>
              <w:t>2、战略规划（战略意图、战略目标、关键任务设置）内容清晰</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BG/BU组织及人力规划</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1、组织规划满足战略设计的需要</w:t>
            </w:r>
          </w:p>
          <w:p>
            <w:pPr>
              <w:spacing w:before="120" w:after="120" w:line="288" w:lineRule="auto"/>
              <w:ind w:left="0"/>
              <w:jc w:val="left"/>
            </w:pPr>
            <w:r>
              <w:rPr>
                <w:rFonts w:eastAsia="等线" w:ascii="Arial" w:cs="Arial" w:hAnsi="Arial"/>
                <w:sz w:val="22"/>
              </w:rPr>
              <w:t>2、组织规划满足阿米巴经营的目标和需求</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组织规划满足战略设计的需要</w:t>
            </w:r>
          </w:p>
        </w:tc>
        <w:tc>
          <w:tcPr>
            <w:tcW w:w="40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《战略专题与重点工作》</w:t>
            </w:r>
            <w:hyperlink r:id="rId19">
              <w:r>
                <w:rPr>
                  <w:rFonts w:eastAsia="等线" w:ascii="Arial" w:cs="Arial" w:hAnsi="Arial"/>
                  <w:color w:val="3370ff"/>
                  <w:sz w:val="22"/>
                </w:rPr>
                <w:t>战略专题与重点工作.pdf</w:t>
              </w:r>
            </w:hyperlink>
          </w:p>
        </w:tc>
        <w:tc>
          <w:tcPr>
            <w:tcW w:w="480"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SP成稿并初评</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BG/BU战略规划负责人；</w:t>
            </w:r>
          </w:p>
          <w:p>
            <w:pPr>
              <w:spacing w:before="120" w:after="120" w:line="288" w:lineRule="auto"/>
              <w:ind w:left="0"/>
              <w:jc w:val="left"/>
            </w:pPr>
            <w:r>
              <w:rPr>
                <w:rFonts w:eastAsia="等线" w:ascii="Arial" w:cs="Arial" w:hAnsi="Arial"/>
                <w:sz w:val="22"/>
              </w:rPr>
              <w:t>EBG执委会</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BU/BG战略规划负责人参考《DSTE审核要素表-业务》内的自检标准进行自检，并形成SP完成报告，提交公司执委会进行评审</w:t>
            </w:r>
          </w:p>
        </w:tc>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业务战略设计、关键任务及战略目标、组织能力建设和组织及人力规划</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业务战略设计、关键任务及战略目标经过互锁</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SP完整报告。</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经过自检合格后的SP完成报告。</w:t>
            </w:r>
          </w:p>
        </w:tc>
        <w:tc>
          <w:tcPr>
            <w:tcW w:w="840" w:type="dxa"/>
            <w:tcMar>
              <w:top w:type="dxa" w:w="60"/>
              <w:left w:type="dxa" w:w="120"/>
              <w:bottom w:type="dxa" w:w="30"/>
              <w:right w:type="dxa" w:w="120"/>
            </w:tcMar>
          </w:tcPr>
          <w:p>
            <w:pPr>
              <w:spacing w:before="120" w:after="120" w:line="288" w:lineRule="auto"/>
              <w:ind w:left="0"/>
              <w:jc w:val="left"/>
            </w:pPr>
          </w:p>
        </w:tc>
        <w:tc>
          <w:tcPr>
            <w:tcW w:w="40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hyperlink r:id="rId20">
              <w:r>
                <w:rPr>
                  <w:rFonts w:eastAsia="等线" w:ascii="Arial" w:cs="Arial" w:hAnsi="Arial"/>
                  <w:color w:val="3370ff"/>
                  <w:sz w:val="22"/>
                </w:rPr>
                <w:t>DSTE审核要素表-业务</w:t>
              </w:r>
            </w:hyperlink>
          </w:p>
          <w:p>
            <w:pPr>
              <w:spacing w:before="120" w:after="120" w:line="288" w:lineRule="auto"/>
              <w:ind w:left="0"/>
              <w:jc w:val="left"/>
            </w:pPr>
            <w:hyperlink r:id="rId21">
              <w:r>
                <w:rPr>
                  <w:rFonts w:eastAsia="等线" w:ascii="Arial" w:cs="Arial" w:hAnsi="Arial"/>
                  <w:color w:val="3370ff"/>
                  <w:sz w:val="22"/>
                </w:rPr>
                <w:t>BU级SP评审表</w:t>
              </w:r>
            </w:hyperlink>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SP报告评审</w:t>
            </w:r>
          </w:p>
          <w:p>
            <w:pPr>
              <w:spacing w:before="120" w:after="120" w:line="288" w:lineRule="auto"/>
              <w:ind w:left="0"/>
              <w:jc w:val="left"/>
            </w:pPr>
            <w:r>
              <w:rPr>
                <w:rFonts w:eastAsia="等线" w:ascii="Arial" w:cs="Arial" w:hAnsi="Arial"/>
                <w:sz w:val="22"/>
              </w:rPr>
              <w:t xml:space="preserve"> </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公司执委会</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发起SP评审，关键要素汇报，并确定是否通过。</w:t>
            </w:r>
          </w:p>
          <w:p>
            <w:pPr>
              <w:spacing w:before="120" w:after="120" w:line="288" w:lineRule="auto"/>
              <w:ind w:left="0"/>
              <w:jc w:val="left"/>
            </w:pPr>
            <w:r>
              <w:rPr>
                <w:rFonts w:eastAsia="等线" w:ascii="Arial" w:cs="Arial" w:hAnsi="Arial"/>
                <w:sz w:val="22"/>
              </w:rPr>
              <w:t xml:space="preserve"> </w:t>
            </w:r>
          </w:p>
        </w:tc>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前面所有规划材料</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SP全部评审资料，全面且准确</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SP完整报告。</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符合DSTE审核要素表内，SP执委评审通过的SP。</w:t>
            </w:r>
          </w:p>
        </w:tc>
        <w:tc>
          <w:tcPr>
            <w:tcW w:w="840" w:type="dxa"/>
            <w:tcMar>
              <w:top w:type="dxa" w:w="60"/>
              <w:left w:type="dxa" w:w="120"/>
              <w:bottom w:type="dxa" w:w="30"/>
              <w:right w:type="dxa" w:w="120"/>
            </w:tcMar>
          </w:tcPr>
          <w:p>
            <w:pPr>
              <w:spacing w:before="120" w:after="120" w:line="288" w:lineRule="auto"/>
              <w:ind w:left="0"/>
              <w:jc w:val="left"/>
            </w:pPr>
          </w:p>
        </w:tc>
        <w:tc>
          <w:tcPr>
            <w:tcW w:w="40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hyperlink r:id="rId22">
              <w:r>
                <w:rPr>
                  <w:rFonts w:eastAsia="等线" w:ascii="Arial" w:cs="Arial" w:hAnsi="Arial"/>
                  <w:color w:val="3370ff"/>
                  <w:sz w:val="22"/>
                </w:rPr>
                <w:t>DSTE审核要素表-业务</w:t>
              </w:r>
            </w:hyperlink>
          </w:p>
          <w:p>
            <w:pPr>
              <w:spacing w:before="120" w:after="120" w:line="288" w:lineRule="auto"/>
              <w:ind w:left="0"/>
              <w:jc w:val="left"/>
            </w:pPr>
            <w:hyperlink r:id="rId23">
              <w:r>
                <w:rPr>
                  <w:rFonts w:eastAsia="等线" w:ascii="Arial" w:cs="Arial" w:hAnsi="Arial"/>
                  <w:color w:val="3370ff"/>
                  <w:sz w:val="22"/>
                </w:rPr>
                <w:t>BU级SP评审表</w:t>
              </w:r>
            </w:hyperlink>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SP报告发布及归档</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战略部负责人</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完成SP完整报告的发布和归档</w:t>
            </w:r>
          </w:p>
        </w:tc>
        <w:tc>
          <w:tcPr>
            <w:tcW w:w="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SP完整报告</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符合DSTE审核要素表内，SP自检与SP执委评审标准的SP</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SP完整报告。</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经过执委评审的SP。</w:t>
            </w:r>
          </w:p>
        </w:tc>
        <w:tc>
          <w:tcPr>
            <w:tcW w:w="840" w:type="dxa"/>
            <w:tcMar>
              <w:top w:type="dxa" w:w="60"/>
              <w:left w:type="dxa" w:w="120"/>
              <w:bottom w:type="dxa" w:w="30"/>
              <w:right w:type="dxa" w:w="120"/>
            </w:tcMar>
          </w:tcPr>
          <w:p>
            <w:pPr>
              <w:spacing w:before="120" w:after="120" w:line="288" w:lineRule="auto"/>
              <w:ind w:left="0"/>
              <w:jc w:val="left"/>
            </w:pPr>
          </w:p>
        </w:tc>
        <w:tc>
          <w:tcPr>
            <w:tcW w:w="405"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3"/>
        <w:spacing w:before="300" w:after="120" w:line="288" w:lineRule="auto"/>
        <w:ind w:left="0"/>
        <w:jc w:val="left"/>
        <w:outlineLvl w:val="2"/>
      </w:pPr>
      <w:bookmarkStart w:name="heading_17" w:id="17"/>
      <w:r>
        <w:rPr>
          <w:rFonts w:eastAsia="等线" w:ascii="Arial" w:cs="Arial" w:hAnsi="Arial"/>
          <w:b w:val="true"/>
          <w:sz w:val="30"/>
        </w:rPr>
        <w:t>5.3.6 主要岗位角色活动说明</w:t>
      </w:r>
      <w:bookmarkEnd w:id="17"/>
    </w:p>
    <w:p>
      <w:pPr>
        <w:pStyle w:val="4"/>
        <w:spacing w:before="260" w:after="120" w:line="288" w:lineRule="auto"/>
        <w:ind w:left="0"/>
        <w:jc w:val="left"/>
        <w:outlineLvl w:val="3"/>
      </w:pPr>
      <w:bookmarkStart w:name="heading_18" w:id="18"/>
      <w:r>
        <w:rPr>
          <w:rFonts w:eastAsia="等线" w:ascii="Arial" w:cs="Arial" w:hAnsi="Arial"/>
          <w:b w:val="true"/>
          <w:sz w:val="28"/>
        </w:rPr>
        <w:t>5.3.6.1 战略部负责人活动说明：</w:t>
      </w:r>
      <w:bookmarkEnd w:id="18"/>
    </w:p>
    <w:p>
      <w:pPr>
        <w:spacing w:before="120" w:after="120" w:line="288" w:lineRule="auto"/>
        <w:ind w:left="0" w:firstLine="0"/>
        <w:jc w:val="left"/>
      </w:pPr>
      <w:r>
        <w:rPr>
          <w:rFonts w:eastAsia="等线" w:ascii="Arial" w:cs="Arial" w:hAnsi="Arial"/>
          <w:sz w:val="22"/>
        </w:rPr>
        <w:t>战略部负责人（含：战略部经理岗位）</w:t>
      </w:r>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9" w:id="19"/>
      <w:r>
        <w:rPr>
          <w:rFonts w:eastAsia="等线" w:ascii="Arial" w:cs="Arial" w:hAnsi="Arial"/>
          <w:b w:val="true"/>
          <w:sz w:val="28"/>
        </w:rPr>
        <w:t>5.3.6.2 BU规划负责人活动说明：</w:t>
      </w:r>
      <w:bookmarkEnd w:id="19"/>
    </w:p>
    <w:p>
      <w:pPr>
        <w:spacing w:before="120" w:after="120" w:line="288" w:lineRule="auto"/>
        <w:ind w:left="0" w:firstLine="0"/>
        <w:jc w:val="left"/>
      </w:pPr>
      <w:r>
        <w:rPr>
          <w:rFonts w:eastAsia="等线" w:ascii="Arial" w:cs="Arial" w:hAnsi="Arial"/>
          <w:sz w:val="22"/>
        </w:rPr>
        <w:t>BU规划负责人（含：行业系统部BU总经理、产品BU总经理）</w:t>
      </w:r>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20" w:id="20"/>
      <w:r>
        <w:rPr>
          <w:rFonts w:eastAsia="等线" w:ascii="Arial" w:cs="Arial" w:hAnsi="Arial"/>
          <w:b w:val="true"/>
          <w:color w:val="245bdb"/>
          <w:sz w:val="32"/>
        </w:rPr>
        <w:t xml:space="preserve">5.4 </w:t>
      </w:r>
      <w:r>
        <w:rPr>
          <w:rFonts w:eastAsia="等线" w:ascii="Arial" w:cs="Arial" w:hAnsi="Arial"/>
          <w:b w:val="true"/>
          <w:sz w:val="32"/>
        </w:rPr>
        <w:t>KCP/KDP说明及指导书</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005"/>
        <w:gridCol w:w="1350"/>
        <w:gridCol w:w="1515"/>
        <w:gridCol w:w="2535"/>
        <w:gridCol w:w="885"/>
      </w:tblGrid>
      <w:tr>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KCP/KDP说明</w:t>
            </w:r>
          </w:p>
        </w:tc>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KCP/KDP负责人</w:t>
            </w:r>
          </w:p>
        </w:tc>
        <w:tc>
          <w:tcPr>
            <w:tcW w:w="25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指导书</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M1.2.1 战略复盘</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KCP1：复盘报告初稿内部评审</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复盘报告完成后先在EBG执委会进行内部评审。</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战略部负责人</w:t>
            </w:r>
          </w:p>
        </w:tc>
        <w:tc>
          <w:tcPr>
            <w:tcW w:w="2535" w:type="dxa"/>
            <w:tcMar>
              <w:top w:type="dxa" w:w="60"/>
              <w:left w:type="dxa" w:w="120"/>
              <w:bottom w:type="dxa" w:w="30"/>
              <w:right w:type="dxa" w:w="120"/>
            </w:tcMar>
          </w:tcPr>
          <w:p>
            <w:pPr>
              <w:spacing w:before="120" w:after="120" w:line="288" w:lineRule="auto"/>
              <w:ind w:left="0"/>
              <w:jc w:val="left"/>
            </w:pPr>
            <w:hyperlink r:id="rId24">
              <w:r>
                <w:rPr>
                  <w:rFonts w:eastAsia="等线" w:ascii="Arial" w:cs="Arial" w:hAnsi="Arial"/>
                  <w:color w:val="3370ff"/>
                  <w:sz w:val="22"/>
                </w:rPr>
                <w:t>战略复盘&amp;洞察审核要素</w:t>
              </w:r>
            </w:hyperlink>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M1.2.1 战略复盘</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KDP1：复盘报告评审</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EBG内部评审通过后进入公司执委会评审。</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EBG执委会</w:t>
            </w:r>
          </w:p>
        </w:tc>
        <w:tc>
          <w:tcPr>
            <w:tcW w:w="2535" w:type="dxa"/>
            <w:tcMar>
              <w:top w:type="dxa" w:w="60"/>
              <w:left w:type="dxa" w:w="120"/>
              <w:bottom w:type="dxa" w:w="30"/>
              <w:right w:type="dxa" w:w="120"/>
            </w:tcMar>
          </w:tcPr>
          <w:p>
            <w:pPr>
              <w:spacing w:before="120" w:after="120" w:line="288" w:lineRule="auto"/>
              <w:ind w:left="0"/>
              <w:jc w:val="left"/>
            </w:pPr>
            <w:hyperlink r:id="rId25">
              <w:r>
                <w:rPr>
                  <w:rFonts w:eastAsia="等线" w:ascii="Arial" w:cs="Arial" w:hAnsi="Arial"/>
                  <w:color w:val="3370ff"/>
                  <w:sz w:val="22"/>
                </w:rPr>
                <w:t>战略复盘&amp;洞察审核要素</w:t>
              </w:r>
            </w:hyperlink>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M1.2.3 战略规划</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KCP2：SP报告初稿内部评审</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战略规划SP完成后先在EBG执委会进行内部评审。</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战略部负责人</w:t>
            </w:r>
          </w:p>
        </w:tc>
        <w:tc>
          <w:tcPr>
            <w:tcW w:w="2535" w:type="dxa"/>
            <w:tcMar>
              <w:top w:type="dxa" w:w="60"/>
              <w:left w:type="dxa" w:w="120"/>
              <w:bottom w:type="dxa" w:w="30"/>
              <w:right w:type="dxa" w:w="120"/>
            </w:tcMar>
          </w:tcPr>
          <w:p>
            <w:pPr>
              <w:spacing w:before="120" w:after="120" w:line="288" w:lineRule="auto"/>
              <w:ind w:left="0"/>
              <w:jc w:val="left"/>
            </w:pPr>
            <w:hyperlink r:id="rId26">
              <w:r>
                <w:rPr>
                  <w:rFonts w:eastAsia="等线" w:ascii="Arial" w:cs="Arial" w:hAnsi="Arial"/>
                  <w:color w:val="3370ff"/>
                  <w:sz w:val="22"/>
                </w:rPr>
                <w:t>DSTE审核要素表-业务</w:t>
              </w:r>
            </w:hyperlink>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M1.2.3 战略规划</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KDP2：</w:t>
            </w:r>
          </w:p>
          <w:p>
            <w:pPr>
              <w:spacing w:before="120" w:after="120" w:line="288" w:lineRule="auto"/>
              <w:ind w:left="0"/>
              <w:jc w:val="left"/>
            </w:pPr>
            <w:r>
              <w:rPr>
                <w:rFonts w:eastAsia="等线" w:ascii="Arial" w:cs="Arial" w:hAnsi="Arial"/>
                <w:sz w:val="22"/>
              </w:rPr>
              <w:t>SP报告评审</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EBG内部评审通过后进入公司执委会评审。</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EBG执委会</w:t>
            </w:r>
          </w:p>
        </w:tc>
        <w:tc>
          <w:tcPr>
            <w:tcW w:w="2535" w:type="dxa"/>
            <w:tcMar>
              <w:top w:type="dxa" w:w="60"/>
              <w:left w:type="dxa" w:w="120"/>
              <w:bottom w:type="dxa" w:w="30"/>
              <w:right w:type="dxa" w:w="120"/>
            </w:tcMar>
          </w:tcPr>
          <w:p>
            <w:pPr>
              <w:spacing w:before="120" w:after="120" w:line="288" w:lineRule="auto"/>
              <w:ind w:left="0"/>
              <w:jc w:val="left"/>
            </w:pPr>
            <w:hyperlink r:id="rId27">
              <w:r>
                <w:rPr>
                  <w:rFonts w:eastAsia="等线" w:ascii="Arial" w:cs="Arial" w:hAnsi="Arial"/>
                  <w:color w:val="3370ff"/>
                  <w:sz w:val="22"/>
                </w:rPr>
                <w:t>DSTE审核要素表-业务</w:t>
              </w:r>
            </w:hyperlink>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w:t>
            </w:r>
          </w:p>
        </w:tc>
      </w:tr>
    </w:tbl>
    <w:p>
      <w:pPr>
        <w:pStyle w:val="1"/>
        <w:spacing w:before="380" w:after="140" w:line="288" w:lineRule="auto"/>
        <w:ind w:left="0"/>
        <w:jc w:val="left"/>
        <w:outlineLvl w:val="0"/>
      </w:pPr>
      <w:bookmarkStart w:name="heading_21" w:id="21"/>
      <w:r>
        <w:rPr>
          <w:rFonts w:eastAsia="等线" w:ascii="Arial" w:cs="Arial" w:hAnsi="Arial"/>
          <w:b w:val="true"/>
          <w:color w:val="245bdb"/>
          <w:sz w:val="36"/>
        </w:rPr>
        <w:t xml:space="preserve">6. </w:t>
      </w:r>
      <w:r>
        <w:rPr>
          <w:rFonts w:eastAsia="等线" w:ascii="Arial" w:cs="Arial" w:hAnsi="Arial"/>
          <w:b w:val="true"/>
          <w:sz w:val="36"/>
        </w:rPr>
        <w:t>解释权限及生效日期</w:t>
      </w:r>
      <w:bookmarkEnd w:id="21"/>
    </w:p>
    <w:p>
      <w:pPr>
        <w:spacing w:before="120" w:after="120" w:line="288" w:lineRule="auto"/>
        <w:ind w:left="0" w:firstLine="0"/>
        <w:jc w:val="left"/>
      </w:pPr>
      <w:r>
        <w:rPr>
          <w:rFonts w:eastAsia="等线" w:ascii="Arial" w:cs="Arial" w:hAnsi="Arial"/>
          <w:sz w:val="22"/>
        </w:rPr>
        <w:t>本文档的解释权归属流程管理部。</w:t>
      </w:r>
    </w:p>
    <w:p>
      <w:pPr>
        <w:spacing w:before="120" w:after="120" w:line="288" w:lineRule="auto"/>
        <w:ind w:left="0" w:firstLine="0"/>
        <w:jc w:val="left"/>
      </w:pPr>
      <w:r>
        <w:rPr>
          <w:rFonts w:eastAsia="等线" w:ascii="Arial" w:cs="Arial" w:hAnsi="Arial"/>
          <w:sz w:val="22"/>
        </w:rPr>
        <w:t>本文档自发布之日起至V1.0版本发布前生效。</w:t>
      </w: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22" w:id="22"/>
      <w:r>
        <w:rPr>
          <w:rFonts w:eastAsia="等线" w:ascii="Arial" w:cs="Arial" w:hAnsi="Arial"/>
          <w:b w:val="true"/>
          <w:color w:val="245bdb"/>
          <w:sz w:val="36"/>
        </w:rPr>
        <w:t xml:space="preserve">7. </w:t>
      </w:r>
      <w:r>
        <w:rPr>
          <w:rFonts w:eastAsia="等线" w:ascii="Arial" w:cs="Arial" w:hAnsi="Arial"/>
          <w:b w:val="true"/>
          <w:sz w:val="36"/>
        </w:rPr>
        <w:t>流程运转机制</w:t>
      </w:r>
      <w:r>
        <w:rPr>
          <w:rFonts w:eastAsia="等线" w:ascii="Arial" w:cs="Arial" w:hAnsi="Arial"/>
          <w:b w:val="true"/>
          <w:color w:val="d83931"/>
          <w:sz w:val="36"/>
        </w:rPr>
        <w:t>（立项执行及运转奖惩文件）</w:t>
      </w:r>
      <w:bookmarkEnd w:id="22"/>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05"/>
        <w:gridCol w:w="6675"/>
      </w:tblGrid>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w:t>
            </w:r>
          </w:p>
        </w:tc>
        <w:tc>
          <w:tcPr>
            <w:tcW w:w="66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流程运转机制</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M1.2战略规划SP</w:t>
            </w:r>
          </w:p>
        </w:tc>
        <w:tc>
          <w:tcPr>
            <w:tcW w:w="6675" w:type="dxa"/>
            <w:tcMar>
              <w:top w:type="dxa" w:w="60"/>
              <w:left w:type="dxa" w:w="120"/>
              <w:bottom w:type="dxa" w:w="30"/>
              <w:right w:type="dxa" w:w="120"/>
            </w:tcMar>
          </w:tcPr>
          <w:p>
            <w:pPr>
              <w:spacing w:before="120" w:after="120" w:line="288" w:lineRule="auto"/>
              <w:ind w:left="0"/>
              <w:jc w:val="left"/>
            </w:pPr>
            <w:hyperlink r:id="rId28">
              <w:r>
                <w:rPr>
                  <w:rFonts w:eastAsia="等线" w:ascii="Arial" w:cs="Arial" w:hAnsi="Arial"/>
                  <w:color w:val="3370ff"/>
                  <w:sz w:val="22"/>
                </w:rPr>
                <w:t>M1.2 DSTE运作机制--25年EBG</w:t>
              </w:r>
            </w:hyperlink>
          </w:p>
        </w:tc>
      </w:tr>
    </w:tbl>
    <w:p>
      <w:pPr>
        <w:pStyle w:val="1"/>
        <w:spacing w:before="380" w:after="140" w:line="288" w:lineRule="auto"/>
        <w:ind w:left="0"/>
        <w:jc w:val="left"/>
        <w:outlineLvl w:val="0"/>
      </w:pPr>
      <w:bookmarkStart w:name="heading_23" w:id="23"/>
      <w:r>
        <w:rPr>
          <w:rFonts w:eastAsia="等线" w:ascii="Arial" w:cs="Arial" w:hAnsi="Arial"/>
          <w:b w:val="true"/>
          <w:color w:val="245bdb"/>
          <w:sz w:val="36"/>
        </w:rPr>
        <w:t xml:space="preserve">8. </w:t>
      </w:r>
      <w:r>
        <w:rPr>
          <w:rFonts w:eastAsia="等线" w:ascii="Arial" w:cs="Arial" w:hAnsi="Arial"/>
          <w:b w:val="true"/>
          <w:sz w:val="36"/>
        </w:rPr>
        <w:t>IT系统支持表</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2760"/>
        <w:gridCol w:w="600"/>
        <w:gridCol w:w="840"/>
        <w:gridCol w:w="840"/>
        <w:gridCol w:w="1230"/>
        <w:gridCol w:w="1050"/>
      </w:tblGrid>
      <w:tr>
        <w:tc>
          <w:tcPr>
            <w:tcW w:w="9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需求</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IT系统当前状态</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是否影响V0.9跑起来</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提出人</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实现时间</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战略规划SP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bl>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24" w:id="24"/>
      <w:bookmarkEnd w:id="24"/>
    </w:p>
    <w:sectPr>
      <w:footerReference w:type="default" r:id="rId3"/>
      <w:headerReference w:type="default" r:id="rId2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ruijie.feishu.cn/wiki/CPkXwFPKgiH0VBkdNDqcEw3Znod" TargetMode="External" Type="http://schemas.openxmlformats.org/officeDocument/2006/relationships/hyperlink"/><Relationship Id="rId11" Target="https://ruijie.feishu.cn/file/J2dSbMIryomW4GxgdPpcDsi2ngb" TargetMode="External" Type="http://schemas.openxmlformats.org/officeDocument/2006/relationships/hyperlink"/><Relationship Id="rId12" Target="https://ruijie.feishu.cn/file/KTvSbcorDowJmGxzJlfcHVdgnle" TargetMode="External" Type="http://schemas.openxmlformats.org/officeDocument/2006/relationships/hyperlink"/><Relationship Id="rId13" Target="https://ruijie.feishu.cn/docx/UyihdiGfrolBOPxkk2Pc0iugngW" TargetMode="External" Type="http://schemas.openxmlformats.org/officeDocument/2006/relationships/hyperlink"/><Relationship Id="rId14" Target="https://ruijie.feishu.cn/docx/Kr08dE4wio5wmExWT1Gc5ulBnXf" TargetMode="External" Type="http://schemas.openxmlformats.org/officeDocument/2006/relationships/hyperlink"/><Relationship Id="rId15" Target="https://ruijie.feishu.cn/wiki/B8xywTagMi4Aiokgoorc63oOnso?from=from_copylink" TargetMode="External" Type="http://schemas.openxmlformats.org/officeDocument/2006/relationships/hyperlink"/><Relationship Id="rId16" Target="https://ruijie.feishu.cn/wiki/RkKewuQsOirIRxkk8u5ccISOnbb#FMtMdbnuGo1s69xEW8wcSivAnCo" TargetMode="External" Type="http://schemas.openxmlformats.org/officeDocument/2006/relationships/hyperlink"/><Relationship Id="rId17" Target="https://ruijie.feishu.cn/wiki/Zs6mwiC5QiDVmvkTiNRcyJ4Fnwg" TargetMode="External" Type="http://schemas.openxmlformats.org/officeDocument/2006/relationships/hyperlink"/><Relationship Id="rId18" Target="https://ruijie.feishu.cn/docx/FxZXdzWGMowg4Hxpf3VcVmJsnEd" TargetMode="External" Type="http://schemas.openxmlformats.org/officeDocument/2006/relationships/hyperlink"/><Relationship Id="rId19" Target="https://ruijie.feishu.cn/file/SG65bXDyJoj4UVxeF5lc86NynIh?from=from_copylink" TargetMode="External" Type="http://schemas.openxmlformats.org/officeDocument/2006/relationships/hyperlink"/><Relationship Id="rId2" Target="styles.xml" Type="http://schemas.openxmlformats.org/officeDocument/2006/relationships/styles"/><Relationship Id="rId20" Target="https://ruijie.feishu.cn/wiki/X2gVwZydqiv0OLk7glkcVWdbnOh?from=from_copylink" TargetMode="External" Type="http://schemas.openxmlformats.org/officeDocument/2006/relationships/hyperlink"/><Relationship Id="rId21" Target="https://ruijie.feishu.cn/wiki/HayuwTHIJi3vxikd4ZIcSvmqnAb?from=from_copylink" TargetMode="External" Type="http://schemas.openxmlformats.org/officeDocument/2006/relationships/hyperlink"/><Relationship Id="rId22" Target="https://ruijie.feishu.cn/wiki/X2gVwZydqiv0OLk7glkcVWdbnOh?from=from_copylink" TargetMode="External" Type="http://schemas.openxmlformats.org/officeDocument/2006/relationships/hyperlink"/><Relationship Id="rId23" Target="https://ruijie.feishu.cn/wiki/HayuwTHIJi3vxikd4ZIcSvmqnAb?from=from_copylink" TargetMode="External" Type="http://schemas.openxmlformats.org/officeDocument/2006/relationships/hyperlink"/><Relationship Id="rId24" Target="https://ruijie.feishu.cn/wiki/CPkXwFPKgiH0VBkdNDqcEw3Znod" TargetMode="External" Type="http://schemas.openxmlformats.org/officeDocument/2006/relationships/hyperlink"/><Relationship Id="rId25" Target="https://ruijie.feishu.cn/wiki/CPkXwFPKgiH0VBkdNDqcEw3Znod" TargetMode="External" Type="http://schemas.openxmlformats.org/officeDocument/2006/relationships/hyperlink"/><Relationship Id="rId26" Target="https://ruijie.feishu.cn/wiki/X2gVwZydqiv0OLk7glkcVWdbnOh?from=from" TargetMode="External" Type="http://schemas.openxmlformats.org/officeDocument/2006/relationships/hyperlink"/><Relationship Id="rId27" Target="https://ruijie.feishu.cn/wiki/X2gVwZydqiv0OLk7glkcVWdbnOh?from=from" TargetMode="External" Type="http://schemas.openxmlformats.org/officeDocument/2006/relationships/hyperlink"/><Relationship Id="rId28" Target="https://ruijie.feishu.cn/wiki/RUzpwaDHvilBXdk6ARvc6gZknT0?from=from_copylink" TargetMode="External" Type="http://schemas.openxmlformats.org/officeDocument/2006/relationships/hyperlink"/><Relationship Id="rId29"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https://ruijie.feishu.cn/wiki/HDzNwfP1MiPAAZkhbO7ciLXMn9f" TargetMode="External" Type="http://schemas.openxmlformats.org/officeDocument/2006/relationships/hyperlink"/><Relationship Id="rId9" Target="https://ruijie.feishu.cn/wiki/X2gVwZydqiv0OLk7glkcVWdbnOh?from=from_copylink"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2025-05-13T08:56:20Z</dcterms:created>
  <dc:creator>Apache POI</dc:creator>
</cp:coreProperties>
</file>